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2.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3.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FAD082" w14:textId="77777777" w:rsidR="00576127" w:rsidRDefault="00576127" w:rsidP="00976432">
      <w:pPr>
        <w:ind w:firstLine="0"/>
        <w:jc w:val="center"/>
      </w:pPr>
      <w:bookmarkStart w:id="0" w:name="_Ref490836532"/>
    </w:p>
    <w:p w14:paraId="1D45D9CD" w14:textId="77777777" w:rsidR="009C12C6" w:rsidRDefault="009C12C6" w:rsidP="00976432">
      <w:pPr>
        <w:ind w:firstLine="0"/>
        <w:jc w:val="center"/>
      </w:pPr>
    </w:p>
    <w:p w14:paraId="20FF765B" w14:textId="77777777" w:rsidR="005114E6" w:rsidRDefault="005114E6" w:rsidP="00976432">
      <w:pPr>
        <w:ind w:firstLine="0"/>
        <w:jc w:val="center"/>
      </w:pPr>
    </w:p>
    <w:p w14:paraId="1BC143F3" w14:textId="77777777" w:rsidR="009C12C6" w:rsidRPr="005114E6" w:rsidRDefault="009C12C6" w:rsidP="00976432">
      <w:pPr>
        <w:ind w:firstLine="0"/>
        <w:jc w:val="center"/>
      </w:pPr>
    </w:p>
    <w:p w14:paraId="7ADBAB23" w14:textId="77777777" w:rsidR="00382BAC" w:rsidRPr="005114E6" w:rsidRDefault="00576127" w:rsidP="00382BAC">
      <w:pPr>
        <w:ind w:firstLine="0"/>
        <w:jc w:val="center"/>
        <w:rPr>
          <w:sz w:val="28"/>
          <w:szCs w:val="28"/>
        </w:rPr>
      </w:pPr>
      <w:r w:rsidRPr="005114E6">
        <w:rPr>
          <w:sz w:val="28"/>
          <w:szCs w:val="28"/>
        </w:rPr>
        <w:t>A quantitative study of spelling variation in William Caxton’s printed texts</w:t>
      </w:r>
    </w:p>
    <w:p w14:paraId="5C94EAF2" w14:textId="77777777" w:rsidR="00382BAC" w:rsidRPr="005114E6" w:rsidRDefault="00382BAC" w:rsidP="00382BAC">
      <w:pPr>
        <w:ind w:firstLine="0"/>
        <w:jc w:val="center"/>
        <w:rPr>
          <w:sz w:val="28"/>
          <w:szCs w:val="28"/>
        </w:rPr>
      </w:pPr>
    </w:p>
    <w:p w14:paraId="58063E3F" w14:textId="77777777" w:rsidR="00382BAC" w:rsidRPr="005114E6" w:rsidRDefault="00382BAC" w:rsidP="00382BAC">
      <w:pPr>
        <w:ind w:firstLine="0"/>
        <w:jc w:val="center"/>
        <w:rPr>
          <w:sz w:val="28"/>
          <w:szCs w:val="28"/>
        </w:rPr>
      </w:pPr>
    </w:p>
    <w:p w14:paraId="028EEC27" w14:textId="77777777" w:rsidR="00382BAC" w:rsidRPr="005114E6" w:rsidRDefault="00382BAC" w:rsidP="00382BAC">
      <w:pPr>
        <w:ind w:firstLine="0"/>
        <w:jc w:val="center"/>
        <w:rPr>
          <w:sz w:val="28"/>
          <w:szCs w:val="28"/>
        </w:rPr>
      </w:pPr>
      <w:r w:rsidRPr="005114E6">
        <w:rPr>
          <w:sz w:val="28"/>
          <w:szCs w:val="28"/>
        </w:rPr>
        <w:t>Rosie Shute</w:t>
      </w:r>
    </w:p>
    <w:p w14:paraId="4D8124E6" w14:textId="77777777" w:rsidR="00382BAC" w:rsidRPr="005114E6" w:rsidRDefault="00382BAC" w:rsidP="00382BAC">
      <w:pPr>
        <w:ind w:firstLine="0"/>
        <w:jc w:val="center"/>
        <w:rPr>
          <w:sz w:val="32"/>
          <w:szCs w:val="28"/>
        </w:rPr>
      </w:pPr>
    </w:p>
    <w:p w14:paraId="620FAB0C" w14:textId="77777777" w:rsidR="005114E6" w:rsidRPr="005114E6" w:rsidRDefault="005114E6" w:rsidP="005114E6">
      <w:pPr>
        <w:ind w:firstLine="0"/>
        <w:jc w:val="center"/>
        <w:rPr>
          <w:sz w:val="32"/>
          <w:szCs w:val="28"/>
        </w:rPr>
      </w:pPr>
    </w:p>
    <w:p w14:paraId="7C641F59" w14:textId="77777777" w:rsidR="005114E6" w:rsidRPr="005114E6" w:rsidRDefault="005114E6" w:rsidP="005114E6">
      <w:pPr>
        <w:ind w:firstLine="0"/>
        <w:jc w:val="center"/>
        <w:rPr>
          <w:sz w:val="32"/>
          <w:szCs w:val="28"/>
        </w:rPr>
      </w:pPr>
    </w:p>
    <w:p w14:paraId="2813A680" w14:textId="77777777" w:rsidR="005114E6" w:rsidRPr="005114E6" w:rsidRDefault="005114E6" w:rsidP="005114E6">
      <w:pPr>
        <w:ind w:firstLine="0"/>
        <w:jc w:val="center"/>
        <w:rPr>
          <w:sz w:val="32"/>
          <w:szCs w:val="28"/>
        </w:rPr>
      </w:pPr>
    </w:p>
    <w:p w14:paraId="6D7AEBA6" w14:textId="77777777" w:rsidR="005114E6" w:rsidRPr="005114E6" w:rsidRDefault="005114E6" w:rsidP="005114E6">
      <w:pPr>
        <w:ind w:firstLine="0"/>
        <w:jc w:val="center"/>
        <w:rPr>
          <w:sz w:val="32"/>
          <w:szCs w:val="28"/>
        </w:rPr>
      </w:pPr>
    </w:p>
    <w:p w14:paraId="1FAF3159" w14:textId="77777777" w:rsidR="005114E6" w:rsidRPr="005114E6" w:rsidRDefault="005114E6" w:rsidP="005114E6">
      <w:pPr>
        <w:ind w:firstLine="0"/>
        <w:jc w:val="center"/>
        <w:rPr>
          <w:sz w:val="32"/>
          <w:szCs w:val="28"/>
        </w:rPr>
      </w:pPr>
    </w:p>
    <w:p w14:paraId="055ECD87" w14:textId="77777777" w:rsidR="005114E6" w:rsidRPr="005114E6" w:rsidRDefault="005114E6" w:rsidP="005114E6">
      <w:pPr>
        <w:ind w:firstLine="0"/>
        <w:jc w:val="center"/>
        <w:rPr>
          <w:sz w:val="32"/>
          <w:szCs w:val="28"/>
        </w:rPr>
      </w:pPr>
    </w:p>
    <w:p w14:paraId="0E21C760" w14:textId="77777777" w:rsidR="005114E6" w:rsidRPr="005114E6" w:rsidRDefault="005114E6" w:rsidP="005114E6">
      <w:pPr>
        <w:ind w:firstLine="0"/>
        <w:jc w:val="center"/>
        <w:rPr>
          <w:sz w:val="32"/>
          <w:szCs w:val="28"/>
        </w:rPr>
      </w:pPr>
    </w:p>
    <w:p w14:paraId="40EA6373" w14:textId="7272FB6A" w:rsidR="005114E6" w:rsidRPr="005114E6" w:rsidRDefault="005114E6" w:rsidP="005114E6">
      <w:pPr>
        <w:ind w:firstLine="0"/>
        <w:jc w:val="center"/>
        <w:rPr>
          <w:sz w:val="28"/>
          <w:szCs w:val="28"/>
        </w:rPr>
      </w:pPr>
      <w:r w:rsidRPr="005114E6">
        <w:rPr>
          <w:sz w:val="28"/>
          <w:szCs w:val="28"/>
        </w:rPr>
        <w:t xml:space="preserve">School of English </w:t>
      </w:r>
    </w:p>
    <w:p w14:paraId="7AF607BE" w14:textId="77777777" w:rsidR="005114E6" w:rsidRPr="005114E6" w:rsidRDefault="005114E6" w:rsidP="005114E6">
      <w:pPr>
        <w:ind w:firstLine="0"/>
        <w:jc w:val="center"/>
        <w:rPr>
          <w:sz w:val="28"/>
          <w:szCs w:val="28"/>
        </w:rPr>
      </w:pPr>
    </w:p>
    <w:p w14:paraId="7477E898" w14:textId="77777777" w:rsidR="005114E6" w:rsidRPr="005114E6" w:rsidRDefault="005114E6" w:rsidP="005114E6">
      <w:pPr>
        <w:ind w:firstLine="0"/>
        <w:jc w:val="center"/>
        <w:rPr>
          <w:sz w:val="28"/>
          <w:szCs w:val="28"/>
        </w:rPr>
      </w:pPr>
    </w:p>
    <w:p w14:paraId="3722FEA3" w14:textId="77777777" w:rsidR="005114E6" w:rsidRPr="005114E6" w:rsidRDefault="005114E6" w:rsidP="005114E6">
      <w:pPr>
        <w:ind w:firstLine="0"/>
        <w:jc w:val="center"/>
        <w:rPr>
          <w:sz w:val="28"/>
          <w:szCs w:val="28"/>
        </w:rPr>
      </w:pPr>
    </w:p>
    <w:p w14:paraId="548F90F3" w14:textId="77777777" w:rsidR="005114E6" w:rsidRPr="005114E6" w:rsidRDefault="005114E6" w:rsidP="005114E6">
      <w:pPr>
        <w:ind w:firstLine="0"/>
        <w:jc w:val="center"/>
        <w:rPr>
          <w:sz w:val="28"/>
          <w:szCs w:val="28"/>
        </w:rPr>
      </w:pPr>
      <w:r w:rsidRPr="005114E6">
        <w:rPr>
          <w:sz w:val="28"/>
          <w:szCs w:val="28"/>
        </w:rPr>
        <w:t>Thesis submitted to the University of Sheffield in partial requirement</w:t>
      </w:r>
    </w:p>
    <w:p w14:paraId="22B89D09" w14:textId="77777777" w:rsidR="005114E6" w:rsidRPr="005114E6" w:rsidRDefault="005114E6" w:rsidP="005114E6">
      <w:pPr>
        <w:ind w:firstLine="0"/>
        <w:jc w:val="center"/>
        <w:rPr>
          <w:sz w:val="28"/>
          <w:szCs w:val="28"/>
        </w:rPr>
      </w:pPr>
      <w:r w:rsidRPr="005114E6">
        <w:rPr>
          <w:sz w:val="28"/>
          <w:szCs w:val="28"/>
        </w:rPr>
        <w:t>for the degree of Doctor of Philosophy</w:t>
      </w:r>
    </w:p>
    <w:p w14:paraId="6E716072" w14:textId="77777777" w:rsidR="00382BAC" w:rsidRPr="005114E6" w:rsidRDefault="00382BAC" w:rsidP="00382BAC">
      <w:pPr>
        <w:ind w:firstLine="0"/>
        <w:jc w:val="center"/>
        <w:rPr>
          <w:sz w:val="28"/>
          <w:szCs w:val="28"/>
        </w:rPr>
      </w:pPr>
    </w:p>
    <w:p w14:paraId="0E8DEDE7" w14:textId="77777777" w:rsidR="00382BAC" w:rsidRPr="005114E6" w:rsidRDefault="00382BAC" w:rsidP="00382BAC">
      <w:pPr>
        <w:ind w:firstLine="0"/>
        <w:jc w:val="center"/>
        <w:rPr>
          <w:sz w:val="28"/>
          <w:szCs w:val="28"/>
        </w:rPr>
      </w:pPr>
    </w:p>
    <w:p w14:paraId="7B685DE4" w14:textId="2B5B81C7" w:rsidR="00136716" w:rsidRDefault="005114E6" w:rsidP="00382BAC">
      <w:pPr>
        <w:ind w:firstLine="0"/>
        <w:jc w:val="center"/>
      </w:pPr>
      <w:r w:rsidRPr="005114E6">
        <w:rPr>
          <w:sz w:val="28"/>
          <w:szCs w:val="28"/>
        </w:rPr>
        <w:t>December</w:t>
      </w:r>
      <w:r w:rsidR="00382BAC" w:rsidRPr="005114E6">
        <w:rPr>
          <w:sz w:val="28"/>
          <w:szCs w:val="28"/>
        </w:rPr>
        <w:t xml:space="preserve"> 2017</w:t>
      </w:r>
      <w:r w:rsidR="00136716">
        <w:br w:type="page"/>
      </w:r>
    </w:p>
    <w:p w14:paraId="5B8EACFB" w14:textId="77777777" w:rsidR="007D3068" w:rsidRDefault="007D3068" w:rsidP="00382BAC">
      <w:pPr>
        <w:pStyle w:val="Title"/>
      </w:pPr>
      <w:bookmarkStart w:id="1" w:name="_Toc497899719"/>
      <w:bookmarkStart w:id="2" w:name="_Toc497899823"/>
      <w:r>
        <w:lastRenderedPageBreak/>
        <w:br w:type="page"/>
      </w:r>
    </w:p>
    <w:p w14:paraId="569CD14E" w14:textId="5B7B1606" w:rsidR="00382BAC" w:rsidRDefault="00136716" w:rsidP="00382BAC">
      <w:pPr>
        <w:pStyle w:val="Title"/>
      </w:pPr>
      <w:r w:rsidRPr="00382BAC">
        <w:lastRenderedPageBreak/>
        <w:t>Abstract</w:t>
      </w:r>
      <w:bookmarkEnd w:id="1"/>
      <w:bookmarkEnd w:id="2"/>
    </w:p>
    <w:p w14:paraId="41E3EDC3" w14:textId="5CF87C3B" w:rsidR="00526EFE" w:rsidRDefault="00382BAC" w:rsidP="00526EFE">
      <w:r w:rsidRPr="007257FF">
        <w:t>This thesis presents new quantitative methods for the exploration of spelling variation in early printed texts</w:t>
      </w:r>
      <w:r>
        <w:t xml:space="preserve">, and applies these methods </w:t>
      </w:r>
      <w:r w:rsidR="002F017B">
        <w:t xml:space="preserve">to </w:t>
      </w:r>
      <w:r>
        <w:t xml:space="preserve">the books published by William Caxton (c. 1421-1492). </w:t>
      </w:r>
      <w:r w:rsidR="00FA0C2F">
        <w:t>Combining the study of historical spelling variation with methods from computer science and mathematics, t</w:t>
      </w:r>
      <w:r w:rsidR="00AC24ED">
        <w:t xml:space="preserve">his work presents the first use of spellings as data for the exploration of </w:t>
      </w:r>
      <w:r w:rsidR="00526EFE">
        <w:t xml:space="preserve">Caxton’s editorial approach to his texts and the </w:t>
      </w:r>
      <w:r w:rsidR="00AC24ED">
        <w:t>early printing processes</w:t>
      </w:r>
      <w:r w:rsidR="00526EFE">
        <w:t xml:space="preserve"> used in his printing house</w:t>
      </w:r>
      <w:r w:rsidR="00AC24ED">
        <w:t>.</w:t>
      </w:r>
      <w:r w:rsidR="00526EFE">
        <w:t xml:space="preserve"> </w:t>
      </w:r>
      <w:r>
        <w:t xml:space="preserve">I </w:t>
      </w:r>
      <w:r w:rsidR="0007047D">
        <w:t>examine</w:t>
      </w:r>
      <w:r w:rsidRPr="00CD5955">
        <w:t xml:space="preserve"> the use of orthographic variation at the level of idiolect for researching fifteenth-century print</w:t>
      </w:r>
      <w:r w:rsidR="00526EFE">
        <w:t>, and focus on the spellings of the individuals involved in the printing process</w:t>
      </w:r>
      <w:r w:rsidRPr="00CD5955">
        <w:t>.</w:t>
      </w:r>
      <w:r w:rsidRPr="00994824">
        <w:t xml:space="preserve"> </w:t>
      </w:r>
    </w:p>
    <w:p w14:paraId="3322E9E3" w14:textId="4401DA53" w:rsidR="0007047D" w:rsidRDefault="00526EFE" w:rsidP="00526EFE">
      <w:r>
        <w:t xml:space="preserve">This research takes a bottom-up quantitative approach to Caxton’s texts, and the methods developed in this thesis are designed to simultaneously analyse all the spellings contained in any given text. </w:t>
      </w:r>
      <w:r w:rsidR="00382BAC">
        <w:t xml:space="preserve">In Section One I establish through quantitative analysis that </w:t>
      </w:r>
      <w:r w:rsidR="00382BAC" w:rsidRPr="00CD5955">
        <w:t xml:space="preserve">the printing process has </w:t>
      </w:r>
      <w:r w:rsidR="00382BAC">
        <w:t>no</w:t>
      </w:r>
      <w:r w:rsidR="00382BAC" w:rsidRPr="00CD5955">
        <w:t xml:space="preserve"> influence over the orthography of the printed text, and from that point onwards this thesis </w:t>
      </w:r>
      <w:r w:rsidR="00382BAC">
        <w:t>focuses</w:t>
      </w:r>
      <w:r w:rsidR="00382BAC" w:rsidRPr="00CD5955">
        <w:t xml:space="preserve"> on the spellings used by the individuals whose language can be found in the printed texts</w:t>
      </w:r>
      <w:r w:rsidR="00382BAC">
        <w:t>—the compositor who set the type and the scribes who wrote the copy text. B</w:t>
      </w:r>
      <w:r w:rsidR="00382BAC" w:rsidRPr="00CD5955">
        <w:t xml:space="preserve">uilding on this </w:t>
      </w:r>
      <w:r w:rsidR="00382BAC">
        <w:t>argument</w:t>
      </w:r>
      <w:r w:rsidR="00382BAC" w:rsidRPr="00CD5955">
        <w:t>, Section Two develops and tests methods for the exploration of the orthographic idiolects that ar</w:t>
      </w:r>
      <w:r w:rsidR="00382BAC">
        <w:t>e used in printed texts.</w:t>
      </w:r>
      <w:r w:rsidR="00382BAC" w:rsidRPr="00CD5955">
        <w:t xml:space="preserve"> </w:t>
      </w:r>
      <w:r w:rsidR="00382BAC">
        <w:t xml:space="preserve">In Section Three I apply these methods </w:t>
      </w:r>
      <w:r w:rsidR="002F017B">
        <w:t xml:space="preserve">to </w:t>
      </w:r>
      <w:r w:rsidR="00382BAC">
        <w:t>spelling data drawn from</w:t>
      </w:r>
      <w:r w:rsidR="007679B8">
        <w:t xml:space="preserve"> a selection of Caxton’s texts, and in doing so explore the layers of spellings present in the texts to develop our understanding of Caxton’s practices as an editor and translator</w:t>
      </w:r>
      <w:r w:rsidR="007421FA">
        <w:t xml:space="preserve">. </w:t>
      </w:r>
    </w:p>
    <w:p w14:paraId="4D2E0A50" w14:textId="16218D14" w:rsidR="007D3068" w:rsidRDefault="00382BAC" w:rsidP="00382BAC">
      <w:pPr>
        <w:sectPr w:rsidR="007D3068" w:rsidSect="00DD0828">
          <w:footerReference w:type="even" r:id="rId8"/>
          <w:pgSz w:w="11900" w:h="16840"/>
          <w:pgMar w:top="1440" w:right="1440" w:bottom="1440" w:left="1440" w:header="720" w:footer="720" w:gutter="1152"/>
          <w:cols w:space="720"/>
          <w:docGrid w:linePitch="360"/>
        </w:sectPr>
      </w:pPr>
      <w:r w:rsidRPr="00CD5955">
        <w:t>This thesis demonstrate</w:t>
      </w:r>
      <w:r>
        <w:t>s</w:t>
      </w:r>
      <w:r w:rsidRPr="00CD5955">
        <w:t xml:space="preserve"> the value of focusing on idiolects when researching orthography in early pr</w:t>
      </w:r>
      <w:r>
        <w:t>i</w:t>
      </w:r>
      <w:r w:rsidRPr="00CD5955">
        <w:t>nted texts</w:t>
      </w:r>
      <w:r>
        <w:t xml:space="preserve">, and </w:t>
      </w:r>
      <w:r w:rsidRPr="00994824">
        <w:t>expands our knowledge of the extent to which spelling variation operates at the level of the individual in the fifteenth century</w:t>
      </w:r>
      <w:r w:rsidRPr="00CD5955">
        <w:t xml:space="preserve">. </w:t>
      </w:r>
      <w:r w:rsidRPr="00A6716F">
        <w:t xml:space="preserve">The </w:t>
      </w:r>
      <w:r>
        <w:t xml:space="preserve">innovative </w:t>
      </w:r>
      <w:r w:rsidRPr="00A6716F">
        <w:t xml:space="preserve">methods </w:t>
      </w:r>
      <w:r>
        <w:t xml:space="preserve">I have </w:t>
      </w:r>
      <w:r w:rsidRPr="00A6716F">
        <w:t>developed for use with spelling data in this thesis—cluster analysis and similarity measurements—</w:t>
      </w:r>
      <w:r>
        <w:t>demonstrate</w:t>
      </w:r>
      <w:r w:rsidRPr="00A6716F">
        <w:t xml:space="preserve"> the </w:t>
      </w:r>
      <w:r>
        <w:t>value</w:t>
      </w:r>
      <w:r w:rsidRPr="00A6716F">
        <w:t xml:space="preserve"> of quantitative methods in exploring historical texts and historical spelling variation</w:t>
      </w:r>
      <w:r>
        <w:t xml:space="preserve">, </w:t>
      </w:r>
      <w:r w:rsidRPr="004F5B25">
        <w:t xml:space="preserve">and </w:t>
      </w:r>
      <w:r w:rsidR="00EF25D2">
        <w:t>provide</w:t>
      </w:r>
      <w:r w:rsidR="00EF25D2" w:rsidRPr="004F5B25">
        <w:t xml:space="preserve"> </w:t>
      </w:r>
      <w:r w:rsidRPr="004F5B25">
        <w:t xml:space="preserve">avenues of research </w:t>
      </w:r>
      <w:r>
        <w:t>into historical spelling variation using quantitative methods</w:t>
      </w:r>
      <w:r w:rsidRPr="00A6716F">
        <w:t xml:space="preserve">. </w:t>
      </w:r>
      <w:r>
        <w:t>Through exploring the</w:t>
      </w:r>
      <w:r w:rsidRPr="007257FF">
        <w:t xml:space="preserve"> use of </w:t>
      </w:r>
      <w:r>
        <w:t>data-driven</w:t>
      </w:r>
      <w:r w:rsidRPr="007257FF">
        <w:t xml:space="preserve"> quantitative approaches to analysing spelling variation in early print, </w:t>
      </w:r>
      <w:r>
        <w:t>this thesis</w:t>
      </w:r>
      <w:r w:rsidRPr="007257FF">
        <w:t xml:space="preserve"> provides new insights into </w:t>
      </w:r>
      <w:r>
        <w:t xml:space="preserve">our knowledge of historical spelling variation, </w:t>
      </w:r>
      <w:r w:rsidRPr="007257FF">
        <w:t xml:space="preserve">the quantitative study of spelling in </w:t>
      </w:r>
      <w:r w:rsidR="00EF25D2">
        <w:t>early</w:t>
      </w:r>
      <w:r w:rsidRPr="007257FF">
        <w:t xml:space="preserve"> print</w:t>
      </w:r>
      <w:r>
        <w:t>, and the history of the early printed book</w:t>
      </w:r>
      <w:r w:rsidRPr="007257FF">
        <w:t>.</w:t>
      </w:r>
    </w:p>
    <w:p w14:paraId="1DABB8AC" w14:textId="0569F6CF" w:rsidR="00136716" w:rsidRDefault="00136716" w:rsidP="00382BAC">
      <w:r>
        <w:lastRenderedPageBreak/>
        <w:br w:type="page"/>
      </w:r>
    </w:p>
    <w:p w14:paraId="4ED0D860" w14:textId="2AC16BE0" w:rsidR="00136716" w:rsidRDefault="00136716" w:rsidP="00382BAC">
      <w:pPr>
        <w:pStyle w:val="Title"/>
      </w:pPr>
      <w:bookmarkStart w:id="3" w:name="_Toc497899720"/>
      <w:bookmarkStart w:id="4" w:name="_Toc497899824"/>
      <w:r>
        <w:lastRenderedPageBreak/>
        <w:t>Contents</w:t>
      </w:r>
      <w:bookmarkEnd w:id="3"/>
      <w:bookmarkEnd w:id="4"/>
    </w:p>
    <w:p w14:paraId="017C02E0" w14:textId="77777777" w:rsidR="008F2F10" w:rsidRPr="008F2F10" w:rsidRDefault="008F2F10" w:rsidP="008F2F10"/>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28"/>
        <w:gridCol w:w="2730"/>
      </w:tblGrid>
      <w:tr w:rsidR="00BF4BA1" w14:paraId="52F420C9" w14:textId="77777777" w:rsidTr="00BF4BA1">
        <w:tc>
          <w:tcPr>
            <w:tcW w:w="5128" w:type="dxa"/>
          </w:tcPr>
          <w:p w14:paraId="10FF68F5" w14:textId="264B678F" w:rsidR="00076EB8" w:rsidRDefault="00076EB8" w:rsidP="00076EB8">
            <w:pPr>
              <w:ind w:firstLine="0"/>
            </w:pPr>
            <w:r>
              <w:t>Acknowledgements</w:t>
            </w:r>
          </w:p>
        </w:tc>
        <w:tc>
          <w:tcPr>
            <w:tcW w:w="2730" w:type="dxa"/>
          </w:tcPr>
          <w:p w14:paraId="316A3807" w14:textId="290502BF" w:rsidR="00076EB8" w:rsidRDefault="002879B0" w:rsidP="00CF6345">
            <w:pPr>
              <w:ind w:firstLine="0"/>
              <w:jc w:val="right"/>
            </w:pPr>
            <w:r>
              <w:t>i</w:t>
            </w:r>
          </w:p>
        </w:tc>
      </w:tr>
      <w:tr w:rsidR="00BF4BA1" w14:paraId="246628D2" w14:textId="77777777" w:rsidTr="00BF4BA1">
        <w:tc>
          <w:tcPr>
            <w:tcW w:w="5128" w:type="dxa"/>
          </w:tcPr>
          <w:p w14:paraId="019C7286" w14:textId="7E38C418" w:rsidR="00076EB8" w:rsidRDefault="00076EB8" w:rsidP="00076EB8">
            <w:pPr>
              <w:ind w:firstLine="0"/>
            </w:pPr>
            <w:r>
              <w:t>List of tables</w:t>
            </w:r>
          </w:p>
        </w:tc>
        <w:tc>
          <w:tcPr>
            <w:tcW w:w="2730" w:type="dxa"/>
          </w:tcPr>
          <w:p w14:paraId="69E229B0" w14:textId="1721E97E" w:rsidR="00076EB8" w:rsidRDefault="00CF6345" w:rsidP="00CF6345">
            <w:pPr>
              <w:ind w:firstLine="0"/>
              <w:jc w:val="right"/>
            </w:pPr>
            <w:r>
              <w:t>ii</w:t>
            </w:r>
          </w:p>
        </w:tc>
      </w:tr>
      <w:tr w:rsidR="00BF4BA1" w14:paraId="762B4B0F" w14:textId="77777777" w:rsidTr="00BF4BA1">
        <w:tc>
          <w:tcPr>
            <w:tcW w:w="5128" w:type="dxa"/>
          </w:tcPr>
          <w:p w14:paraId="43422AA2" w14:textId="75EB780E" w:rsidR="00076EB8" w:rsidRDefault="00076EB8" w:rsidP="00076EB8">
            <w:pPr>
              <w:ind w:firstLine="0"/>
            </w:pPr>
            <w:r>
              <w:t>List of figures</w:t>
            </w:r>
          </w:p>
        </w:tc>
        <w:tc>
          <w:tcPr>
            <w:tcW w:w="2730" w:type="dxa"/>
          </w:tcPr>
          <w:p w14:paraId="5C6A5427" w14:textId="58E427D8" w:rsidR="00076EB8" w:rsidRDefault="00CF6345" w:rsidP="00CF6345">
            <w:pPr>
              <w:ind w:firstLine="0"/>
              <w:jc w:val="right"/>
            </w:pPr>
            <w:r>
              <w:t>iii</w:t>
            </w:r>
          </w:p>
        </w:tc>
      </w:tr>
      <w:tr w:rsidR="00BF4BA1" w14:paraId="1CAB016B" w14:textId="77777777" w:rsidTr="00BF4BA1">
        <w:tc>
          <w:tcPr>
            <w:tcW w:w="5128" w:type="dxa"/>
          </w:tcPr>
          <w:p w14:paraId="226BE4C8" w14:textId="77777777" w:rsidR="00076EB8" w:rsidRDefault="00076EB8" w:rsidP="00076EB8">
            <w:pPr>
              <w:ind w:firstLine="0"/>
            </w:pPr>
          </w:p>
        </w:tc>
        <w:tc>
          <w:tcPr>
            <w:tcW w:w="2730" w:type="dxa"/>
          </w:tcPr>
          <w:p w14:paraId="203497A9" w14:textId="77777777" w:rsidR="00076EB8" w:rsidRDefault="00076EB8" w:rsidP="00076EB8">
            <w:pPr>
              <w:ind w:firstLine="0"/>
            </w:pPr>
          </w:p>
        </w:tc>
      </w:tr>
      <w:tr w:rsidR="00BF4BA1" w14:paraId="1A2CDC11" w14:textId="77777777" w:rsidTr="00BF4BA1">
        <w:tc>
          <w:tcPr>
            <w:tcW w:w="5128" w:type="dxa"/>
          </w:tcPr>
          <w:p w14:paraId="7146C251" w14:textId="6E18EEAA" w:rsidR="00076EB8" w:rsidRDefault="00076EB8" w:rsidP="00076EB8">
            <w:pPr>
              <w:pStyle w:val="ListParagraph"/>
              <w:numPr>
                <w:ilvl w:val="0"/>
                <w:numId w:val="19"/>
              </w:numPr>
            </w:pPr>
            <w:r>
              <w:t>Introduction</w:t>
            </w:r>
          </w:p>
        </w:tc>
        <w:tc>
          <w:tcPr>
            <w:tcW w:w="2730" w:type="dxa"/>
          </w:tcPr>
          <w:p w14:paraId="42999D1B" w14:textId="43D979C9" w:rsidR="00076EB8" w:rsidRDefault="00CF6345" w:rsidP="00CF6345">
            <w:pPr>
              <w:ind w:firstLine="0"/>
              <w:jc w:val="right"/>
            </w:pPr>
            <w:r>
              <w:t>1</w:t>
            </w:r>
          </w:p>
        </w:tc>
      </w:tr>
      <w:tr w:rsidR="00BF4BA1" w14:paraId="399BF626" w14:textId="77777777" w:rsidTr="00BF4BA1">
        <w:tc>
          <w:tcPr>
            <w:tcW w:w="5128" w:type="dxa"/>
          </w:tcPr>
          <w:p w14:paraId="43CCF2EC" w14:textId="77777777" w:rsidR="00076EB8" w:rsidRDefault="00076EB8" w:rsidP="00076EB8">
            <w:pPr>
              <w:pStyle w:val="ListParagraph"/>
              <w:ind w:firstLine="0"/>
            </w:pPr>
          </w:p>
        </w:tc>
        <w:tc>
          <w:tcPr>
            <w:tcW w:w="2730" w:type="dxa"/>
          </w:tcPr>
          <w:p w14:paraId="28900EFE" w14:textId="77777777" w:rsidR="00076EB8" w:rsidRDefault="00076EB8" w:rsidP="00076EB8">
            <w:pPr>
              <w:ind w:firstLine="0"/>
            </w:pPr>
          </w:p>
        </w:tc>
      </w:tr>
      <w:tr w:rsidR="0075234A" w14:paraId="59FF9C00" w14:textId="77777777" w:rsidTr="00BF4BA1">
        <w:tc>
          <w:tcPr>
            <w:tcW w:w="7858" w:type="dxa"/>
            <w:gridSpan w:val="2"/>
          </w:tcPr>
          <w:p w14:paraId="41E06E98" w14:textId="2CDF2BEF" w:rsidR="0075234A" w:rsidRPr="0075234A" w:rsidRDefault="0075234A" w:rsidP="0075234A">
            <w:pPr>
              <w:ind w:firstLine="0"/>
              <w:jc w:val="center"/>
              <w:rPr>
                <w:smallCaps/>
              </w:rPr>
            </w:pPr>
            <w:r>
              <w:rPr>
                <w:smallCaps/>
              </w:rPr>
              <w:t>Section one – History of the printed book</w:t>
            </w:r>
          </w:p>
        </w:tc>
      </w:tr>
      <w:tr w:rsidR="00BF4BA1" w14:paraId="53FDE8B0" w14:textId="77777777" w:rsidTr="00BF4BA1">
        <w:tc>
          <w:tcPr>
            <w:tcW w:w="5128" w:type="dxa"/>
          </w:tcPr>
          <w:p w14:paraId="554084C5" w14:textId="77777777" w:rsidR="0075234A" w:rsidRDefault="0075234A" w:rsidP="0075234A">
            <w:pPr>
              <w:ind w:firstLine="0"/>
            </w:pPr>
          </w:p>
        </w:tc>
        <w:tc>
          <w:tcPr>
            <w:tcW w:w="2730" w:type="dxa"/>
          </w:tcPr>
          <w:p w14:paraId="27326949" w14:textId="77777777" w:rsidR="0075234A" w:rsidRDefault="0075234A" w:rsidP="00076EB8">
            <w:pPr>
              <w:ind w:firstLine="0"/>
            </w:pPr>
          </w:p>
        </w:tc>
      </w:tr>
      <w:tr w:rsidR="00BF4BA1" w14:paraId="6C204C02" w14:textId="77777777" w:rsidTr="00BF4BA1">
        <w:tc>
          <w:tcPr>
            <w:tcW w:w="5128" w:type="dxa"/>
          </w:tcPr>
          <w:p w14:paraId="1672994C" w14:textId="004B5FA9" w:rsidR="00076EB8" w:rsidRDefault="00076EB8" w:rsidP="00076EB8">
            <w:pPr>
              <w:pStyle w:val="ListParagraph"/>
              <w:numPr>
                <w:ilvl w:val="0"/>
                <w:numId w:val="19"/>
              </w:numPr>
            </w:pPr>
            <w:r>
              <w:t>Fifteenth-century printing history</w:t>
            </w:r>
          </w:p>
        </w:tc>
        <w:tc>
          <w:tcPr>
            <w:tcW w:w="2730" w:type="dxa"/>
          </w:tcPr>
          <w:p w14:paraId="456FC689" w14:textId="351A194C" w:rsidR="00076EB8" w:rsidRDefault="00CF6345" w:rsidP="00CF6345">
            <w:pPr>
              <w:ind w:firstLine="0"/>
              <w:jc w:val="right"/>
            </w:pPr>
            <w:r>
              <w:t>19</w:t>
            </w:r>
          </w:p>
        </w:tc>
      </w:tr>
      <w:tr w:rsidR="00BF4BA1" w14:paraId="5C524A8D" w14:textId="77777777" w:rsidTr="00BF4BA1">
        <w:tc>
          <w:tcPr>
            <w:tcW w:w="5128" w:type="dxa"/>
          </w:tcPr>
          <w:p w14:paraId="21134431" w14:textId="5C02FDE1" w:rsidR="00076EB8" w:rsidRDefault="00076EB8" w:rsidP="00076EB8">
            <w:pPr>
              <w:pStyle w:val="ListParagraph"/>
              <w:numPr>
                <w:ilvl w:val="0"/>
                <w:numId w:val="19"/>
              </w:numPr>
            </w:pPr>
            <w:r>
              <w:t>Spelling and the justification of type</w:t>
            </w:r>
          </w:p>
        </w:tc>
        <w:tc>
          <w:tcPr>
            <w:tcW w:w="2730" w:type="dxa"/>
          </w:tcPr>
          <w:p w14:paraId="7B2BD9DF" w14:textId="353323AE" w:rsidR="00076EB8" w:rsidRDefault="00CF6345" w:rsidP="00CF6345">
            <w:pPr>
              <w:ind w:firstLine="0"/>
              <w:jc w:val="right"/>
            </w:pPr>
            <w:r>
              <w:t>3</w:t>
            </w:r>
            <w:r w:rsidR="00E803E1">
              <w:t>4</w:t>
            </w:r>
          </w:p>
        </w:tc>
      </w:tr>
      <w:tr w:rsidR="00BF4BA1" w14:paraId="301CD5D5" w14:textId="77777777" w:rsidTr="00BF4BA1">
        <w:tc>
          <w:tcPr>
            <w:tcW w:w="5128" w:type="dxa"/>
          </w:tcPr>
          <w:p w14:paraId="16F9C6A5" w14:textId="77777777" w:rsidR="0075234A" w:rsidRDefault="0075234A" w:rsidP="0075234A">
            <w:pPr>
              <w:pStyle w:val="ListParagraph"/>
              <w:ind w:firstLine="0"/>
            </w:pPr>
          </w:p>
        </w:tc>
        <w:tc>
          <w:tcPr>
            <w:tcW w:w="2730" w:type="dxa"/>
          </w:tcPr>
          <w:p w14:paraId="0746544E" w14:textId="77777777" w:rsidR="0075234A" w:rsidRDefault="0075234A" w:rsidP="00076EB8">
            <w:pPr>
              <w:ind w:firstLine="0"/>
            </w:pPr>
          </w:p>
        </w:tc>
      </w:tr>
      <w:tr w:rsidR="00BF4BA1" w14:paraId="333A1A42" w14:textId="77777777" w:rsidTr="00BF4BA1">
        <w:tc>
          <w:tcPr>
            <w:tcW w:w="5128" w:type="dxa"/>
          </w:tcPr>
          <w:p w14:paraId="4C1FF06D" w14:textId="77777777" w:rsidR="00276AEC" w:rsidRDefault="00276AEC" w:rsidP="0075234A">
            <w:pPr>
              <w:pStyle w:val="ListParagraph"/>
              <w:ind w:firstLine="0"/>
            </w:pPr>
          </w:p>
        </w:tc>
        <w:tc>
          <w:tcPr>
            <w:tcW w:w="2730" w:type="dxa"/>
          </w:tcPr>
          <w:p w14:paraId="0057613D" w14:textId="77777777" w:rsidR="00276AEC" w:rsidRDefault="00276AEC" w:rsidP="00076EB8">
            <w:pPr>
              <w:ind w:firstLine="0"/>
            </w:pPr>
          </w:p>
        </w:tc>
      </w:tr>
      <w:tr w:rsidR="0075234A" w14:paraId="07CDA16C" w14:textId="77777777" w:rsidTr="00BF4BA1">
        <w:tc>
          <w:tcPr>
            <w:tcW w:w="7858" w:type="dxa"/>
            <w:gridSpan w:val="2"/>
          </w:tcPr>
          <w:p w14:paraId="3D307A39" w14:textId="0E6F2437" w:rsidR="0075234A" w:rsidRPr="0075234A" w:rsidRDefault="0075234A" w:rsidP="0075234A">
            <w:pPr>
              <w:ind w:firstLine="0"/>
              <w:jc w:val="center"/>
              <w:rPr>
                <w:smallCaps/>
              </w:rPr>
            </w:pPr>
            <w:r>
              <w:rPr>
                <w:smallCaps/>
              </w:rPr>
              <w:t>Section two – Developing and testing quantitative methods</w:t>
            </w:r>
          </w:p>
        </w:tc>
      </w:tr>
      <w:tr w:rsidR="00BF4BA1" w14:paraId="1BCA99C5" w14:textId="77777777" w:rsidTr="00BF4BA1">
        <w:tc>
          <w:tcPr>
            <w:tcW w:w="5128" w:type="dxa"/>
          </w:tcPr>
          <w:p w14:paraId="65640946" w14:textId="77777777" w:rsidR="0075234A" w:rsidRDefault="0075234A" w:rsidP="0075234A">
            <w:pPr>
              <w:pStyle w:val="ListParagraph"/>
              <w:ind w:firstLine="0"/>
            </w:pPr>
          </w:p>
        </w:tc>
        <w:tc>
          <w:tcPr>
            <w:tcW w:w="2730" w:type="dxa"/>
          </w:tcPr>
          <w:p w14:paraId="49C4BE70" w14:textId="77777777" w:rsidR="0075234A" w:rsidRDefault="0075234A" w:rsidP="00076EB8">
            <w:pPr>
              <w:ind w:firstLine="0"/>
            </w:pPr>
          </w:p>
        </w:tc>
      </w:tr>
      <w:tr w:rsidR="00BF4BA1" w14:paraId="21DC9706" w14:textId="77777777" w:rsidTr="00BF4BA1">
        <w:tc>
          <w:tcPr>
            <w:tcW w:w="5128" w:type="dxa"/>
          </w:tcPr>
          <w:p w14:paraId="14BD1200" w14:textId="73194753" w:rsidR="0075234A" w:rsidRDefault="0075234A" w:rsidP="0075234A">
            <w:pPr>
              <w:pStyle w:val="ListParagraph"/>
              <w:numPr>
                <w:ilvl w:val="0"/>
                <w:numId w:val="19"/>
              </w:numPr>
            </w:pPr>
            <w:r>
              <w:t>Methodological design</w:t>
            </w:r>
          </w:p>
        </w:tc>
        <w:tc>
          <w:tcPr>
            <w:tcW w:w="2730" w:type="dxa"/>
          </w:tcPr>
          <w:p w14:paraId="346856F4" w14:textId="63F69CF3" w:rsidR="0075234A" w:rsidRDefault="00E803E1" w:rsidP="00CF6345">
            <w:pPr>
              <w:ind w:firstLine="0"/>
              <w:jc w:val="right"/>
            </w:pPr>
            <w:r>
              <w:t>59</w:t>
            </w:r>
          </w:p>
        </w:tc>
      </w:tr>
      <w:tr w:rsidR="00BF4BA1" w14:paraId="052EF184" w14:textId="77777777" w:rsidTr="00BF4BA1">
        <w:tc>
          <w:tcPr>
            <w:tcW w:w="5128" w:type="dxa"/>
          </w:tcPr>
          <w:p w14:paraId="56A995A8" w14:textId="74F40E45" w:rsidR="0075234A" w:rsidRDefault="0075234A" w:rsidP="0075234A">
            <w:pPr>
              <w:pStyle w:val="ListParagraph"/>
              <w:numPr>
                <w:ilvl w:val="0"/>
                <w:numId w:val="19"/>
              </w:numPr>
            </w:pPr>
            <w:r>
              <w:t>Research design: cluster analysis</w:t>
            </w:r>
          </w:p>
        </w:tc>
        <w:tc>
          <w:tcPr>
            <w:tcW w:w="2730" w:type="dxa"/>
          </w:tcPr>
          <w:p w14:paraId="42DF222D" w14:textId="245610F7" w:rsidR="0075234A" w:rsidRDefault="00CF6345" w:rsidP="00E803E1">
            <w:pPr>
              <w:ind w:firstLine="0"/>
              <w:jc w:val="right"/>
            </w:pPr>
            <w:r>
              <w:t>8</w:t>
            </w:r>
            <w:r w:rsidR="00E803E1">
              <w:t>7</w:t>
            </w:r>
          </w:p>
        </w:tc>
      </w:tr>
      <w:tr w:rsidR="00BF4BA1" w14:paraId="1164ED8C" w14:textId="77777777" w:rsidTr="00BF4BA1">
        <w:tc>
          <w:tcPr>
            <w:tcW w:w="5128" w:type="dxa"/>
          </w:tcPr>
          <w:p w14:paraId="6171C590" w14:textId="67F9C709" w:rsidR="0075234A" w:rsidRDefault="0075234A" w:rsidP="0075234A">
            <w:pPr>
              <w:pStyle w:val="ListParagraph"/>
              <w:numPr>
                <w:ilvl w:val="0"/>
                <w:numId w:val="19"/>
              </w:numPr>
            </w:pPr>
            <w:r>
              <w:t>Research design: similarity testing</w:t>
            </w:r>
          </w:p>
        </w:tc>
        <w:tc>
          <w:tcPr>
            <w:tcW w:w="2730" w:type="dxa"/>
          </w:tcPr>
          <w:p w14:paraId="64B51148" w14:textId="265238D0" w:rsidR="0075234A" w:rsidRDefault="00CF6345" w:rsidP="00CF6345">
            <w:pPr>
              <w:ind w:firstLine="0"/>
              <w:jc w:val="right"/>
            </w:pPr>
            <w:r>
              <w:t>1</w:t>
            </w:r>
            <w:r w:rsidR="00E803E1">
              <w:t>18</w:t>
            </w:r>
          </w:p>
        </w:tc>
      </w:tr>
      <w:tr w:rsidR="00BF4BA1" w14:paraId="2D1E05E3" w14:textId="77777777" w:rsidTr="00BF4BA1">
        <w:tc>
          <w:tcPr>
            <w:tcW w:w="5128" w:type="dxa"/>
          </w:tcPr>
          <w:p w14:paraId="487A0F8B" w14:textId="77777777" w:rsidR="0075234A" w:rsidRDefault="0075234A" w:rsidP="0075234A">
            <w:pPr>
              <w:ind w:firstLine="0"/>
            </w:pPr>
          </w:p>
        </w:tc>
        <w:tc>
          <w:tcPr>
            <w:tcW w:w="2730" w:type="dxa"/>
          </w:tcPr>
          <w:p w14:paraId="0DB3284F" w14:textId="77777777" w:rsidR="0075234A" w:rsidRDefault="0075234A" w:rsidP="00076EB8">
            <w:pPr>
              <w:ind w:firstLine="0"/>
            </w:pPr>
          </w:p>
        </w:tc>
      </w:tr>
      <w:tr w:rsidR="00BF4BA1" w14:paraId="0A4484D3" w14:textId="77777777" w:rsidTr="00BF4BA1">
        <w:tc>
          <w:tcPr>
            <w:tcW w:w="5128" w:type="dxa"/>
          </w:tcPr>
          <w:p w14:paraId="564B6129" w14:textId="77777777" w:rsidR="00276AEC" w:rsidRDefault="00276AEC" w:rsidP="0075234A">
            <w:pPr>
              <w:ind w:firstLine="0"/>
            </w:pPr>
          </w:p>
        </w:tc>
        <w:tc>
          <w:tcPr>
            <w:tcW w:w="2730" w:type="dxa"/>
          </w:tcPr>
          <w:p w14:paraId="24DB4075" w14:textId="77777777" w:rsidR="00276AEC" w:rsidRDefault="00276AEC" w:rsidP="00076EB8">
            <w:pPr>
              <w:ind w:firstLine="0"/>
            </w:pPr>
          </w:p>
        </w:tc>
      </w:tr>
      <w:tr w:rsidR="0075234A" w14:paraId="5CB0BE21" w14:textId="77777777" w:rsidTr="00BF4BA1">
        <w:tc>
          <w:tcPr>
            <w:tcW w:w="7858" w:type="dxa"/>
            <w:gridSpan w:val="2"/>
          </w:tcPr>
          <w:p w14:paraId="1F3F5BC8" w14:textId="3DE6DF37" w:rsidR="0075234A" w:rsidRPr="0075234A" w:rsidRDefault="0075234A" w:rsidP="008F2F10">
            <w:pPr>
              <w:ind w:firstLine="0"/>
              <w:jc w:val="center"/>
              <w:rPr>
                <w:smallCaps/>
              </w:rPr>
            </w:pPr>
            <w:r>
              <w:rPr>
                <w:smallCaps/>
              </w:rPr>
              <w:t xml:space="preserve">Section three – Applications of quantitative methods </w:t>
            </w:r>
          </w:p>
        </w:tc>
      </w:tr>
      <w:tr w:rsidR="00BF4BA1" w14:paraId="59F20694" w14:textId="77777777" w:rsidTr="00BF4BA1">
        <w:tc>
          <w:tcPr>
            <w:tcW w:w="5128" w:type="dxa"/>
          </w:tcPr>
          <w:p w14:paraId="571205E3" w14:textId="77777777" w:rsidR="0075234A" w:rsidRDefault="0075234A" w:rsidP="0075234A">
            <w:pPr>
              <w:ind w:firstLine="0"/>
            </w:pPr>
          </w:p>
        </w:tc>
        <w:tc>
          <w:tcPr>
            <w:tcW w:w="2730" w:type="dxa"/>
          </w:tcPr>
          <w:p w14:paraId="6978CA33" w14:textId="77777777" w:rsidR="0075234A" w:rsidRDefault="0075234A" w:rsidP="00076EB8">
            <w:pPr>
              <w:ind w:firstLine="0"/>
            </w:pPr>
          </w:p>
        </w:tc>
      </w:tr>
      <w:tr w:rsidR="00BF4BA1" w14:paraId="7B628819" w14:textId="77777777" w:rsidTr="00BF4BA1">
        <w:tc>
          <w:tcPr>
            <w:tcW w:w="5128" w:type="dxa"/>
          </w:tcPr>
          <w:p w14:paraId="1ED236DD" w14:textId="132E0211" w:rsidR="0075234A" w:rsidRDefault="008F2F10" w:rsidP="008F2F10">
            <w:pPr>
              <w:pStyle w:val="ListParagraph"/>
              <w:numPr>
                <w:ilvl w:val="0"/>
                <w:numId w:val="19"/>
              </w:numPr>
            </w:pPr>
            <w:r>
              <w:t>Locating</w:t>
            </w:r>
            <w:r w:rsidR="00276AEC">
              <w:t xml:space="preserve"> individuals in Caxton’s texts</w:t>
            </w:r>
          </w:p>
        </w:tc>
        <w:tc>
          <w:tcPr>
            <w:tcW w:w="2730" w:type="dxa"/>
          </w:tcPr>
          <w:p w14:paraId="018F8EB6" w14:textId="18A701C0" w:rsidR="0075234A" w:rsidRDefault="00CF6345" w:rsidP="00CF6345">
            <w:pPr>
              <w:ind w:firstLine="0"/>
              <w:jc w:val="right"/>
            </w:pPr>
            <w:r>
              <w:t>13</w:t>
            </w:r>
            <w:r w:rsidR="00E803E1">
              <w:t>3</w:t>
            </w:r>
          </w:p>
        </w:tc>
      </w:tr>
      <w:tr w:rsidR="00BF4BA1" w14:paraId="3C1009C9" w14:textId="77777777" w:rsidTr="00BF4BA1">
        <w:tc>
          <w:tcPr>
            <w:tcW w:w="5128" w:type="dxa"/>
          </w:tcPr>
          <w:p w14:paraId="53443496" w14:textId="34753104" w:rsidR="0075234A" w:rsidRDefault="0075234A" w:rsidP="00276AEC">
            <w:pPr>
              <w:pStyle w:val="ListParagraph"/>
              <w:numPr>
                <w:ilvl w:val="0"/>
                <w:numId w:val="19"/>
              </w:numPr>
            </w:pPr>
            <w:r>
              <w:t xml:space="preserve">Similar spellings in </w:t>
            </w:r>
            <w:r w:rsidR="00276AEC">
              <w:t>Caxton’s texts</w:t>
            </w:r>
          </w:p>
        </w:tc>
        <w:tc>
          <w:tcPr>
            <w:tcW w:w="2730" w:type="dxa"/>
          </w:tcPr>
          <w:p w14:paraId="7AA23674" w14:textId="7ADAA026" w:rsidR="0075234A" w:rsidRPr="00FC56E8" w:rsidRDefault="00CF6345" w:rsidP="00CF6345">
            <w:pPr>
              <w:ind w:firstLine="0"/>
              <w:jc w:val="right"/>
            </w:pPr>
            <w:r w:rsidRPr="00FC56E8">
              <w:t>16</w:t>
            </w:r>
            <w:r w:rsidR="00FC56E8" w:rsidRPr="00FC56E8">
              <w:t>2</w:t>
            </w:r>
          </w:p>
        </w:tc>
      </w:tr>
      <w:tr w:rsidR="00BF4BA1" w14:paraId="0844CBDE" w14:textId="77777777" w:rsidTr="00BF4BA1">
        <w:tc>
          <w:tcPr>
            <w:tcW w:w="5128" w:type="dxa"/>
          </w:tcPr>
          <w:p w14:paraId="44B40D05" w14:textId="2C47CF4A" w:rsidR="0075234A" w:rsidRDefault="00276AEC" w:rsidP="0075234A">
            <w:pPr>
              <w:pStyle w:val="ListParagraph"/>
              <w:numPr>
                <w:ilvl w:val="0"/>
                <w:numId w:val="19"/>
              </w:numPr>
            </w:pPr>
            <w:r>
              <w:t>Evidence of Caxton’s influence</w:t>
            </w:r>
            <w:r w:rsidR="0075234A">
              <w:t xml:space="preserve"> </w:t>
            </w:r>
          </w:p>
        </w:tc>
        <w:tc>
          <w:tcPr>
            <w:tcW w:w="2730" w:type="dxa"/>
          </w:tcPr>
          <w:p w14:paraId="4A64635D" w14:textId="2DA729B5" w:rsidR="0075234A" w:rsidRPr="00FC56E8" w:rsidRDefault="00CF6345" w:rsidP="00CF6345">
            <w:pPr>
              <w:ind w:firstLine="0"/>
              <w:jc w:val="right"/>
            </w:pPr>
            <w:r w:rsidRPr="00FC56E8">
              <w:t>17</w:t>
            </w:r>
            <w:r w:rsidR="00FC56E8" w:rsidRPr="00FC56E8">
              <w:t>7</w:t>
            </w:r>
          </w:p>
        </w:tc>
      </w:tr>
      <w:tr w:rsidR="00BF4BA1" w14:paraId="4A77CC3B" w14:textId="77777777" w:rsidTr="00BF4BA1">
        <w:tc>
          <w:tcPr>
            <w:tcW w:w="5128" w:type="dxa"/>
          </w:tcPr>
          <w:p w14:paraId="7832FF8C" w14:textId="21A48A8E" w:rsidR="00276AEC" w:rsidRDefault="00276AEC" w:rsidP="00276AEC">
            <w:pPr>
              <w:pStyle w:val="ListParagraph"/>
              <w:numPr>
                <w:ilvl w:val="0"/>
                <w:numId w:val="19"/>
              </w:numPr>
              <w:jc w:val="left"/>
            </w:pPr>
            <w:r>
              <w:t>Conclusions</w:t>
            </w:r>
          </w:p>
        </w:tc>
        <w:tc>
          <w:tcPr>
            <w:tcW w:w="2730" w:type="dxa"/>
          </w:tcPr>
          <w:p w14:paraId="5782A81A" w14:textId="5EEBC47C" w:rsidR="00276AEC" w:rsidRPr="00FC56E8" w:rsidRDefault="00CF6345" w:rsidP="00CF6345">
            <w:pPr>
              <w:ind w:firstLine="0"/>
              <w:jc w:val="right"/>
            </w:pPr>
            <w:r w:rsidRPr="00FC56E8">
              <w:t>2</w:t>
            </w:r>
            <w:r w:rsidR="00FC56E8" w:rsidRPr="00FC56E8">
              <w:t>09</w:t>
            </w:r>
          </w:p>
        </w:tc>
      </w:tr>
      <w:tr w:rsidR="00BF4BA1" w14:paraId="071C4DC3" w14:textId="77777777" w:rsidTr="00BF4BA1">
        <w:tc>
          <w:tcPr>
            <w:tcW w:w="5128" w:type="dxa"/>
          </w:tcPr>
          <w:p w14:paraId="0292F21D" w14:textId="77777777" w:rsidR="00276AEC" w:rsidRDefault="00276AEC" w:rsidP="00276AEC">
            <w:pPr>
              <w:ind w:firstLine="0"/>
            </w:pPr>
          </w:p>
        </w:tc>
        <w:tc>
          <w:tcPr>
            <w:tcW w:w="2730" w:type="dxa"/>
          </w:tcPr>
          <w:p w14:paraId="5A5EEFA4" w14:textId="77777777" w:rsidR="00276AEC" w:rsidRPr="00E803E1" w:rsidRDefault="00276AEC" w:rsidP="00076EB8">
            <w:pPr>
              <w:ind w:firstLine="0"/>
              <w:rPr>
                <w:b/>
              </w:rPr>
            </w:pPr>
          </w:p>
        </w:tc>
      </w:tr>
      <w:tr w:rsidR="00BF4BA1" w14:paraId="3703A8C6" w14:textId="77777777" w:rsidTr="00BF4BA1">
        <w:tc>
          <w:tcPr>
            <w:tcW w:w="5128" w:type="dxa"/>
          </w:tcPr>
          <w:p w14:paraId="3866C685" w14:textId="226E79B1" w:rsidR="00276AEC" w:rsidRDefault="00276AEC" w:rsidP="008F2F10">
            <w:pPr>
              <w:ind w:firstLine="0"/>
            </w:pPr>
            <w:r>
              <w:t>Bibliography</w:t>
            </w:r>
          </w:p>
        </w:tc>
        <w:tc>
          <w:tcPr>
            <w:tcW w:w="2730" w:type="dxa"/>
          </w:tcPr>
          <w:p w14:paraId="59DAB94D" w14:textId="761189DA" w:rsidR="00276AEC" w:rsidRPr="00FC56E8" w:rsidRDefault="00FC56E8" w:rsidP="00CF6345">
            <w:pPr>
              <w:ind w:firstLine="0"/>
              <w:jc w:val="right"/>
            </w:pPr>
            <w:r w:rsidRPr="00FC56E8">
              <w:t>219</w:t>
            </w:r>
          </w:p>
        </w:tc>
      </w:tr>
    </w:tbl>
    <w:p w14:paraId="122AE469" w14:textId="0BDD32B6" w:rsidR="00076EB8" w:rsidRDefault="00076EB8" w:rsidP="00076EB8">
      <w:pPr>
        <w:ind w:firstLine="0"/>
      </w:pPr>
    </w:p>
    <w:p w14:paraId="7F76CE81" w14:textId="77777777" w:rsidR="00076EB8" w:rsidRDefault="00076EB8" w:rsidP="00076EB8">
      <w:pPr>
        <w:ind w:firstLine="0"/>
      </w:pPr>
    </w:p>
    <w:p w14:paraId="45E9DFA4" w14:textId="77777777" w:rsidR="00076EB8" w:rsidRPr="00076EB8" w:rsidRDefault="00076EB8" w:rsidP="00076EB8">
      <w:pPr>
        <w:ind w:firstLine="0"/>
      </w:pPr>
    </w:p>
    <w:p w14:paraId="24FBEC32" w14:textId="56085527" w:rsidR="00697017" w:rsidRPr="00697017" w:rsidRDefault="00697017" w:rsidP="00B326AC">
      <w:pPr>
        <w:pStyle w:val="TOC1"/>
        <w:tabs>
          <w:tab w:val="right" w:leader="dot" w:pos="9010"/>
        </w:tabs>
        <w:spacing w:before="0"/>
        <w:ind w:firstLine="0"/>
        <w:sectPr w:rsidR="00697017" w:rsidRPr="00697017" w:rsidSect="00DD0828">
          <w:pgSz w:w="11900" w:h="16840"/>
          <w:pgMar w:top="1440" w:right="1440" w:bottom="1440" w:left="1440" w:header="720" w:footer="720" w:gutter="1152"/>
          <w:cols w:space="720"/>
          <w:docGrid w:linePitch="360"/>
        </w:sectPr>
      </w:pPr>
    </w:p>
    <w:p w14:paraId="7D0628AE" w14:textId="77777777" w:rsidR="002C53B3" w:rsidRDefault="002C53B3" w:rsidP="00382BAC">
      <w:pPr>
        <w:pStyle w:val="Title"/>
      </w:pPr>
      <w:r>
        <w:lastRenderedPageBreak/>
        <w:br w:type="page"/>
      </w:r>
    </w:p>
    <w:p w14:paraId="18CAE9B2" w14:textId="77777777" w:rsidR="002C53B3" w:rsidRDefault="002C53B3" w:rsidP="00382BAC">
      <w:pPr>
        <w:pStyle w:val="Title"/>
        <w:sectPr w:rsidR="002C53B3" w:rsidSect="00DD0828">
          <w:headerReference w:type="default" r:id="rId9"/>
          <w:footerReference w:type="default" r:id="rId10"/>
          <w:pgSz w:w="11900" w:h="16840"/>
          <w:pgMar w:top="1440" w:right="1440" w:bottom="1440" w:left="1440" w:header="720" w:footer="720" w:gutter="1152"/>
          <w:pgNumType w:fmt="lowerRoman" w:start="1"/>
          <w:cols w:space="720"/>
          <w:docGrid w:linePitch="360"/>
        </w:sectPr>
      </w:pPr>
    </w:p>
    <w:p w14:paraId="4FF2A0C3" w14:textId="06ED3CE3" w:rsidR="00E01680" w:rsidRDefault="00136716" w:rsidP="00382BAC">
      <w:pPr>
        <w:pStyle w:val="Title"/>
      </w:pPr>
      <w:bookmarkStart w:id="5" w:name="_Toc497899825"/>
      <w:r>
        <w:lastRenderedPageBreak/>
        <w:t>Acknowledgements</w:t>
      </w:r>
      <w:bookmarkEnd w:id="5"/>
    </w:p>
    <w:p w14:paraId="057F735A" w14:textId="77777777" w:rsidR="003E1B1B" w:rsidRDefault="003E1B1B" w:rsidP="003E1B1B">
      <w:r>
        <w:t xml:space="preserve">Undertaking a PhD has been the most challenging and most rewarding experience of my life so far. I’ve had a wonderful time, and that’s mainly due to the outstanding people I’ve been fortunate enough to meet along the way. </w:t>
      </w:r>
    </w:p>
    <w:p w14:paraId="0578E6D7" w14:textId="77777777" w:rsidR="003E1B1B" w:rsidRDefault="003E1B1B" w:rsidP="003E1B1B">
      <w:r>
        <w:t xml:space="preserve">I wish to take the opportunity to convey my respect and my gratitude to my supervisors, Professor Susan Fitzmaurice and Dr Graham Williams. Thank you for your advice and your guidance, but perhaps more importantly, thank you for your kindness and your friendship. </w:t>
      </w:r>
    </w:p>
    <w:p w14:paraId="0A3C80DA" w14:textId="7D2E3D4B" w:rsidR="003E1B1B" w:rsidRDefault="003E1B1B" w:rsidP="003E1B1B">
      <w:r>
        <w:t xml:space="preserve">I was fortunate to be awarded an AHRC grant through the White Rose College of the Arts and Humanities, without which I could not have undertaken this work. I must also thank the dozens of anonymous strangers on The Internet whose solutions to my coding woes saved my computer from an untimely demise. </w:t>
      </w:r>
    </w:p>
    <w:p w14:paraId="4E27EE41" w14:textId="4A7C7810" w:rsidR="003E1B1B" w:rsidRDefault="003E1B1B" w:rsidP="003E1B1B">
      <w:r>
        <w:t xml:space="preserve">Studying for a PhD is often described as an extended period of loneliness, but thanks to my PhD family I </w:t>
      </w:r>
      <w:r w:rsidR="00CF6345">
        <w:t>have never felt alone</w:t>
      </w:r>
      <w:r>
        <w:t xml:space="preserve">. Jess Hannington, Sarah Jackson, Hannah Leach, Sarah Lund, Jess Norledge, Emily Thew, Christine Wallis: you are some of the most brilliant, funny, insightful women that I have ever had the pleasure to meet, and you made my time at Sheffield the positive experience that it was. While I hope to be awarded a PhD for this thesis, if I get nothing else out of these three years except for your friendship, it may still have been worth it. </w:t>
      </w:r>
    </w:p>
    <w:p w14:paraId="6CEC2341" w14:textId="250DD327" w:rsidR="003E1B1B" w:rsidRDefault="003B5DD5" w:rsidP="003E1B1B">
      <w:r>
        <w:t>I am grateful for the continual support from my family</w:t>
      </w:r>
      <w:r w:rsidR="003E1B1B">
        <w:t>. My parents, Judy and David, your unwavering belief in me has been a constant throughout my life, and your encouragement has kept me going even when you didn’t know it. To my siblings, Sam and Ellie, thanks for keeping me laughing (even when it was a laugh of impatience).</w:t>
      </w:r>
    </w:p>
    <w:p w14:paraId="3A11672E" w14:textId="65379094" w:rsidR="003E1B1B" w:rsidRDefault="003E1B1B" w:rsidP="003E1B1B">
      <w:r>
        <w:t xml:space="preserve">Finally, my partner Jason. There are not words enough to express my gratitude for your patience, </w:t>
      </w:r>
      <w:r w:rsidR="008B2AF2">
        <w:t>humour</w:t>
      </w:r>
      <w:r>
        <w:t xml:space="preserve">, and a thousand daily kindnesses. Thank you for everything. </w:t>
      </w:r>
    </w:p>
    <w:p w14:paraId="48B01F36" w14:textId="77777777" w:rsidR="003E1B1B" w:rsidRDefault="003E1B1B" w:rsidP="003E1B1B"/>
    <w:p w14:paraId="27AA29BE" w14:textId="77777777" w:rsidR="003E1B1B" w:rsidRDefault="003E1B1B" w:rsidP="003E1B1B"/>
    <w:p w14:paraId="461030AB" w14:textId="77777777" w:rsidR="003E1B1B" w:rsidRDefault="003E1B1B" w:rsidP="003E1B1B"/>
    <w:p w14:paraId="7627F75F" w14:textId="77777777" w:rsidR="003E1B1B" w:rsidRDefault="003E1B1B" w:rsidP="003E1B1B">
      <w:pPr>
        <w:jc w:val="right"/>
      </w:pPr>
      <w:r>
        <w:t>Rosie Shute</w:t>
      </w:r>
    </w:p>
    <w:p w14:paraId="0B50F0DE" w14:textId="7532A871" w:rsidR="00624659" w:rsidRDefault="003E1B1B" w:rsidP="009D73A1">
      <w:pPr>
        <w:jc w:val="right"/>
      </w:pPr>
      <w:r>
        <w:t xml:space="preserve">Sheffield, </w:t>
      </w:r>
      <w:r w:rsidR="0036702E">
        <w:t>December</w:t>
      </w:r>
      <w:r>
        <w:t xml:space="preserve"> 2017</w:t>
      </w:r>
    </w:p>
    <w:p w14:paraId="261CD9B0" w14:textId="77777777" w:rsidR="00C13E21" w:rsidRDefault="00C13E21" w:rsidP="00C13E21"/>
    <w:p w14:paraId="3BD7FBD2" w14:textId="77777777" w:rsidR="00C13E21" w:rsidRDefault="00C13E21" w:rsidP="00C13E21"/>
    <w:p w14:paraId="67E47AAF" w14:textId="77777777" w:rsidR="00C13E21" w:rsidRDefault="00C13E21" w:rsidP="00C13E21"/>
    <w:p w14:paraId="0BC1C1B0" w14:textId="77777777" w:rsidR="00E01680" w:rsidRDefault="00E01680" w:rsidP="005B24D6">
      <w:pPr>
        <w:ind w:firstLine="0"/>
      </w:pPr>
    </w:p>
    <w:p w14:paraId="7F05179F" w14:textId="77777777" w:rsidR="003E1B1B" w:rsidRDefault="003E1B1B" w:rsidP="00382BAC">
      <w:pPr>
        <w:pStyle w:val="Title"/>
      </w:pPr>
      <w:bookmarkStart w:id="6" w:name="_Toc497899826"/>
      <w:r>
        <w:br w:type="page"/>
      </w:r>
    </w:p>
    <w:p w14:paraId="23A13015" w14:textId="295DF36B" w:rsidR="00E01680" w:rsidRDefault="00E01680" w:rsidP="00382BAC">
      <w:pPr>
        <w:pStyle w:val="Title"/>
      </w:pPr>
      <w:r>
        <w:lastRenderedPageBreak/>
        <w:t>List of tables</w:t>
      </w:r>
      <w:bookmarkEnd w:id="6"/>
      <w:r w:rsidR="00367D34">
        <w:t xml:space="preserve"> and figures</w:t>
      </w:r>
    </w:p>
    <w:p w14:paraId="1B40ADC7" w14:textId="77777777" w:rsidR="00367D34" w:rsidRDefault="00367D34" w:rsidP="00367D34">
      <w:pPr>
        <w:pStyle w:val="TableofFigures"/>
        <w:tabs>
          <w:tab w:val="right" w:leader="dot" w:pos="7858"/>
        </w:tabs>
        <w:rPr>
          <w:rFonts w:asciiTheme="minorHAnsi" w:eastAsiaTheme="minorEastAsia" w:hAnsiTheme="minorHAnsi" w:cstheme="minorBidi"/>
          <w:noProof/>
          <w:sz w:val="24"/>
          <w:szCs w:val="24"/>
          <w:lang w:eastAsia="en-GB"/>
        </w:rPr>
      </w:pPr>
      <w:r>
        <w:rPr>
          <w:noProof/>
        </w:rPr>
        <w:t>Figure 2.1: A quire made from three sheets of paper, viewed from above and side on</w:t>
      </w:r>
      <w:r>
        <w:rPr>
          <w:noProof/>
        </w:rPr>
        <w:tab/>
      </w:r>
      <w:r>
        <w:rPr>
          <w:noProof/>
        </w:rPr>
        <w:fldChar w:fldCharType="begin"/>
      </w:r>
      <w:r>
        <w:rPr>
          <w:noProof/>
        </w:rPr>
        <w:instrText xml:space="preserve"> PAGEREF _Toc499753501 \h </w:instrText>
      </w:r>
      <w:r>
        <w:rPr>
          <w:noProof/>
        </w:rPr>
      </w:r>
      <w:r>
        <w:rPr>
          <w:noProof/>
        </w:rPr>
        <w:fldChar w:fldCharType="separate"/>
      </w:r>
      <w:r>
        <w:rPr>
          <w:noProof/>
        </w:rPr>
        <w:t>29</w:t>
      </w:r>
      <w:r>
        <w:rPr>
          <w:noProof/>
        </w:rPr>
        <w:fldChar w:fldCharType="end"/>
      </w:r>
    </w:p>
    <w:p w14:paraId="1B57618B" w14:textId="77777777" w:rsidR="00367D34" w:rsidRDefault="00367D34" w:rsidP="00367D34">
      <w:pPr>
        <w:pStyle w:val="TableofFigures"/>
        <w:tabs>
          <w:tab w:val="right" w:leader="dot" w:pos="7858"/>
        </w:tabs>
        <w:rPr>
          <w:rFonts w:asciiTheme="minorHAnsi" w:eastAsiaTheme="minorEastAsia" w:hAnsiTheme="minorHAnsi" w:cstheme="minorBidi"/>
          <w:noProof/>
          <w:sz w:val="24"/>
          <w:szCs w:val="24"/>
          <w:lang w:eastAsia="en-GB"/>
        </w:rPr>
      </w:pPr>
      <w:r>
        <w:rPr>
          <w:noProof/>
        </w:rPr>
        <w:t xml:space="preserve">Figure 2.2: Coat of arms watermark in Caxton's </w:t>
      </w:r>
      <w:r w:rsidRPr="005C28E7">
        <w:rPr>
          <w:i/>
          <w:noProof/>
        </w:rPr>
        <w:t>Chronicles of England</w:t>
      </w:r>
      <w:r>
        <w:rPr>
          <w:noProof/>
        </w:rPr>
        <w:t>, from Hellinga and Painter (2007: 323)</w:t>
      </w:r>
      <w:r>
        <w:rPr>
          <w:noProof/>
        </w:rPr>
        <w:tab/>
      </w:r>
      <w:r>
        <w:rPr>
          <w:noProof/>
        </w:rPr>
        <w:fldChar w:fldCharType="begin"/>
      </w:r>
      <w:r>
        <w:rPr>
          <w:noProof/>
        </w:rPr>
        <w:instrText xml:space="preserve"> PAGEREF _Toc499753502 \h </w:instrText>
      </w:r>
      <w:r>
        <w:rPr>
          <w:noProof/>
        </w:rPr>
      </w:r>
      <w:r>
        <w:rPr>
          <w:noProof/>
        </w:rPr>
        <w:fldChar w:fldCharType="separate"/>
      </w:r>
      <w:r>
        <w:rPr>
          <w:noProof/>
        </w:rPr>
        <w:t>31</w:t>
      </w:r>
      <w:r>
        <w:rPr>
          <w:noProof/>
        </w:rPr>
        <w:fldChar w:fldCharType="end"/>
      </w:r>
    </w:p>
    <w:p w14:paraId="0245D875" w14:textId="77777777" w:rsidR="00367D34" w:rsidRDefault="00367D34" w:rsidP="00367D34">
      <w:pPr>
        <w:pStyle w:val="TableofFigures"/>
        <w:tabs>
          <w:tab w:val="right" w:leader="dot" w:pos="7858"/>
        </w:tabs>
        <w:rPr>
          <w:rFonts w:asciiTheme="minorHAnsi" w:eastAsiaTheme="minorEastAsia" w:hAnsiTheme="minorHAnsi" w:cstheme="minorBidi"/>
          <w:noProof/>
          <w:sz w:val="24"/>
          <w:szCs w:val="24"/>
          <w:lang w:eastAsia="en-GB"/>
        </w:rPr>
      </w:pPr>
      <w:r>
        <w:rPr>
          <w:noProof/>
        </w:rPr>
        <w:t>Figure 2.3: Type a</w:t>
      </w:r>
      <w:r w:rsidRPr="005C28E7">
        <w:rPr>
          <w:noProof/>
          <w:vertAlign w:val="superscript"/>
        </w:rPr>
        <w:t>1</w:t>
      </w:r>
      <w:r>
        <w:rPr>
          <w:noProof/>
        </w:rPr>
        <w:t xml:space="preserve"> in Caxton’s Type 2 in </w:t>
      </w:r>
      <w:r w:rsidRPr="005C28E7">
        <w:rPr>
          <w:i/>
          <w:noProof/>
        </w:rPr>
        <w:t>History of Jason</w:t>
      </w:r>
      <w:r>
        <w:rPr>
          <w:noProof/>
        </w:rPr>
        <w:t>, p. 5</w:t>
      </w:r>
      <w:r w:rsidRPr="005C28E7">
        <w:rPr>
          <w:noProof/>
          <w:vertAlign w:val="superscript"/>
        </w:rPr>
        <w:t>a</w:t>
      </w:r>
      <w:r>
        <w:rPr>
          <w:noProof/>
        </w:rPr>
        <w:tab/>
      </w:r>
      <w:r>
        <w:rPr>
          <w:noProof/>
        </w:rPr>
        <w:fldChar w:fldCharType="begin"/>
      </w:r>
      <w:r>
        <w:rPr>
          <w:noProof/>
        </w:rPr>
        <w:instrText xml:space="preserve"> PAGEREF _Toc499753503 \h </w:instrText>
      </w:r>
      <w:r>
        <w:rPr>
          <w:noProof/>
        </w:rPr>
      </w:r>
      <w:r>
        <w:rPr>
          <w:noProof/>
        </w:rPr>
        <w:fldChar w:fldCharType="separate"/>
      </w:r>
      <w:r>
        <w:rPr>
          <w:noProof/>
        </w:rPr>
        <w:t>33</w:t>
      </w:r>
      <w:r>
        <w:rPr>
          <w:noProof/>
        </w:rPr>
        <w:fldChar w:fldCharType="end"/>
      </w:r>
    </w:p>
    <w:p w14:paraId="4C8DB481" w14:textId="77777777" w:rsidR="00367D34" w:rsidRDefault="00367D34" w:rsidP="00367D34">
      <w:pPr>
        <w:pStyle w:val="TableofFigures"/>
        <w:tabs>
          <w:tab w:val="right" w:leader="dot" w:pos="7858"/>
        </w:tabs>
        <w:rPr>
          <w:rFonts w:asciiTheme="minorHAnsi" w:eastAsiaTheme="minorEastAsia" w:hAnsiTheme="minorHAnsi" w:cstheme="minorBidi"/>
          <w:noProof/>
          <w:sz w:val="24"/>
          <w:szCs w:val="24"/>
          <w:lang w:eastAsia="en-GB"/>
        </w:rPr>
      </w:pPr>
      <w:r>
        <w:rPr>
          <w:noProof/>
        </w:rPr>
        <w:t>Figure 2.4: Type a</w:t>
      </w:r>
      <w:r w:rsidRPr="005C28E7">
        <w:rPr>
          <w:noProof/>
          <w:vertAlign w:val="superscript"/>
        </w:rPr>
        <w:t>2</w:t>
      </w:r>
      <w:r>
        <w:rPr>
          <w:noProof/>
        </w:rPr>
        <w:t xml:space="preserve"> in Caxton's Type 2 in </w:t>
      </w:r>
      <w:r w:rsidRPr="005C28E7">
        <w:rPr>
          <w:i/>
          <w:noProof/>
        </w:rPr>
        <w:t>History of Jason</w:t>
      </w:r>
      <w:r>
        <w:rPr>
          <w:noProof/>
        </w:rPr>
        <w:t>, p. 5</w:t>
      </w:r>
      <w:r w:rsidRPr="005C28E7">
        <w:rPr>
          <w:noProof/>
          <w:vertAlign w:val="superscript"/>
        </w:rPr>
        <w:t>b</w:t>
      </w:r>
      <w:r>
        <w:rPr>
          <w:noProof/>
        </w:rPr>
        <w:tab/>
      </w:r>
      <w:r>
        <w:rPr>
          <w:noProof/>
        </w:rPr>
        <w:fldChar w:fldCharType="begin"/>
      </w:r>
      <w:r>
        <w:rPr>
          <w:noProof/>
        </w:rPr>
        <w:instrText xml:space="preserve"> PAGEREF _Toc499753504 \h </w:instrText>
      </w:r>
      <w:r>
        <w:rPr>
          <w:noProof/>
        </w:rPr>
      </w:r>
      <w:r>
        <w:rPr>
          <w:noProof/>
        </w:rPr>
        <w:fldChar w:fldCharType="separate"/>
      </w:r>
      <w:r>
        <w:rPr>
          <w:noProof/>
        </w:rPr>
        <w:t>33</w:t>
      </w:r>
      <w:r>
        <w:rPr>
          <w:noProof/>
        </w:rPr>
        <w:fldChar w:fldCharType="end"/>
      </w:r>
    </w:p>
    <w:p w14:paraId="735294F3" w14:textId="77777777" w:rsidR="00367D34" w:rsidRDefault="00367D34" w:rsidP="00367D34">
      <w:pPr>
        <w:pStyle w:val="TableofFigures"/>
        <w:tabs>
          <w:tab w:val="right" w:leader="dot" w:pos="7858"/>
        </w:tabs>
        <w:rPr>
          <w:rFonts w:asciiTheme="minorHAnsi" w:eastAsiaTheme="minorEastAsia" w:hAnsiTheme="minorHAnsi" w:cstheme="minorBidi"/>
          <w:noProof/>
          <w:sz w:val="24"/>
          <w:szCs w:val="24"/>
          <w:lang w:eastAsia="en-GB"/>
        </w:rPr>
      </w:pPr>
      <w:r>
        <w:rPr>
          <w:noProof/>
        </w:rPr>
        <w:t xml:space="preserve">Figure 3.1: Physically justified text in Caxton’s </w:t>
      </w:r>
      <w:r w:rsidRPr="005C28E7">
        <w:rPr>
          <w:i/>
          <w:noProof/>
        </w:rPr>
        <w:t>Canterbury Tales</w:t>
      </w:r>
      <w:r>
        <w:rPr>
          <w:noProof/>
        </w:rPr>
        <w:t>, 2</w:t>
      </w:r>
      <w:r w:rsidRPr="005C28E7">
        <w:rPr>
          <w:noProof/>
          <w:vertAlign w:val="superscript"/>
        </w:rPr>
        <w:t>nd</w:t>
      </w:r>
      <w:r>
        <w:rPr>
          <w:noProof/>
        </w:rPr>
        <w:t xml:space="preserve"> ed., p. 278</w:t>
      </w:r>
      <w:r w:rsidRPr="005C28E7">
        <w:rPr>
          <w:noProof/>
          <w:vertAlign w:val="superscript"/>
        </w:rPr>
        <w:t>a</w:t>
      </w:r>
      <w:r>
        <w:rPr>
          <w:noProof/>
        </w:rPr>
        <w:tab/>
      </w:r>
      <w:r>
        <w:rPr>
          <w:noProof/>
        </w:rPr>
        <w:fldChar w:fldCharType="begin"/>
      </w:r>
      <w:r>
        <w:rPr>
          <w:noProof/>
        </w:rPr>
        <w:instrText xml:space="preserve"> PAGEREF _Toc499753505 \h </w:instrText>
      </w:r>
      <w:r>
        <w:rPr>
          <w:noProof/>
        </w:rPr>
      </w:r>
      <w:r>
        <w:rPr>
          <w:noProof/>
        </w:rPr>
        <w:fldChar w:fldCharType="separate"/>
      </w:r>
      <w:r>
        <w:rPr>
          <w:noProof/>
        </w:rPr>
        <w:t>36</w:t>
      </w:r>
      <w:r>
        <w:rPr>
          <w:noProof/>
        </w:rPr>
        <w:fldChar w:fldCharType="end"/>
      </w:r>
    </w:p>
    <w:p w14:paraId="42292830" w14:textId="77777777" w:rsidR="00367D34" w:rsidRDefault="00367D34" w:rsidP="00367D34">
      <w:pPr>
        <w:pStyle w:val="TableofFigures"/>
        <w:tabs>
          <w:tab w:val="right" w:leader="dot" w:pos="7858"/>
        </w:tabs>
        <w:rPr>
          <w:rFonts w:asciiTheme="minorHAnsi" w:eastAsiaTheme="minorEastAsia" w:hAnsiTheme="minorHAnsi" w:cstheme="minorBidi"/>
          <w:noProof/>
          <w:sz w:val="24"/>
          <w:szCs w:val="24"/>
          <w:lang w:eastAsia="en-GB"/>
        </w:rPr>
      </w:pPr>
      <w:r>
        <w:rPr>
          <w:noProof/>
        </w:rPr>
        <w:t xml:space="preserve">Figure 3.2: Visually justified text in Caxton’s </w:t>
      </w:r>
      <w:r w:rsidRPr="005C28E7">
        <w:rPr>
          <w:i/>
          <w:noProof/>
        </w:rPr>
        <w:t>Canterbury Tales</w:t>
      </w:r>
      <w:r>
        <w:rPr>
          <w:noProof/>
        </w:rPr>
        <w:t>, 2</w:t>
      </w:r>
      <w:r w:rsidRPr="005C28E7">
        <w:rPr>
          <w:noProof/>
          <w:vertAlign w:val="superscript"/>
        </w:rPr>
        <w:t>nd</w:t>
      </w:r>
      <w:r>
        <w:rPr>
          <w:noProof/>
        </w:rPr>
        <w:t xml:space="preserve"> edn., p. 291</w:t>
      </w:r>
      <w:r w:rsidRPr="005C28E7">
        <w:rPr>
          <w:noProof/>
          <w:vertAlign w:val="superscript"/>
        </w:rPr>
        <w:t>a</w:t>
      </w:r>
      <w:r>
        <w:rPr>
          <w:noProof/>
        </w:rPr>
        <w:tab/>
      </w:r>
      <w:r>
        <w:rPr>
          <w:noProof/>
        </w:rPr>
        <w:fldChar w:fldCharType="begin"/>
      </w:r>
      <w:r>
        <w:rPr>
          <w:noProof/>
        </w:rPr>
        <w:instrText xml:space="preserve"> PAGEREF _Toc499753506 \h </w:instrText>
      </w:r>
      <w:r>
        <w:rPr>
          <w:noProof/>
        </w:rPr>
      </w:r>
      <w:r>
        <w:rPr>
          <w:noProof/>
        </w:rPr>
        <w:fldChar w:fldCharType="separate"/>
      </w:r>
      <w:r>
        <w:rPr>
          <w:noProof/>
        </w:rPr>
        <w:t>37</w:t>
      </w:r>
      <w:r>
        <w:rPr>
          <w:noProof/>
        </w:rPr>
        <w:fldChar w:fldCharType="end"/>
      </w:r>
    </w:p>
    <w:p w14:paraId="3FF7814B" w14:textId="77777777" w:rsidR="00367D34" w:rsidRDefault="00367D34" w:rsidP="00367D34">
      <w:pPr>
        <w:pStyle w:val="TableofFigures"/>
        <w:tabs>
          <w:tab w:val="right" w:leader="dot" w:pos="7858"/>
        </w:tabs>
        <w:rPr>
          <w:rFonts w:asciiTheme="minorHAnsi" w:eastAsiaTheme="minorEastAsia" w:hAnsiTheme="minorHAnsi" w:cstheme="minorBidi"/>
          <w:noProof/>
          <w:sz w:val="24"/>
          <w:szCs w:val="24"/>
          <w:lang w:eastAsia="en-GB"/>
        </w:rPr>
      </w:pPr>
      <w:r>
        <w:rPr>
          <w:noProof/>
        </w:rPr>
        <w:t xml:space="preserve">Figure 3.3: Rising space in Pynson’s </w:t>
      </w:r>
      <w:r w:rsidRPr="005C28E7">
        <w:rPr>
          <w:i/>
          <w:noProof/>
        </w:rPr>
        <w:t>Reynard the Fox</w:t>
      </w:r>
      <w:r>
        <w:rPr>
          <w:noProof/>
        </w:rPr>
        <w:t>, p. 1</w:t>
      </w:r>
      <w:r w:rsidRPr="005C28E7">
        <w:rPr>
          <w:noProof/>
          <w:vertAlign w:val="superscript"/>
        </w:rPr>
        <w:t>a</w:t>
      </w:r>
      <w:r>
        <w:rPr>
          <w:noProof/>
        </w:rPr>
        <w:t xml:space="preserve"> line 20</w:t>
      </w:r>
      <w:r>
        <w:rPr>
          <w:noProof/>
        </w:rPr>
        <w:tab/>
      </w:r>
      <w:r>
        <w:rPr>
          <w:noProof/>
        </w:rPr>
        <w:fldChar w:fldCharType="begin"/>
      </w:r>
      <w:r>
        <w:rPr>
          <w:noProof/>
        </w:rPr>
        <w:instrText xml:space="preserve"> PAGEREF _Toc499753507 \h </w:instrText>
      </w:r>
      <w:r>
        <w:rPr>
          <w:noProof/>
        </w:rPr>
      </w:r>
      <w:r>
        <w:rPr>
          <w:noProof/>
        </w:rPr>
        <w:fldChar w:fldCharType="separate"/>
      </w:r>
      <w:r>
        <w:rPr>
          <w:noProof/>
        </w:rPr>
        <w:t>38</w:t>
      </w:r>
      <w:r>
        <w:rPr>
          <w:noProof/>
        </w:rPr>
        <w:fldChar w:fldCharType="end"/>
      </w:r>
    </w:p>
    <w:p w14:paraId="1527FB82" w14:textId="77777777" w:rsidR="00367D34" w:rsidRDefault="00367D34" w:rsidP="00367D34">
      <w:pPr>
        <w:pStyle w:val="TableofFigures"/>
        <w:tabs>
          <w:tab w:val="right" w:leader="dot" w:pos="7858"/>
        </w:tabs>
        <w:rPr>
          <w:rFonts w:asciiTheme="minorHAnsi" w:eastAsiaTheme="minorEastAsia" w:hAnsiTheme="minorHAnsi" w:cstheme="minorBidi"/>
          <w:noProof/>
          <w:sz w:val="24"/>
          <w:szCs w:val="24"/>
          <w:lang w:eastAsia="en-GB"/>
        </w:rPr>
      </w:pPr>
      <w:r>
        <w:rPr>
          <w:noProof/>
        </w:rPr>
        <w:t xml:space="preserve">Figure 3.4: Richard Pynson’s </w:t>
      </w:r>
      <w:r w:rsidRPr="005C28E7">
        <w:rPr>
          <w:i/>
          <w:noProof/>
        </w:rPr>
        <w:t>Reynard the Fox</w:t>
      </w:r>
      <w:r>
        <w:rPr>
          <w:noProof/>
        </w:rPr>
        <w:t xml:space="preserve"> printed in two columns, p. 1</w:t>
      </w:r>
      <w:r w:rsidRPr="005C28E7">
        <w:rPr>
          <w:noProof/>
          <w:vertAlign w:val="superscript"/>
        </w:rPr>
        <w:t>a</w:t>
      </w:r>
      <w:r>
        <w:rPr>
          <w:noProof/>
        </w:rPr>
        <w:tab/>
      </w:r>
      <w:r>
        <w:rPr>
          <w:noProof/>
        </w:rPr>
        <w:fldChar w:fldCharType="begin"/>
      </w:r>
      <w:r>
        <w:rPr>
          <w:noProof/>
        </w:rPr>
        <w:instrText xml:space="preserve"> PAGEREF _Toc499753508 \h </w:instrText>
      </w:r>
      <w:r>
        <w:rPr>
          <w:noProof/>
        </w:rPr>
      </w:r>
      <w:r>
        <w:rPr>
          <w:noProof/>
        </w:rPr>
        <w:fldChar w:fldCharType="separate"/>
      </w:r>
      <w:r>
        <w:rPr>
          <w:noProof/>
        </w:rPr>
        <w:t>45</w:t>
      </w:r>
      <w:r>
        <w:rPr>
          <w:noProof/>
        </w:rPr>
        <w:fldChar w:fldCharType="end"/>
      </w:r>
    </w:p>
    <w:p w14:paraId="39E854DD" w14:textId="77777777" w:rsidR="00367D34" w:rsidRDefault="00367D34" w:rsidP="00367D34">
      <w:pPr>
        <w:pStyle w:val="TableofFigures"/>
        <w:tabs>
          <w:tab w:val="right" w:leader="dot" w:pos="7858"/>
        </w:tabs>
        <w:rPr>
          <w:rFonts w:asciiTheme="minorHAnsi" w:eastAsiaTheme="minorEastAsia" w:hAnsiTheme="minorHAnsi" w:cstheme="minorBidi"/>
          <w:noProof/>
          <w:sz w:val="24"/>
          <w:szCs w:val="24"/>
          <w:lang w:eastAsia="en-GB"/>
        </w:rPr>
      </w:pPr>
      <w:r>
        <w:rPr>
          <w:noProof/>
        </w:rPr>
        <w:t>Figure 3.5: Beginning of the Tale of Melibee in Cx2, p. 232</w:t>
      </w:r>
      <w:r w:rsidRPr="005C28E7">
        <w:rPr>
          <w:noProof/>
          <w:vertAlign w:val="superscript"/>
        </w:rPr>
        <w:t>a</w:t>
      </w:r>
      <w:r>
        <w:rPr>
          <w:noProof/>
        </w:rPr>
        <w:tab/>
      </w:r>
      <w:r>
        <w:rPr>
          <w:noProof/>
        </w:rPr>
        <w:fldChar w:fldCharType="begin"/>
      </w:r>
      <w:r>
        <w:rPr>
          <w:noProof/>
        </w:rPr>
        <w:instrText xml:space="preserve"> PAGEREF _Toc499753509 \h </w:instrText>
      </w:r>
      <w:r>
        <w:rPr>
          <w:noProof/>
        </w:rPr>
      </w:r>
      <w:r>
        <w:rPr>
          <w:noProof/>
        </w:rPr>
        <w:fldChar w:fldCharType="separate"/>
      </w:r>
      <w:r>
        <w:rPr>
          <w:noProof/>
        </w:rPr>
        <w:t>45</w:t>
      </w:r>
      <w:r>
        <w:rPr>
          <w:noProof/>
        </w:rPr>
        <w:fldChar w:fldCharType="end"/>
      </w:r>
    </w:p>
    <w:p w14:paraId="3F9E9582" w14:textId="271AB831" w:rsidR="00DB2710" w:rsidRDefault="009A379A" w:rsidP="00DB2710">
      <w:pPr>
        <w:pStyle w:val="TableofFigures"/>
        <w:tabs>
          <w:tab w:val="right" w:leader="dot" w:pos="7858"/>
        </w:tabs>
        <w:rPr>
          <w:noProof/>
        </w:rPr>
      </w:pPr>
      <w:r>
        <w:fldChar w:fldCharType="begin"/>
      </w:r>
      <w:r>
        <w:instrText xml:space="preserve"> TOC \c "Table" </w:instrText>
      </w:r>
      <w:r>
        <w:fldChar w:fldCharType="separate"/>
      </w:r>
      <w:r w:rsidR="00367D34">
        <w:rPr>
          <w:noProof/>
        </w:rPr>
        <w:t>Table 3.6</w:t>
      </w:r>
      <w:r w:rsidR="00DB2710">
        <w:rPr>
          <w:noProof/>
        </w:rPr>
        <w:t>: Frequency of spelling change in Cx2, per 1,000 words</w:t>
      </w:r>
      <w:r w:rsidR="00DB2710">
        <w:rPr>
          <w:noProof/>
        </w:rPr>
        <w:tab/>
        <w:t>47</w:t>
      </w:r>
    </w:p>
    <w:p w14:paraId="183C0B8F" w14:textId="34669BAD" w:rsidR="00367D34" w:rsidRDefault="00367D34" w:rsidP="00367D34">
      <w:pPr>
        <w:pStyle w:val="TableofFigures"/>
        <w:tabs>
          <w:tab w:val="right" w:leader="dot" w:pos="7858"/>
        </w:tabs>
        <w:rPr>
          <w:rFonts w:asciiTheme="minorHAnsi" w:eastAsiaTheme="minorEastAsia" w:hAnsiTheme="minorHAnsi" w:cstheme="minorBidi"/>
          <w:noProof/>
          <w:sz w:val="24"/>
          <w:szCs w:val="24"/>
          <w:lang w:eastAsia="en-GB"/>
        </w:rPr>
      </w:pPr>
      <w:r>
        <w:rPr>
          <w:noProof/>
        </w:rPr>
        <w:t xml:space="preserve">Figure 3.7: Distribution of spelling changes in the </w:t>
      </w:r>
      <w:r w:rsidRPr="005C28E7">
        <w:rPr>
          <w:i/>
          <w:noProof/>
        </w:rPr>
        <w:t>Canterbury Tales</w:t>
      </w:r>
      <w:r>
        <w:rPr>
          <w:noProof/>
        </w:rPr>
        <w:t xml:space="preserve"> prose</w:t>
      </w:r>
      <w:r>
        <w:rPr>
          <w:noProof/>
        </w:rPr>
        <w:tab/>
      </w:r>
      <w:r>
        <w:rPr>
          <w:noProof/>
        </w:rPr>
        <w:fldChar w:fldCharType="begin"/>
      </w:r>
      <w:r>
        <w:rPr>
          <w:noProof/>
        </w:rPr>
        <w:instrText xml:space="preserve"> PAGEREF _Toc499753510 \h </w:instrText>
      </w:r>
      <w:r>
        <w:rPr>
          <w:noProof/>
        </w:rPr>
      </w:r>
      <w:r>
        <w:rPr>
          <w:noProof/>
        </w:rPr>
        <w:fldChar w:fldCharType="separate"/>
      </w:r>
      <w:r>
        <w:rPr>
          <w:noProof/>
        </w:rPr>
        <w:t>48</w:t>
      </w:r>
      <w:r>
        <w:rPr>
          <w:noProof/>
        </w:rPr>
        <w:fldChar w:fldCharType="end"/>
      </w:r>
    </w:p>
    <w:p w14:paraId="52942871" w14:textId="4268CC45" w:rsidR="00367D34" w:rsidRDefault="00367D34" w:rsidP="00367D34">
      <w:pPr>
        <w:pStyle w:val="TableofFigures"/>
        <w:tabs>
          <w:tab w:val="right" w:leader="dot" w:pos="7858"/>
        </w:tabs>
        <w:rPr>
          <w:rFonts w:asciiTheme="minorHAnsi" w:eastAsiaTheme="minorEastAsia" w:hAnsiTheme="minorHAnsi" w:cstheme="minorBidi"/>
          <w:noProof/>
          <w:sz w:val="24"/>
          <w:szCs w:val="24"/>
          <w:lang w:eastAsia="en-GB"/>
        </w:rPr>
      </w:pPr>
      <w:r>
        <w:rPr>
          <w:noProof/>
        </w:rPr>
        <w:t xml:space="preserve">Figure 3.8: Cumulative distribution of spelling changes in Pynson’s </w:t>
      </w:r>
      <w:r w:rsidRPr="005C28E7">
        <w:rPr>
          <w:i/>
          <w:noProof/>
        </w:rPr>
        <w:t>Reynard</w:t>
      </w:r>
      <w:r>
        <w:rPr>
          <w:noProof/>
        </w:rPr>
        <w:tab/>
      </w:r>
      <w:r>
        <w:rPr>
          <w:noProof/>
        </w:rPr>
        <w:fldChar w:fldCharType="begin"/>
      </w:r>
      <w:r>
        <w:rPr>
          <w:noProof/>
        </w:rPr>
        <w:instrText xml:space="preserve"> PAGEREF _Toc499753511 \h </w:instrText>
      </w:r>
      <w:r>
        <w:rPr>
          <w:noProof/>
        </w:rPr>
      </w:r>
      <w:r>
        <w:rPr>
          <w:noProof/>
        </w:rPr>
        <w:fldChar w:fldCharType="separate"/>
      </w:r>
      <w:r>
        <w:rPr>
          <w:noProof/>
        </w:rPr>
        <w:t>49</w:t>
      </w:r>
      <w:r>
        <w:rPr>
          <w:noProof/>
        </w:rPr>
        <w:fldChar w:fldCharType="end"/>
      </w:r>
    </w:p>
    <w:p w14:paraId="18E0596F" w14:textId="41B0DB15" w:rsidR="00367D34" w:rsidRDefault="00367D34" w:rsidP="00367D34">
      <w:pPr>
        <w:pStyle w:val="TableofFigures"/>
        <w:tabs>
          <w:tab w:val="right" w:leader="dot" w:pos="7858"/>
        </w:tabs>
        <w:rPr>
          <w:rFonts w:asciiTheme="minorHAnsi" w:eastAsiaTheme="minorEastAsia" w:hAnsiTheme="minorHAnsi" w:cstheme="minorBidi"/>
          <w:noProof/>
          <w:sz w:val="24"/>
          <w:szCs w:val="24"/>
          <w:lang w:eastAsia="en-GB"/>
        </w:rPr>
      </w:pPr>
      <w:r>
        <w:rPr>
          <w:noProof/>
        </w:rPr>
        <w:t xml:space="preserve">Figure 3.9: Hyphenated lines in Pynson’s </w:t>
      </w:r>
      <w:r w:rsidRPr="005C28E7">
        <w:rPr>
          <w:i/>
          <w:noProof/>
        </w:rPr>
        <w:t>Reynard</w:t>
      </w:r>
      <w:r>
        <w:rPr>
          <w:noProof/>
        </w:rPr>
        <w:t>, p. 1</w:t>
      </w:r>
      <w:r w:rsidRPr="005C28E7">
        <w:rPr>
          <w:noProof/>
          <w:vertAlign w:val="superscript"/>
        </w:rPr>
        <w:t>a</w:t>
      </w:r>
      <w:r>
        <w:rPr>
          <w:noProof/>
        </w:rPr>
        <w:tab/>
      </w:r>
      <w:r>
        <w:rPr>
          <w:noProof/>
        </w:rPr>
        <w:fldChar w:fldCharType="begin"/>
      </w:r>
      <w:r>
        <w:rPr>
          <w:noProof/>
        </w:rPr>
        <w:instrText xml:space="preserve"> PAGEREF _Toc499753512 \h </w:instrText>
      </w:r>
      <w:r>
        <w:rPr>
          <w:noProof/>
        </w:rPr>
      </w:r>
      <w:r>
        <w:rPr>
          <w:noProof/>
        </w:rPr>
        <w:fldChar w:fldCharType="separate"/>
      </w:r>
      <w:r>
        <w:rPr>
          <w:noProof/>
        </w:rPr>
        <w:t>50</w:t>
      </w:r>
      <w:r>
        <w:rPr>
          <w:noProof/>
        </w:rPr>
        <w:fldChar w:fldCharType="end"/>
      </w:r>
    </w:p>
    <w:p w14:paraId="71D3BDC1" w14:textId="7B4858F4" w:rsidR="00367D34" w:rsidRDefault="00367D34" w:rsidP="00367D34">
      <w:pPr>
        <w:pStyle w:val="TableofFigures"/>
        <w:tabs>
          <w:tab w:val="right" w:leader="dot" w:pos="7858"/>
        </w:tabs>
        <w:rPr>
          <w:rFonts w:asciiTheme="minorHAnsi" w:eastAsiaTheme="minorEastAsia" w:hAnsiTheme="minorHAnsi" w:cstheme="minorBidi"/>
          <w:noProof/>
          <w:sz w:val="24"/>
          <w:szCs w:val="24"/>
          <w:lang w:eastAsia="en-GB"/>
        </w:rPr>
      </w:pPr>
      <w:r>
        <w:rPr>
          <w:noProof/>
        </w:rPr>
        <w:t>Figure 3.10: Abbreviations added to the new copy, per 1,000 words of text</w:t>
      </w:r>
      <w:r>
        <w:rPr>
          <w:noProof/>
        </w:rPr>
        <w:tab/>
      </w:r>
      <w:r>
        <w:rPr>
          <w:noProof/>
        </w:rPr>
        <w:fldChar w:fldCharType="begin"/>
      </w:r>
      <w:r>
        <w:rPr>
          <w:noProof/>
        </w:rPr>
        <w:instrText xml:space="preserve"> PAGEREF _Toc499753513 \h </w:instrText>
      </w:r>
      <w:r>
        <w:rPr>
          <w:noProof/>
        </w:rPr>
      </w:r>
      <w:r>
        <w:rPr>
          <w:noProof/>
        </w:rPr>
        <w:fldChar w:fldCharType="separate"/>
      </w:r>
      <w:r>
        <w:rPr>
          <w:noProof/>
        </w:rPr>
        <w:t>51</w:t>
      </w:r>
      <w:r>
        <w:rPr>
          <w:noProof/>
        </w:rPr>
        <w:fldChar w:fldCharType="end"/>
      </w:r>
    </w:p>
    <w:p w14:paraId="63238B6C" w14:textId="33373117" w:rsidR="00367D34" w:rsidRDefault="00367D34" w:rsidP="00367D34">
      <w:pPr>
        <w:pStyle w:val="TableofFigures"/>
        <w:tabs>
          <w:tab w:val="right" w:leader="dot" w:pos="7858"/>
        </w:tabs>
        <w:rPr>
          <w:rFonts w:asciiTheme="minorHAnsi" w:eastAsiaTheme="minorEastAsia" w:hAnsiTheme="minorHAnsi" w:cstheme="minorBidi"/>
          <w:noProof/>
          <w:sz w:val="24"/>
          <w:szCs w:val="24"/>
          <w:lang w:eastAsia="en-GB"/>
        </w:rPr>
      </w:pPr>
      <w:r>
        <w:rPr>
          <w:noProof/>
        </w:rPr>
        <w:t>Figure 3.11: Distribution of abbreviations across the page of Cx2 prose</w:t>
      </w:r>
      <w:r>
        <w:rPr>
          <w:noProof/>
        </w:rPr>
        <w:tab/>
      </w:r>
      <w:r>
        <w:rPr>
          <w:noProof/>
        </w:rPr>
        <w:fldChar w:fldCharType="begin"/>
      </w:r>
      <w:r>
        <w:rPr>
          <w:noProof/>
        </w:rPr>
        <w:instrText xml:space="preserve"> PAGEREF _Toc499753514 \h </w:instrText>
      </w:r>
      <w:r>
        <w:rPr>
          <w:noProof/>
        </w:rPr>
      </w:r>
      <w:r>
        <w:rPr>
          <w:noProof/>
        </w:rPr>
        <w:fldChar w:fldCharType="separate"/>
      </w:r>
      <w:r>
        <w:rPr>
          <w:noProof/>
        </w:rPr>
        <w:t>52</w:t>
      </w:r>
      <w:r>
        <w:rPr>
          <w:noProof/>
        </w:rPr>
        <w:fldChar w:fldCharType="end"/>
      </w:r>
    </w:p>
    <w:p w14:paraId="65A8A73E" w14:textId="5ECBA7DA" w:rsidR="00367D34" w:rsidRDefault="00367D34" w:rsidP="00367D34">
      <w:pPr>
        <w:pStyle w:val="TableofFigures"/>
        <w:tabs>
          <w:tab w:val="right" w:leader="dot" w:pos="7858"/>
        </w:tabs>
        <w:rPr>
          <w:rFonts w:asciiTheme="minorHAnsi" w:eastAsiaTheme="minorEastAsia" w:hAnsiTheme="minorHAnsi" w:cstheme="minorBidi"/>
          <w:noProof/>
          <w:sz w:val="24"/>
          <w:szCs w:val="24"/>
          <w:lang w:eastAsia="en-GB"/>
        </w:rPr>
      </w:pPr>
      <w:r>
        <w:rPr>
          <w:noProof/>
        </w:rPr>
        <w:t xml:space="preserve">Figure 3.12: Distribution of abbreviations in Pynson’s </w:t>
      </w:r>
      <w:r w:rsidRPr="005C28E7">
        <w:rPr>
          <w:i/>
          <w:noProof/>
        </w:rPr>
        <w:t>Reynard</w:t>
      </w:r>
      <w:r>
        <w:rPr>
          <w:noProof/>
        </w:rPr>
        <w:tab/>
      </w:r>
      <w:r>
        <w:rPr>
          <w:noProof/>
        </w:rPr>
        <w:fldChar w:fldCharType="begin"/>
      </w:r>
      <w:r>
        <w:rPr>
          <w:noProof/>
        </w:rPr>
        <w:instrText xml:space="preserve"> PAGEREF _Toc499753515 \h </w:instrText>
      </w:r>
      <w:r>
        <w:rPr>
          <w:noProof/>
        </w:rPr>
      </w:r>
      <w:r>
        <w:rPr>
          <w:noProof/>
        </w:rPr>
        <w:fldChar w:fldCharType="separate"/>
      </w:r>
      <w:r>
        <w:rPr>
          <w:noProof/>
        </w:rPr>
        <w:t>53</w:t>
      </w:r>
      <w:r>
        <w:rPr>
          <w:noProof/>
        </w:rPr>
        <w:fldChar w:fldCharType="end"/>
      </w:r>
    </w:p>
    <w:p w14:paraId="1224DCC7" w14:textId="2892D77D" w:rsidR="00367D34" w:rsidRDefault="00367D34" w:rsidP="00367D34">
      <w:pPr>
        <w:pStyle w:val="TableofFigures"/>
        <w:tabs>
          <w:tab w:val="right" w:leader="dot" w:pos="7858"/>
        </w:tabs>
        <w:rPr>
          <w:rFonts w:asciiTheme="minorHAnsi" w:eastAsiaTheme="minorEastAsia" w:hAnsiTheme="minorHAnsi" w:cstheme="minorBidi"/>
          <w:noProof/>
          <w:sz w:val="24"/>
          <w:szCs w:val="24"/>
          <w:lang w:eastAsia="en-GB"/>
        </w:rPr>
      </w:pPr>
      <w:r>
        <w:rPr>
          <w:noProof/>
        </w:rPr>
        <w:t>Figure 3.13: Beginning of the Tale of Melibee in Cx2, p. 232</w:t>
      </w:r>
      <w:r w:rsidRPr="005C28E7">
        <w:rPr>
          <w:noProof/>
          <w:vertAlign w:val="superscript"/>
        </w:rPr>
        <w:t>a</w:t>
      </w:r>
      <w:r>
        <w:rPr>
          <w:noProof/>
        </w:rPr>
        <w:tab/>
      </w:r>
      <w:r>
        <w:rPr>
          <w:noProof/>
        </w:rPr>
        <w:fldChar w:fldCharType="begin"/>
      </w:r>
      <w:r>
        <w:rPr>
          <w:noProof/>
        </w:rPr>
        <w:instrText xml:space="preserve"> PAGEREF _Toc499753516 \h </w:instrText>
      </w:r>
      <w:r>
        <w:rPr>
          <w:noProof/>
        </w:rPr>
      </w:r>
      <w:r>
        <w:rPr>
          <w:noProof/>
        </w:rPr>
        <w:fldChar w:fldCharType="separate"/>
      </w:r>
      <w:r>
        <w:rPr>
          <w:noProof/>
        </w:rPr>
        <w:t>54</w:t>
      </w:r>
      <w:r>
        <w:rPr>
          <w:noProof/>
        </w:rPr>
        <w:fldChar w:fldCharType="end"/>
      </w:r>
    </w:p>
    <w:p w14:paraId="2B367D4F" w14:textId="3BE4BACE" w:rsidR="00367D34" w:rsidRDefault="00367D34" w:rsidP="00367D34">
      <w:pPr>
        <w:pStyle w:val="TableofFigures"/>
        <w:tabs>
          <w:tab w:val="right" w:leader="dot" w:pos="7858"/>
        </w:tabs>
        <w:rPr>
          <w:rFonts w:asciiTheme="minorHAnsi" w:eastAsiaTheme="minorEastAsia" w:hAnsiTheme="minorHAnsi" w:cstheme="minorBidi"/>
          <w:noProof/>
          <w:sz w:val="24"/>
          <w:szCs w:val="24"/>
          <w:lang w:eastAsia="en-GB"/>
        </w:rPr>
      </w:pPr>
      <w:r>
        <w:rPr>
          <w:noProof/>
        </w:rPr>
        <w:t xml:space="preserve">Figure 3.14: Caxton’s </w:t>
      </w:r>
      <w:r w:rsidRPr="005C28E7">
        <w:rPr>
          <w:i/>
          <w:noProof/>
        </w:rPr>
        <w:t>Canterbury Tales</w:t>
      </w:r>
      <w:r>
        <w:rPr>
          <w:noProof/>
        </w:rPr>
        <w:t>, 2nd edn, p. 3</w:t>
      </w:r>
      <w:r w:rsidRPr="005C28E7">
        <w:rPr>
          <w:noProof/>
          <w:vertAlign w:val="superscript"/>
        </w:rPr>
        <w:t>a</w:t>
      </w:r>
      <w:r>
        <w:rPr>
          <w:noProof/>
        </w:rPr>
        <w:tab/>
      </w:r>
      <w:r>
        <w:rPr>
          <w:noProof/>
        </w:rPr>
        <w:fldChar w:fldCharType="begin"/>
      </w:r>
      <w:r>
        <w:rPr>
          <w:noProof/>
        </w:rPr>
        <w:instrText xml:space="preserve"> PAGEREF _Toc499753517 \h </w:instrText>
      </w:r>
      <w:r>
        <w:rPr>
          <w:noProof/>
        </w:rPr>
      </w:r>
      <w:r>
        <w:rPr>
          <w:noProof/>
        </w:rPr>
        <w:fldChar w:fldCharType="separate"/>
      </w:r>
      <w:r>
        <w:rPr>
          <w:noProof/>
        </w:rPr>
        <w:t>54</w:t>
      </w:r>
      <w:r>
        <w:rPr>
          <w:noProof/>
        </w:rPr>
        <w:fldChar w:fldCharType="end"/>
      </w:r>
    </w:p>
    <w:p w14:paraId="41DA7C96" w14:textId="77777777" w:rsidR="00DB2710" w:rsidRDefault="00DB2710" w:rsidP="00DB2710">
      <w:pPr>
        <w:pStyle w:val="TableofFigures"/>
        <w:tabs>
          <w:tab w:val="right" w:leader="dot" w:pos="7858"/>
        </w:tabs>
        <w:rPr>
          <w:noProof/>
        </w:rPr>
      </w:pPr>
      <w:r>
        <w:rPr>
          <w:noProof/>
        </w:rPr>
        <w:t>Table 4.1: Caxton's texts included in this study</w:t>
      </w:r>
      <w:r>
        <w:rPr>
          <w:noProof/>
        </w:rPr>
        <w:tab/>
        <w:t>60</w:t>
      </w:r>
    </w:p>
    <w:p w14:paraId="11D512DF" w14:textId="54115363" w:rsidR="000A7250" w:rsidRDefault="000A7250" w:rsidP="000A7250">
      <w:pPr>
        <w:pStyle w:val="TableofFigures"/>
        <w:tabs>
          <w:tab w:val="right" w:leader="dot" w:pos="7858"/>
        </w:tabs>
        <w:rPr>
          <w:rFonts w:asciiTheme="minorHAnsi" w:eastAsiaTheme="minorEastAsia" w:hAnsiTheme="minorHAnsi" w:cstheme="minorBidi"/>
          <w:noProof/>
          <w:sz w:val="24"/>
          <w:szCs w:val="24"/>
          <w:lang w:eastAsia="en-GB"/>
        </w:rPr>
      </w:pPr>
      <w:r>
        <w:rPr>
          <w:noProof/>
        </w:rPr>
        <w:t xml:space="preserve">Figure 4.2: Illegible imaging from </w:t>
      </w:r>
      <w:r w:rsidRPr="005C28E7">
        <w:rPr>
          <w:i/>
          <w:noProof/>
        </w:rPr>
        <w:t xml:space="preserve">EEBO </w:t>
      </w:r>
      <w:r>
        <w:rPr>
          <w:noProof/>
        </w:rPr>
        <w:t xml:space="preserve">of Caxton's second edition </w:t>
      </w:r>
      <w:r w:rsidRPr="005C28E7">
        <w:rPr>
          <w:i/>
          <w:noProof/>
        </w:rPr>
        <w:t>Game of Chess</w:t>
      </w:r>
      <w:r>
        <w:rPr>
          <w:noProof/>
        </w:rPr>
        <w:tab/>
      </w:r>
      <w:r>
        <w:rPr>
          <w:noProof/>
        </w:rPr>
        <w:fldChar w:fldCharType="begin"/>
      </w:r>
      <w:r>
        <w:rPr>
          <w:noProof/>
        </w:rPr>
        <w:instrText xml:space="preserve"> PAGEREF _Toc499753518 \h </w:instrText>
      </w:r>
      <w:r>
        <w:rPr>
          <w:noProof/>
        </w:rPr>
      </w:r>
      <w:r>
        <w:rPr>
          <w:noProof/>
        </w:rPr>
        <w:fldChar w:fldCharType="separate"/>
      </w:r>
      <w:r>
        <w:rPr>
          <w:noProof/>
        </w:rPr>
        <w:t>63</w:t>
      </w:r>
      <w:r>
        <w:rPr>
          <w:noProof/>
        </w:rPr>
        <w:fldChar w:fldCharType="end"/>
      </w:r>
    </w:p>
    <w:p w14:paraId="3641C21D" w14:textId="63CBC146" w:rsidR="000A7250" w:rsidRDefault="000A7250" w:rsidP="000A7250">
      <w:pPr>
        <w:pStyle w:val="TableofFigures"/>
        <w:tabs>
          <w:tab w:val="right" w:leader="dot" w:pos="7858"/>
        </w:tabs>
        <w:rPr>
          <w:rFonts w:asciiTheme="minorHAnsi" w:eastAsiaTheme="minorEastAsia" w:hAnsiTheme="minorHAnsi" w:cstheme="minorBidi"/>
          <w:noProof/>
          <w:sz w:val="24"/>
          <w:szCs w:val="24"/>
          <w:lang w:eastAsia="en-GB"/>
        </w:rPr>
      </w:pPr>
      <w:r>
        <w:rPr>
          <w:noProof/>
        </w:rPr>
        <w:t xml:space="preserve">Figure 4.3: </w:t>
      </w:r>
      <w:r w:rsidRPr="005C28E7">
        <w:rPr>
          <w:i/>
          <w:noProof/>
        </w:rPr>
        <w:t>EEBO</w:t>
      </w:r>
      <w:r>
        <w:rPr>
          <w:noProof/>
        </w:rPr>
        <w:t xml:space="preserve"> image from </w:t>
      </w:r>
      <w:r w:rsidRPr="005C28E7">
        <w:rPr>
          <w:i/>
          <w:noProof/>
        </w:rPr>
        <w:t>Dicts and Sayings of the Philosophers</w:t>
      </w:r>
      <w:r>
        <w:rPr>
          <w:noProof/>
        </w:rPr>
        <w:t>,</w:t>
      </w:r>
      <w:r w:rsidRPr="005C28E7">
        <w:rPr>
          <w:i/>
          <w:noProof/>
        </w:rPr>
        <w:t xml:space="preserve"> </w:t>
      </w:r>
      <w:r>
        <w:rPr>
          <w:noProof/>
        </w:rPr>
        <w:t>p. 26</w:t>
      </w:r>
      <w:r w:rsidRPr="005C28E7">
        <w:rPr>
          <w:noProof/>
          <w:vertAlign w:val="superscript"/>
        </w:rPr>
        <w:t>b</w:t>
      </w:r>
      <w:r>
        <w:rPr>
          <w:noProof/>
        </w:rPr>
        <w:tab/>
      </w:r>
      <w:r>
        <w:rPr>
          <w:noProof/>
        </w:rPr>
        <w:fldChar w:fldCharType="begin"/>
      </w:r>
      <w:r>
        <w:rPr>
          <w:noProof/>
        </w:rPr>
        <w:instrText xml:space="preserve"> PAGEREF _Toc499753519 \h </w:instrText>
      </w:r>
      <w:r>
        <w:rPr>
          <w:noProof/>
        </w:rPr>
      </w:r>
      <w:r>
        <w:rPr>
          <w:noProof/>
        </w:rPr>
        <w:fldChar w:fldCharType="separate"/>
      </w:r>
      <w:r>
        <w:rPr>
          <w:noProof/>
        </w:rPr>
        <w:t>64</w:t>
      </w:r>
      <w:r>
        <w:rPr>
          <w:noProof/>
        </w:rPr>
        <w:fldChar w:fldCharType="end"/>
      </w:r>
    </w:p>
    <w:p w14:paraId="75EA5098" w14:textId="7FF9FC4C" w:rsidR="00DB2710" w:rsidRDefault="000A7250" w:rsidP="00DB2710">
      <w:pPr>
        <w:pStyle w:val="TableofFigures"/>
        <w:tabs>
          <w:tab w:val="right" w:leader="dot" w:pos="7858"/>
        </w:tabs>
        <w:rPr>
          <w:noProof/>
        </w:rPr>
      </w:pPr>
      <w:r>
        <w:rPr>
          <w:noProof/>
        </w:rPr>
        <w:t>Table 4.4</w:t>
      </w:r>
      <w:r w:rsidR="00DB2710">
        <w:rPr>
          <w:noProof/>
        </w:rPr>
        <w:t xml:space="preserve">: Frequencies of </w:t>
      </w:r>
      <w:r w:rsidR="00BE08E1" w:rsidRPr="00BE08E1">
        <w:rPr>
          <w:smallCaps/>
          <w:noProof/>
        </w:rPr>
        <w:t>them</w:t>
      </w:r>
      <w:r w:rsidR="00BE08E1">
        <w:rPr>
          <w:noProof/>
        </w:rPr>
        <w:t xml:space="preserve"> </w:t>
      </w:r>
      <w:r w:rsidR="00DB2710">
        <w:rPr>
          <w:noProof/>
        </w:rPr>
        <w:t xml:space="preserve">in two quires of the </w:t>
      </w:r>
      <w:r w:rsidR="00DB2710" w:rsidRPr="00BE08E1">
        <w:rPr>
          <w:i/>
          <w:noProof/>
        </w:rPr>
        <w:t>Polychronicon</w:t>
      </w:r>
      <w:r w:rsidR="00DB2710">
        <w:rPr>
          <w:noProof/>
        </w:rPr>
        <w:tab/>
        <w:t>67</w:t>
      </w:r>
    </w:p>
    <w:p w14:paraId="37DE2777" w14:textId="6CBB41A6" w:rsidR="000A7250" w:rsidRPr="000A7250" w:rsidRDefault="000A7250" w:rsidP="000A7250">
      <w:pPr>
        <w:pStyle w:val="TableofFigures"/>
        <w:tabs>
          <w:tab w:val="right" w:leader="dot" w:pos="7858"/>
        </w:tabs>
        <w:rPr>
          <w:bCs/>
          <w:noProof/>
        </w:rPr>
      </w:pPr>
      <w:r w:rsidRPr="000A7250">
        <w:rPr>
          <w:bCs/>
          <w:noProof/>
        </w:rPr>
        <w:t xml:space="preserve">Table 4.5: Frequencies of in in two quires of the </w:t>
      </w:r>
      <w:r w:rsidRPr="000A7250">
        <w:rPr>
          <w:bCs/>
          <w:i/>
          <w:noProof/>
        </w:rPr>
        <w:t>Polychronicon</w:t>
      </w:r>
      <w:r>
        <w:rPr>
          <w:noProof/>
        </w:rPr>
        <w:tab/>
        <w:t>68</w:t>
      </w:r>
    </w:p>
    <w:p w14:paraId="3922C9B6" w14:textId="4365349B" w:rsidR="00DB2710" w:rsidRDefault="000A7250" w:rsidP="00DB2710">
      <w:pPr>
        <w:pStyle w:val="TableofFigures"/>
        <w:tabs>
          <w:tab w:val="right" w:leader="dot" w:pos="7858"/>
        </w:tabs>
        <w:rPr>
          <w:noProof/>
        </w:rPr>
      </w:pPr>
      <w:r>
        <w:rPr>
          <w:noProof/>
        </w:rPr>
        <w:t>Table 4.6</w:t>
      </w:r>
      <w:r w:rsidR="00DB2710">
        <w:rPr>
          <w:noProof/>
        </w:rPr>
        <w:t xml:space="preserve">: Frequency of </w:t>
      </w:r>
      <w:r w:rsidR="00BE08E1" w:rsidRPr="00BE08E1">
        <w:rPr>
          <w:smallCaps/>
          <w:noProof/>
        </w:rPr>
        <w:t xml:space="preserve">there, i </w:t>
      </w:r>
      <w:r w:rsidR="00BE08E1" w:rsidRPr="00BE08E1">
        <w:rPr>
          <w:noProof/>
        </w:rPr>
        <w:t>and</w:t>
      </w:r>
      <w:r w:rsidR="00BE08E1" w:rsidRPr="00BE08E1">
        <w:rPr>
          <w:smallCaps/>
          <w:noProof/>
        </w:rPr>
        <w:t xml:space="preserve"> not </w:t>
      </w:r>
      <w:r w:rsidR="00DB2710">
        <w:rPr>
          <w:noProof/>
        </w:rPr>
        <w:t xml:space="preserve">in Caxton's </w:t>
      </w:r>
      <w:r w:rsidR="00DB2710" w:rsidRPr="00BE08E1">
        <w:rPr>
          <w:i/>
          <w:noProof/>
        </w:rPr>
        <w:t>Canterbury Tales</w:t>
      </w:r>
      <w:r w:rsidR="00DB2710">
        <w:rPr>
          <w:noProof/>
        </w:rPr>
        <w:t>, 1st edn.</w:t>
      </w:r>
      <w:r w:rsidR="00DB2710">
        <w:rPr>
          <w:noProof/>
        </w:rPr>
        <w:tab/>
        <w:t>68</w:t>
      </w:r>
    </w:p>
    <w:p w14:paraId="06A11394" w14:textId="46098A4E" w:rsidR="00DB2710" w:rsidRDefault="000A7250" w:rsidP="00DB2710">
      <w:pPr>
        <w:pStyle w:val="TableofFigures"/>
        <w:tabs>
          <w:tab w:val="right" w:leader="dot" w:pos="7858"/>
        </w:tabs>
        <w:rPr>
          <w:noProof/>
        </w:rPr>
      </w:pPr>
      <w:r>
        <w:rPr>
          <w:noProof/>
        </w:rPr>
        <w:t>Table 4.7</w:t>
      </w:r>
      <w:r w:rsidR="00DB2710">
        <w:rPr>
          <w:noProof/>
        </w:rPr>
        <w:t xml:space="preserve">: Frequencies of </w:t>
      </w:r>
      <w:r w:rsidR="00DB2710" w:rsidRPr="00BE08E1">
        <w:rPr>
          <w:i/>
          <w:noProof/>
        </w:rPr>
        <w:t>her, hir,</w:t>
      </w:r>
      <w:r w:rsidR="00DB2710">
        <w:rPr>
          <w:noProof/>
        </w:rPr>
        <w:t xml:space="preserve"> and </w:t>
      </w:r>
      <w:r w:rsidR="00DB2710" w:rsidRPr="00BE08E1">
        <w:rPr>
          <w:i/>
          <w:noProof/>
        </w:rPr>
        <w:t>hire</w:t>
      </w:r>
      <w:r w:rsidR="00DB2710">
        <w:rPr>
          <w:noProof/>
        </w:rPr>
        <w:t xml:space="preserve"> in two quires of the </w:t>
      </w:r>
      <w:r w:rsidR="00DB2710" w:rsidRPr="00BE08E1">
        <w:rPr>
          <w:i/>
          <w:noProof/>
        </w:rPr>
        <w:t>Canterbury Tales</w:t>
      </w:r>
      <w:r w:rsidR="00DB2710">
        <w:rPr>
          <w:noProof/>
        </w:rPr>
        <w:tab/>
        <w:t>69</w:t>
      </w:r>
    </w:p>
    <w:p w14:paraId="389A873A" w14:textId="1A2C0D77" w:rsidR="000A7250" w:rsidRDefault="000A7250" w:rsidP="000A7250">
      <w:pPr>
        <w:pStyle w:val="TableofFigures"/>
        <w:tabs>
          <w:tab w:val="right" w:leader="dot" w:pos="7858"/>
        </w:tabs>
        <w:rPr>
          <w:rFonts w:asciiTheme="minorHAnsi" w:eastAsiaTheme="minorEastAsia" w:hAnsiTheme="minorHAnsi" w:cstheme="minorBidi"/>
          <w:noProof/>
          <w:sz w:val="24"/>
          <w:szCs w:val="24"/>
          <w:lang w:eastAsia="en-GB"/>
        </w:rPr>
      </w:pPr>
      <w:r>
        <w:rPr>
          <w:noProof/>
        </w:rPr>
        <w:t xml:space="preserve">Figure 4.8: Flat structure of spellings for </w:t>
      </w:r>
      <w:r w:rsidRPr="005C28E7">
        <w:rPr>
          <w:smallCaps/>
          <w:noProof/>
        </w:rPr>
        <w:t xml:space="preserve">there, I, not, </w:t>
      </w:r>
      <w:r>
        <w:rPr>
          <w:noProof/>
        </w:rPr>
        <w:t>and</w:t>
      </w:r>
      <w:r w:rsidRPr="005C28E7">
        <w:rPr>
          <w:smallCaps/>
          <w:noProof/>
        </w:rPr>
        <w:t xml:space="preserve"> her</w:t>
      </w:r>
      <w:r>
        <w:rPr>
          <w:noProof/>
        </w:rPr>
        <w:tab/>
      </w:r>
      <w:r>
        <w:rPr>
          <w:noProof/>
        </w:rPr>
        <w:fldChar w:fldCharType="begin"/>
      </w:r>
      <w:r>
        <w:rPr>
          <w:noProof/>
        </w:rPr>
        <w:instrText xml:space="preserve"> PAGEREF _Toc499753520 \h </w:instrText>
      </w:r>
      <w:r>
        <w:rPr>
          <w:noProof/>
        </w:rPr>
      </w:r>
      <w:r>
        <w:rPr>
          <w:noProof/>
        </w:rPr>
        <w:fldChar w:fldCharType="separate"/>
      </w:r>
      <w:r>
        <w:rPr>
          <w:noProof/>
        </w:rPr>
        <w:t>69</w:t>
      </w:r>
      <w:r>
        <w:rPr>
          <w:noProof/>
        </w:rPr>
        <w:fldChar w:fldCharType="end"/>
      </w:r>
    </w:p>
    <w:p w14:paraId="1B4288B9" w14:textId="5EE9E0D0" w:rsidR="000A7250" w:rsidRDefault="000A7250" w:rsidP="000A7250">
      <w:pPr>
        <w:pStyle w:val="TableofFigures"/>
        <w:tabs>
          <w:tab w:val="right" w:leader="dot" w:pos="7858"/>
        </w:tabs>
        <w:rPr>
          <w:rFonts w:asciiTheme="minorHAnsi" w:eastAsiaTheme="minorEastAsia" w:hAnsiTheme="minorHAnsi" w:cstheme="minorBidi"/>
          <w:noProof/>
          <w:sz w:val="24"/>
          <w:szCs w:val="24"/>
          <w:lang w:eastAsia="en-GB"/>
        </w:rPr>
      </w:pPr>
      <w:r>
        <w:rPr>
          <w:noProof/>
        </w:rPr>
        <w:t>Figure 4.9: Relationship between spellings and words</w:t>
      </w:r>
      <w:r>
        <w:rPr>
          <w:noProof/>
        </w:rPr>
        <w:tab/>
      </w:r>
      <w:r>
        <w:rPr>
          <w:noProof/>
        </w:rPr>
        <w:fldChar w:fldCharType="begin"/>
      </w:r>
      <w:r>
        <w:rPr>
          <w:noProof/>
        </w:rPr>
        <w:instrText xml:space="preserve"> PAGEREF _Toc499753521 \h </w:instrText>
      </w:r>
      <w:r>
        <w:rPr>
          <w:noProof/>
        </w:rPr>
      </w:r>
      <w:r>
        <w:rPr>
          <w:noProof/>
        </w:rPr>
        <w:fldChar w:fldCharType="separate"/>
      </w:r>
      <w:r>
        <w:rPr>
          <w:noProof/>
        </w:rPr>
        <w:t>70</w:t>
      </w:r>
      <w:r>
        <w:rPr>
          <w:noProof/>
        </w:rPr>
        <w:fldChar w:fldCharType="end"/>
      </w:r>
    </w:p>
    <w:p w14:paraId="6C78BAAD" w14:textId="5D49C152" w:rsidR="00DB2710" w:rsidRDefault="000A7250" w:rsidP="00DB2710">
      <w:pPr>
        <w:pStyle w:val="TableofFigures"/>
        <w:tabs>
          <w:tab w:val="right" w:leader="dot" w:pos="7858"/>
        </w:tabs>
        <w:rPr>
          <w:noProof/>
        </w:rPr>
      </w:pPr>
      <w:r>
        <w:rPr>
          <w:noProof/>
        </w:rPr>
        <w:t>Table 4.10</w:t>
      </w:r>
      <w:r w:rsidR="00DB2710">
        <w:rPr>
          <w:noProof/>
        </w:rPr>
        <w:t xml:space="preserve">: Frequencies of the spelling variants for </w:t>
      </w:r>
      <w:r w:rsidR="00BE08E1" w:rsidRPr="00BE08E1">
        <w:rPr>
          <w:smallCaps/>
          <w:noProof/>
        </w:rPr>
        <w:t>i</w:t>
      </w:r>
      <w:r w:rsidR="00DB2710">
        <w:rPr>
          <w:noProof/>
        </w:rPr>
        <w:t xml:space="preserve"> in the </w:t>
      </w:r>
      <w:r w:rsidR="00DB2710" w:rsidRPr="00BE08E1">
        <w:rPr>
          <w:i/>
          <w:noProof/>
        </w:rPr>
        <w:t>Canterbury Tales</w:t>
      </w:r>
      <w:r w:rsidR="00DB2710">
        <w:rPr>
          <w:noProof/>
        </w:rPr>
        <w:tab/>
        <w:t>71</w:t>
      </w:r>
    </w:p>
    <w:p w14:paraId="6E9E7B9A" w14:textId="39F5636D" w:rsidR="00DB2710" w:rsidRDefault="00DB2710" w:rsidP="00DB2710">
      <w:pPr>
        <w:pStyle w:val="TableofFigures"/>
        <w:tabs>
          <w:tab w:val="right" w:leader="dot" w:pos="7858"/>
        </w:tabs>
        <w:rPr>
          <w:noProof/>
        </w:rPr>
      </w:pPr>
      <w:r>
        <w:rPr>
          <w:noProof/>
        </w:rPr>
        <w:t xml:space="preserve">Table </w:t>
      </w:r>
      <w:r w:rsidR="000A7250">
        <w:rPr>
          <w:noProof/>
        </w:rPr>
        <w:t>4.11</w:t>
      </w:r>
      <w:r>
        <w:rPr>
          <w:noProof/>
        </w:rPr>
        <w:t xml:space="preserve">: Ratios of the spelling variants for </w:t>
      </w:r>
      <w:r w:rsidR="00BE08E1" w:rsidRPr="00BE08E1">
        <w:rPr>
          <w:smallCaps/>
          <w:noProof/>
        </w:rPr>
        <w:t>i</w:t>
      </w:r>
      <w:r>
        <w:rPr>
          <w:noProof/>
        </w:rPr>
        <w:t xml:space="preserve"> in the </w:t>
      </w:r>
      <w:r w:rsidRPr="00BE08E1">
        <w:rPr>
          <w:i/>
          <w:noProof/>
        </w:rPr>
        <w:t>Canterbury Tales</w:t>
      </w:r>
      <w:r>
        <w:rPr>
          <w:noProof/>
        </w:rPr>
        <w:tab/>
        <w:t>71</w:t>
      </w:r>
    </w:p>
    <w:p w14:paraId="50F8AD6B" w14:textId="02A7B487" w:rsidR="00DB2710" w:rsidRDefault="000A7250" w:rsidP="00DB2710">
      <w:pPr>
        <w:pStyle w:val="TableofFigures"/>
        <w:tabs>
          <w:tab w:val="right" w:leader="dot" w:pos="7858"/>
        </w:tabs>
        <w:rPr>
          <w:noProof/>
        </w:rPr>
      </w:pPr>
      <w:r>
        <w:rPr>
          <w:noProof/>
        </w:rPr>
        <w:t>Table 4.12</w:t>
      </w:r>
      <w:r w:rsidR="00DB2710">
        <w:rPr>
          <w:noProof/>
        </w:rPr>
        <w:t xml:space="preserve">: Ratios of use for </w:t>
      </w:r>
      <w:r w:rsidR="00BE08E1" w:rsidRPr="00BE08E1">
        <w:rPr>
          <w:smallCaps/>
          <w:noProof/>
        </w:rPr>
        <w:t xml:space="preserve">i, there, not, </w:t>
      </w:r>
      <w:r w:rsidR="00BE08E1" w:rsidRPr="00BE08E1">
        <w:rPr>
          <w:noProof/>
        </w:rPr>
        <w:t>and</w:t>
      </w:r>
      <w:r w:rsidR="00BE08E1" w:rsidRPr="00BE08E1">
        <w:rPr>
          <w:smallCaps/>
          <w:noProof/>
        </w:rPr>
        <w:t xml:space="preserve"> her</w:t>
      </w:r>
      <w:r w:rsidR="00DB2710">
        <w:rPr>
          <w:noProof/>
        </w:rPr>
        <w:t xml:space="preserve"> in the </w:t>
      </w:r>
      <w:r w:rsidR="00DB2710" w:rsidRPr="00BE08E1">
        <w:rPr>
          <w:i/>
          <w:noProof/>
        </w:rPr>
        <w:t>Canterbury Tales</w:t>
      </w:r>
      <w:r w:rsidR="00DB2710">
        <w:rPr>
          <w:noProof/>
        </w:rPr>
        <w:tab/>
        <w:t>72</w:t>
      </w:r>
    </w:p>
    <w:p w14:paraId="6F21C00E" w14:textId="6FC1A561" w:rsidR="00DB2710" w:rsidRDefault="000A7250" w:rsidP="00DB2710">
      <w:pPr>
        <w:pStyle w:val="TableofFigures"/>
        <w:tabs>
          <w:tab w:val="right" w:leader="dot" w:pos="7858"/>
        </w:tabs>
        <w:rPr>
          <w:noProof/>
        </w:rPr>
      </w:pPr>
      <w:r>
        <w:rPr>
          <w:noProof/>
        </w:rPr>
        <w:t>Table 4.13</w:t>
      </w:r>
      <w:r w:rsidR="00DB2710">
        <w:rPr>
          <w:noProof/>
        </w:rPr>
        <w:t xml:space="preserve">: Ratios for </w:t>
      </w:r>
      <w:r w:rsidR="00BE08E1" w:rsidRPr="00BE08E1">
        <w:rPr>
          <w:smallCaps/>
          <w:noProof/>
        </w:rPr>
        <w:t>began</w:t>
      </w:r>
      <w:r w:rsidR="00DB2710">
        <w:rPr>
          <w:noProof/>
        </w:rPr>
        <w:t xml:space="preserve"> in Quire a and Quire b of the </w:t>
      </w:r>
      <w:r w:rsidR="00DB2710" w:rsidRPr="00BE08E1">
        <w:rPr>
          <w:i/>
          <w:noProof/>
        </w:rPr>
        <w:t>Confessio Amantis</w:t>
      </w:r>
      <w:r w:rsidR="00DB2710">
        <w:rPr>
          <w:noProof/>
        </w:rPr>
        <w:tab/>
        <w:t>72</w:t>
      </w:r>
    </w:p>
    <w:p w14:paraId="2D00BB31" w14:textId="3F7C860C" w:rsidR="000A7250" w:rsidRDefault="000A7250" w:rsidP="000A7250">
      <w:pPr>
        <w:pStyle w:val="TableofFigures"/>
        <w:tabs>
          <w:tab w:val="right" w:leader="dot" w:pos="7858"/>
        </w:tabs>
        <w:rPr>
          <w:rFonts w:asciiTheme="minorHAnsi" w:eastAsiaTheme="minorEastAsia" w:hAnsiTheme="minorHAnsi" w:cstheme="minorBidi"/>
          <w:noProof/>
          <w:sz w:val="24"/>
          <w:szCs w:val="24"/>
          <w:lang w:eastAsia="en-GB"/>
        </w:rPr>
      </w:pPr>
      <w:r>
        <w:rPr>
          <w:noProof/>
        </w:rPr>
        <w:t xml:space="preserve">Figure 4.14: Graphical representation of </w:t>
      </w:r>
      <w:r w:rsidRPr="005C28E7">
        <w:rPr>
          <w:i/>
          <w:noProof/>
        </w:rPr>
        <w:t>began</w:t>
      </w:r>
      <w:r>
        <w:rPr>
          <w:noProof/>
        </w:rPr>
        <w:t xml:space="preserve"> in quires of the </w:t>
      </w:r>
      <w:r w:rsidRPr="005C28E7">
        <w:rPr>
          <w:i/>
          <w:noProof/>
        </w:rPr>
        <w:t>Confessio Amantis</w:t>
      </w:r>
      <w:r>
        <w:rPr>
          <w:noProof/>
        </w:rPr>
        <w:tab/>
      </w:r>
      <w:r>
        <w:rPr>
          <w:noProof/>
        </w:rPr>
        <w:fldChar w:fldCharType="begin"/>
      </w:r>
      <w:r>
        <w:rPr>
          <w:noProof/>
        </w:rPr>
        <w:instrText xml:space="preserve"> PAGEREF _Toc499753522 \h </w:instrText>
      </w:r>
      <w:r>
        <w:rPr>
          <w:noProof/>
        </w:rPr>
      </w:r>
      <w:r>
        <w:rPr>
          <w:noProof/>
        </w:rPr>
        <w:fldChar w:fldCharType="separate"/>
      </w:r>
      <w:r>
        <w:rPr>
          <w:noProof/>
        </w:rPr>
        <w:t>73</w:t>
      </w:r>
      <w:r>
        <w:rPr>
          <w:noProof/>
        </w:rPr>
        <w:fldChar w:fldCharType="end"/>
      </w:r>
    </w:p>
    <w:p w14:paraId="101A12DB" w14:textId="2E52AD48" w:rsidR="000A7250" w:rsidRDefault="000A7250" w:rsidP="000A7250">
      <w:pPr>
        <w:pStyle w:val="TableofFigures"/>
        <w:tabs>
          <w:tab w:val="right" w:leader="dot" w:pos="7858"/>
        </w:tabs>
        <w:rPr>
          <w:rFonts w:asciiTheme="minorHAnsi" w:eastAsiaTheme="minorEastAsia" w:hAnsiTheme="minorHAnsi" w:cstheme="minorBidi"/>
          <w:noProof/>
          <w:sz w:val="24"/>
          <w:szCs w:val="24"/>
          <w:lang w:eastAsia="en-GB"/>
        </w:rPr>
      </w:pPr>
      <w:r>
        <w:rPr>
          <w:noProof/>
        </w:rPr>
        <w:lastRenderedPageBreak/>
        <w:t xml:space="preserve">Figure 4.15: Graphical representation of </w:t>
      </w:r>
      <w:r w:rsidRPr="005C28E7">
        <w:rPr>
          <w:i/>
          <w:noProof/>
        </w:rPr>
        <w:t>began</w:t>
      </w:r>
      <w:r>
        <w:rPr>
          <w:noProof/>
        </w:rPr>
        <w:t xml:space="preserve"> and </w:t>
      </w:r>
      <w:r w:rsidRPr="005C28E7">
        <w:rPr>
          <w:i/>
          <w:noProof/>
        </w:rPr>
        <w:t>bygan</w:t>
      </w:r>
      <w:r>
        <w:rPr>
          <w:noProof/>
        </w:rPr>
        <w:t xml:space="preserve"> for two quires of the </w:t>
      </w:r>
      <w:r w:rsidRPr="005C28E7">
        <w:rPr>
          <w:i/>
          <w:noProof/>
        </w:rPr>
        <w:t>Confessio Amantis</w:t>
      </w:r>
      <w:r>
        <w:rPr>
          <w:noProof/>
        </w:rPr>
        <w:tab/>
      </w:r>
      <w:r>
        <w:rPr>
          <w:noProof/>
        </w:rPr>
        <w:fldChar w:fldCharType="begin"/>
      </w:r>
      <w:r>
        <w:rPr>
          <w:noProof/>
        </w:rPr>
        <w:instrText xml:space="preserve"> PAGEREF _Toc499753523 \h </w:instrText>
      </w:r>
      <w:r>
        <w:rPr>
          <w:noProof/>
        </w:rPr>
      </w:r>
      <w:r>
        <w:rPr>
          <w:noProof/>
        </w:rPr>
        <w:fldChar w:fldCharType="separate"/>
      </w:r>
      <w:r>
        <w:rPr>
          <w:noProof/>
        </w:rPr>
        <w:t>73</w:t>
      </w:r>
      <w:r>
        <w:rPr>
          <w:noProof/>
        </w:rPr>
        <w:fldChar w:fldCharType="end"/>
      </w:r>
    </w:p>
    <w:p w14:paraId="53521D0C" w14:textId="588CB8D2" w:rsidR="000A7250" w:rsidRDefault="000A7250" w:rsidP="000A7250">
      <w:pPr>
        <w:pStyle w:val="TableofFigures"/>
        <w:tabs>
          <w:tab w:val="right" w:leader="dot" w:pos="7858"/>
        </w:tabs>
        <w:rPr>
          <w:rFonts w:asciiTheme="minorHAnsi" w:eastAsiaTheme="minorEastAsia" w:hAnsiTheme="minorHAnsi" w:cstheme="minorBidi"/>
          <w:noProof/>
          <w:sz w:val="24"/>
          <w:szCs w:val="24"/>
          <w:lang w:eastAsia="en-GB"/>
        </w:rPr>
      </w:pPr>
      <w:r>
        <w:rPr>
          <w:noProof/>
        </w:rPr>
        <w:t xml:space="preserve">Figure 4.16: Graphical representation of </w:t>
      </w:r>
      <w:r w:rsidRPr="005C28E7">
        <w:rPr>
          <w:i/>
          <w:noProof/>
        </w:rPr>
        <w:t xml:space="preserve">began </w:t>
      </w:r>
      <w:r>
        <w:rPr>
          <w:noProof/>
        </w:rPr>
        <w:t xml:space="preserve">and </w:t>
      </w:r>
      <w:r w:rsidRPr="005C28E7">
        <w:rPr>
          <w:i/>
          <w:noProof/>
        </w:rPr>
        <w:t>bygan</w:t>
      </w:r>
      <w:r>
        <w:rPr>
          <w:noProof/>
        </w:rPr>
        <w:t xml:space="preserve"> in quires of the </w:t>
      </w:r>
      <w:r w:rsidRPr="005C28E7">
        <w:rPr>
          <w:i/>
          <w:noProof/>
        </w:rPr>
        <w:t>Confessio Amantis</w:t>
      </w:r>
      <w:r>
        <w:rPr>
          <w:noProof/>
        </w:rPr>
        <w:tab/>
      </w:r>
      <w:r>
        <w:rPr>
          <w:noProof/>
        </w:rPr>
        <w:fldChar w:fldCharType="begin"/>
      </w:r>
      <w:r>
        <w:rPr>
          <w:noProof/>
        </w:rPr>
        <w:instrText xml:space="preserve"> PAGEREF _Toc499753524 \h </w:instrText>
      </w:r>
      <w:r>
        <w:rPr>
          <w:noProof/>
        </w:rPr>
      </w:r>
      <w:r>
        <w:rPr>
          <w:noProof/>
        </w:rPr>
        <w:fldChar w:fldCharType="separate"/>
      </w:r>
      <w:r>
        <w:rPr>
          <w:noProof/>
        </w:rPr>
        <w:t>74</w:t>
      </w:r>
      <w:r>
        <w:rPr>
          <w:noProof/>
        </w:rPr>
        <w:fldChar w:fldCharType="end"/>
      </w:r>
    </w:p>
    <w:p w14:paraId="7CD1BF49" w14:textId="1BAD5574" w:rsidR="00DB2710" w:rsidRDefault="000A7250" w:rsidP="00DB2710">
      <w:pPr>
        <w:pStyle w:val="TableofFigures"/>
        <w:tabs>
          <w:tab w:val="right" w:leader="dot" w:pos="7858"/>
        </w:tabs>
        <w:rPr>
          <w:noProof/>
        </w:rPr>
      </w:pPr>
      <w:r>
        <w:rPr>
          <w:noProof/>
        </w:rPr>
        <w:t>Table 4.17</w:t>
      </w:r>
      <w:r w:rsidR="00DB2710">
        <w:rPr>
          <w:noProof/>
        </w:rPr>
        <w:t xml:space="preserve">: Ratios of </w:t>
      </w:r>
      <w:r w:rsidR="00BE08E1" w:rsidRPr="00BE08E1">
        <w:rPr>
          <w:smallCaps/>
          <w:noProof/>
        </w:rPr>
        <w:t>began</w:t>
      </w:r>
      <w:r w:rsidR="00BE08E1">
        <w:rPr>
          <w:noProof/>
        </w:rPr>
        <w:t xml:space="preserve"> </w:t>
      </w:r>
      <w:r w:rsidR="00DB2710">
        <w:rPr>
          <w:noProof/>
        </w:rPr>
        <w:t xml:space="preserve">in Quire a and Quire b of the </w:t>
      </w:r>
      <w:r w:rsidR="00DB2710" w:rsidRPr="00BE08E1">
        <w:rPr>
          <w:i/>
          <w:noProof/>
        </w:rPr>
        <w:t>Confessio Amantis</w:t>
      </w:r>
      <w:r w:rsidR="00DB2710">
        <w:rPr>
          <w:noProof/>
        </w:rPr>
        <w:tab/>
        <w:t>75</w:t>
      </w:r>
    </w:p>
    <w:p w14:paraId="000ECA8D" w14:textId="16A94B4A" w:rsidR="000A7250" w:rsidRDefault="000A7250" w:rsidP="000A7250">
      <w:pPr>
        <w:pStyle w:val="TableofFigures"/>
        <w:tabs>
          <w:tab w:val="right" w:leader="dot" w:pos="7858"/>
        </w:tabs>
        <w:rPr>
          <w:rFonts w:asciiTheme="minorHAnsi" w:eastAsiaTheme="minorEastAsia" w:hAnsiTheme="minorHAnsi" w:cstheme="minorBidi"/>
          <w:noProof/>
          <w:sz w:val="24"/>
          <w:szCs w:val="24"/>
          <w:lang w:eastAsia="en-GB"/>
        </w:rPr>
      </w:pPr>
      <w:r>
        <w:rPr>
          <w:noProof/>
        </w:rPr>
        <w:t xml:space="preserve">Figure 4.18: Graphical representation of </w:t>
      </w:r>
      <w:r w:rsidRPr="005C28E7">
        <w:rPr>
          <w:i/>
          <w:noProof/>
        </w:rPr>
        <w:t>began</w:t>
      </w:r>
      <w:r>
        <w:rPr>
          <w:noProof/>
        </w:rPr>
        <w:t xml:space="preserve"> in quires of the </w:t>
      </w:r>
      <w:r w:rsidRPr="005C28E7">
        <w:rPr>
          <w:i/>
          <w:noProof/>
        </w:rPr>
        <w:t>Confessio Amantis</w:t>
      </w:r>
      <w:r>
        <w:rPr>
          <w:noProof/>
        </w:rPr>
        <w:tab/>
      </w:r>
      <w:r>
        <w:rPr>
          <w:noProof/>
        </w:rPr>
        <w:fldChar w:fldCharType="begin"/>
      </w:r>
      <w:r>
        <w:rPr>
          <w:noProof/>
        </w:rPr>
        <w:instrText xml:space="preserve"> PAGEREF _Toc499753525 \h </w:instrText>
      </w:r>
      <w:r>
        <w:rPr>
          <w:noProof/>
        </w:rPr>
      </w:r>
      <w:r>
        <w:rPr>
          <w:noProof/>
        </w:rPr>
        <w:fldChar w:fldCharType="separate"/>
      </w:r>
      <w:r>
        <w:rPr>
          <w:noProof/>
        </w:rPr>
        <w:t>75</w:t>
      </w:r>
      <w:r>
        <w:rPr>
          <w:noProof/>
        </w:rPr>
        <w:fldChar w:fldCharType="end"/>
      </w:r>
    </w:p>
    <w:p w14:paraId="527D4562" w14:textId="5A208F01" w:rsidR="000A7250" w:rsidRDefault="000A7250" w:rsidP="000A7250">
      <w:pPr>
        <w:pStyle w:val="TableofFigures"/>
        <w:tabs>
          <w:tab w:val="right" w:leader="dot" w:pos="7858"/>
        </w:tabs>
        <w:rPr>
          <w:rFonts w:asciiTheme="minorHAnsi" w:eastAsiaTheme="minorEastAsia" w:hAnsiTheme="minorHAnsi" w:cstheme="minorBidi"/>
          <w:noProof/>
          <w:sz w:val="24"/>
          <w:szCs w:val="24"/>
          <w:lang w:eastAsia="en-GB"/>
        </w:rPr>
      </w:pPr>
      <w:r>
        <w:rPr>
          <w:noProof/>
        </w:rPr>
        <w:t xml:space="preserve">Figure 4.19: Graphical representation of </w:t>
      </w:r>
      <w:r w:rsidRPr="005C28E7">
        <w:rPr>
          <w:i/>
          <w:noProof/>
        </w:rPr>
        <w:t>began</w:t>
      </w:r>
      <w:r>
        <w:rPr>
          <w:noProof/>
        </w:rPr>
        <w:t xml:space="preserve"> and </w:t>
      </w:r>
      <w:r w:rsidRPr="005C28E7">
        <w:rPr>
          <w:i/>
          <w:noProof/>
        </w:rPr>
        <w:t>bygan</w:t>
      </w:r>
      <w:r>
        <w:rPr>
          <w:noProof/>
        </w:rPr>
        <w:t xml:space="preserve"> in the </w:t>
      </w:r>
      <w:r w:rsidRPr="005C28E7">
        <w:rPr>
          <w:i/>
          <w:noProof/>
        </w:rPr>
        <w:t>Confessio Amantis</w:t>
      </w:r>
      <w:r>
        <w:rPr>
          <w:noProof/>
        </w:rPr>
        <w:tab/>
      </w:r>
      <w:r>
        <w:rPr>
          <w:noProof/>
        </w:rPr>
        <w:fldChar w:fldCharType="begin"/>
      </w:r>
      <w:r>
        <w:rPr>
          <w:noProof/>
        </w:rPr>
        <w:instrText xml:space="preserve"> PAGEREF _Toc499753526 \h </w:instrText>
      </w:r>
      <w:r>
        <w:rPr>
          <w:noProof/>
        </w:rPr>
      </w:r>
      <w:r>
        <w:rPr>
          <w:noProof/>
        </w:rPr>
        <w:fldChar w:fldCharType="separate"/>
      </w:r>
      <w:r>
        <w:rPr>
          <w:noProof/>
        </w:rPr>
        <w:t>76</w:t>
      </w:r>
      <w:r>
        <w:rPr>
          <w:noProof/>
        </w:rPr>
        <w:fldChar w:fldCharType="end"/>
      </w:r>
    </w:p>
    <w:p w14:paraId="2ADBA95B" w14:textId="74320BDA" w:rsidR="000A7250" w:rsidRDefault="000A7250" w:rsidP="000A7250">
      <w:pPr>
        <w:pStyle w:val="TableofFigures"/>
        <w:tabs>
          <w:tab w:val="right" w:leader="dot" w:pos="7858"/>
        </w:tabs>
        <w:rPr>
          <w:rFonts w:asciiTheme="minorHAnsi" w:eastAsiaTheme="minorEastAsia" w:hAnsiTheme="minorHAnsi" w:cstheme="minorBidi"/>
          <w:noProof/>
          <w:sz w:val="24"/>
          <w:szCs w:val="24"/>
          <w:lang w:eastAsia="en-GB"/>
        </w:rPr>
      </w:pPr>
      <w:r>
        <w:rPr>
          <w:noProof/>
        </w:rPr>
        <w:t xml:space="preserve">Figure 4.20: Applying Pythagoras theorem onto quires of the </w:t>
      </w:r>
      <w:r w:rsidRPr="005C28E7">
        <w:rPr>
          <w:i/>
          <w:noProof/>
        </w:rPr>
        <w:t>Confessio Amantis</w:t>
      </w:r>
      <w:r>
        <w:rPr>
          <w:noProof/>
        </w:rPr>
        <w:tab/>
      </w:r>
      <w:r>
        <w:rPr>
          <w:noProof/>
        </w:rPr>
        <w:fldChar w:fldCharType="begin"/>
      </w:r>
      <w:r>
        <w:rPr>
          <w:noProof/>
        </w:rPr>
        <w:instrText xml:space="preserve"> PAGEREF _Toc499753527 \h </w:instrText>
      </w:r>
      <w:r>
        <w:rPr>
          <w:noProof/>
        </w:rPr>
      </w:r>
      <w:r>
        <w:rPr>
          <w:noProof/>
        </w:rPr>
        <w:fldChar w:fldCharType="separate"/>
      </w:r>
      <w:r>
        <w:rPr>
          <w:noProof/>
        </w:rPr>
        <w:t>77</w:t>
      </w:r>
      <w:r>
        <w:rPr>
          <w:noProof/>
        </w:rPr>
        <w:fldChar w:fldCharType="end"/>
      </w:r>
    </w:p>
    <w:p w14:paraId="15A44A6F" w14:textId="3A39BE15" w:rsidR="00DB2710" w:rsidRDefault="000A7250" w:rsidP="00DB2710">
      <w:pPr>
        <w:pStyle w:val="TableofFigures"/>
        <w:tabs>
          <w:tab w:val="right" w:leader="dot" w:pos="7858"/>
        </w:tabs>
        <w:rPr>
          <w:noProof/>
        </w:rPr>
      </w:pPr>
      <w:r>
        <w:rPr>
          <w:noProof/>
        </w:rPr>
        <w:t>Table 4.21</w:t>
      </w:r>
      <w:r w:rsidR="00DB2710">
        <w:rPr>
          <w:noProof/>
        </w:rPr>
        <w:t xml:space="preserve">: Ratios of </w:t>
      </w:r>
      <w:r w:rsidR="00BE08E1" w:rsidRPr="00BE08E1">
        <w:rPr>
          <w:smallCaps/>
          <w:noProof/>
        </w:rPr>
        <w:t>began</w:t>
      </w:r>
      <w:r w:rsidR="00BE08E1">
        <w:rPr>
          <w:noProof/>
        </w:rPr>
        <w:t xml:space="preserve"> </w:t>
      </w:r>
      <w:r w:rsidR="00DB2710">
        <w:rPr>
          <w:noProof/>
        </w:rPr>
        <w:t xml:space="preserve">in Quire q and Quire u of the </w:t>
      </w:r>
      <w:r w:rsidR="00DB2710" w:rsidRPr="00BE08E1">
        <w:rPr>
          <w:i/>
          <w:noProof/>
        </w:rPr>
        <w:t>Confessio Amantis</w:t>
      </w:r>
      <w:r w:rsidR="00DB2710">
        <w:rPr>
          <w:noProof/>
        </w:rPr>
        <w:tab/>
        <w:t>78</w:t>
      </w:r>
    </w:p>
    <w:p w14:paraId="4D0F292A" w14:textId="23A4B7F6" w:rsidR="000A7250" w:rsidRDefault="000A7250" w:rsidP="000A7250">
      <w:pPr>
        <w:pStyle w:val="TableofFigures"/>
        <w:tabs>
          <w:tab w:val="right" w:leader="dot" w:pos="7858"/>
        </w:tabs>
        <w:rPr>
          <w:rFonts w:asciiTheme="minorHAnsi" w:eastAsiaTheme="minorEastAsia" w:hAnsiTheme="minorHAnsi" w:cstheme="minorBidi"/>
          <w:noProof/>
          <w:sz w:val="24"/>
          <w:szCs w:val="24"/>
          <w:lang w:eastAsia="en-GB"/>
        </w:rPr>
      </w:pPr>
      <w:r>
        <w:rPr>
          <w:noProof/>
        </w:rPr>
        <w:t xml:space="preserve">Figure 4.22: Graphical representation of </w:t>
      </w:r>
      <w:r w:rsidRPr="005C28E7">
        <w:rPr>
          <w:i/>
          <w:noProof/>
        </w:rPr>
        <w:t>begin</w:t>
      </w:r>
      <w:r>
        <w:rPr>
          <w:noProof/>
        </w:rPr>
        <w:t xml:space="preserve"> in quires of the </w:t>
      </w:r>
      <w:r w:rsidRPr="005C28E7">
        <w:rPr>
          <w:i/>
          <w:noProof/>
        </w:rPr>
        <w:t>Confessio Amantis</w:t>
      </w:r>
      <w:r>
        <w:rPr>
          <w:noProof/>
        </w:rPr>
        <w:tab/>
      </w:r>
      <w:r>
        <w:rPr>
          <w:noProof/>
        </w:rPr>
        <w:fldChar w:fldCharType="begin"/>
      </w:r>
      <w:r>
        <w:rPr>
          <w:noProof/>
        </w:rPr>
        <w:instrText xml:space="preserve"> PAGEREF _Toc499753528 \h </w:instrText>
      </w:r>
      <w:r>
        <w:rPr>
          <w:noProof/>
        </w:rPr>
      </w:r>
      <w:r>
        <w:rPr>
          <w:noProof/>
        </w:rPr>
        <w:fldChar w:fldCharType="separate"/>
      </w:r>
      <w:r>
        <w:rPr>
          <w:noProof/>
        </w:rPr>
        <w:t>78</w:t>
      </w:r>
      <w:r>
        <w:rPr>
          <w:noProof/>
        </w:rPr>
        <w:fldChar w:fldCharType="end"/>
      </w:r>
    </w:p>
    <w:p w14:paraId="59AAFC29" w14:textId="1C185901" w:rsidR="000A7250" w:rsidRDefault="000A7250" w:rsidP="000A7250">
      <w:pPr>
        <w:pStyle w:val="TableofFigures"/>
        <w:tabs>
          <w:tab w:val="right" w:leader="dot" w:pos="7858"/>
        </w:tabs>
        <w:rPr>
          <w:rFonts w:asciiTheme="minorHAnsi" w:eastAsiaTheme="minorEastAsia" w:hAnsiTheme="minorHAnsi" w:cstheme="minorBidi"/>
          <w:noProof/>
          <w:sz w:val="24"/>
          <w:szCs w:val="24"/>
          <w:lang w:eastAsia="en-GB"/>
        </w:rPr>
      </w:pPr>
      <w:r>
        <w:rPr>
          <w:noProof/>
        </w:rPr>
        <w:t xml:space="preserve">Figure 4.23: Two-dimensional graph of </w:t>
      </w:r>
      <w:r w:rsidRPr="005C28E7">
        <w:rPr>
          <w:i/>
          <w:noProof/>
        </w:rPr>
        <w:t>began</w:t>
      </w:r>
      <w:r>
        <w:rPr>
          <w:noProof/>
        </w:rPr>
        <w:t xml:space="preserve"> and </w:t>
      </w:r>
      <w:r w:rsidRPr="005C28E7">
        <w:rPr>
          <w:i/>
          <w:noProof/>
        </w:rPr>
        <w:t>bygan</w:t>
      </w:r>
      <w:r>
        <w:rPr>
          <w:noProof/>
        </w:rPr>
        <w:t xml:space="preserve"> in quires of the </w:t>
      </w:r>
      <w:r w:rsidRPr="005C28E7">
        <w:rPr>
          <w:i/>
          <w:noProof/>
        </w:rPr>
        <w:t>Confessio Amantis</w:t>
      </w:r>
      <w:r>
        <w:rPr>
          <w:noProof/>
        </w:rPr>
        <w:tab/>
      </w:r>
      <w:r>
        <w:rPr>
          <w:noProof/>
        </w:rPr>
        <w:fldChar w:fldCharType="begin"/>
      </w:r>
      <w:r>
        <w:rPr>
          <w:noProof/>
        </w:rPr>
        <w:instrText xml:space="preserve"> PAGEREF _Toc499753529 \h </w:instrText>
      </w:r>
      <w:r>
        <w:rPr>
          <w:noProof/>
        </w:rPr>
      </w:r>
      <w:r>
        <w:rPr>
          <w:noProof/>
        </w:rPr>
        <w:fldChar w:fldCharType="separate"/>
      </w:r>
      <w:r>
        <w:rPr>
          <w:noProof/>
        </w:rPr>
        <w:t>79</w:t>
      </w:r>
      <w:r>
        <w:rPr>
          <w:noProof/>
        </w:rPr>
        <w:fldChar w:fldCharType="end"/>
      </w:r>
    </w:p>
    <w:p w14:paraId="5AC841FD" w14:textId="2FEF7E3F" w:rsidR="00DB2710" w:rsidRDefault="000A7250" w:rsidP="00DB2710">
      <w:pPr>
        <w:pStyle w:val="TableofFigures"/>
        <w:tabs>
          <w:tab w:val="right" w:leader="dot" w:pos="7858"/>
        </w:tabs>
        <w:rPr>
          <w:noProof/>
        </w:rPr>
      </w:pPr>
      <w:r>
        <w:rPr>
          <w:noProof/>
        </w:rPr>
        <w:t>Table 4.24</w:t>
      </w:r>
      <w:r w:rsidR="00DB2710">
        <w:rPr>
          <w:noProof/>
        </w:rPr>
        <w:t xml:space="preserve">: Example raw frequencies of </w:t>
      </w:r>
      <w:r w:rsidR="00BE08E1" w:rsidRPr="00BE08E1">
        <w:rPr>
          <w:smallCaps/>
          <w:noProof/>
        </w:rPr>
        <w:t>burying</w:t>
      </w:r>
      <w:r w:rsidR="00BE08E1">
        <w:rPr>
          <w:noProof/>
        </w:rPr>
        <w:t xml:space="preserve"> </w:t>
      </w:r>
      <w:r w:rsidR="00DB2710">
        <w:rPr>
          <w:noProof/>
        </w:rPr>
        <w:t xml:space="preserve">in the </w:t>
      </w:r>
      <w:r w:rsidR="00DB2710" w:rsidRPr="00BE08E1">
        <w:rPr>
          <w:i/>
          <w:noProof/>
        </w:rPr>
        <w:t>Polychronicon</w:t>
      </w:r>
      <w:r w:rsidR="00DB2710">
        <w:rPr>
          <w:noProof/>
        </w:rPr>
        <w:tab/>
        <w:t>80</w:t>
      </w:r>
    </w:p>
    <w:p w14:paraId="2DB89CEE" w14:textId="5973997F" w:rsidR="000A7250" w:rsidRDefault="000A7250" w:rsidP="000A7250">
      <w:pPr>
        <w:pStyle w:val="TableofFigures"/>
        <w:tabs>
          <w:tab w:val="right" w:leader="dot" w:pos="7858"/>
        </w:tabs>
        <w:rPr>
          <w:rFonts w:asciiTheme="minorHAnsi" w:eastAsiaTheme="minorEastAsia" w:hAnsiTheme="minorHAnsi" w:cstheme="minorBidi"/>
          <w:noProof/>
          <w:sz w:val="24"/>
          <w:szCs w:val="24"/>
          <w:lang w:eastAsia="en-GB"/>
        </w:rPr>
      </w:pPr>
      <w:r>
        <w:rPr>
          <w:noProof/>
        </w:rPr>
        <w:t xml:space="preserve">Figure 4.25: Graphical representation of </w:t>
      </w:r>
      <w:r w:rsidRPr="005C28E7">
        <w:rPr>
          <w:i/>
          <w:noProof/>
        </w:rPr>
        <w:t>berynge</w:t>
      </w:r>
      <w:r>
        <w:rPr>
          <w:noProof/>
        </w:rPr>
        <w:t xml:space="preserve"> in quires of the </w:t>
      </w:r>
      <w:r w:rsidRPr="005C28E7">
        <w:rPr>
          <w:i/>
          <w:noProof/>
        </w:rPr>
        <w:t>Polychronicon</w:t>
      </w:r>
      <w:r>
        <w:rPr>
          <w:noProof/>
        </w:rPr>
        <w:tab/>
      </w:r>
      <w:r>
        <w:rPr>
          <w:noProof/>
        </w:rPr>
        <w:fldChar w:fldCharType="begin"/>
      </w:r>
      <w:r>
        <w:rPr>
          <w:noProof/>
        </w:rPr>
        <w:instrText xml:space="preserve"> PAGEREF _Toc499753530 \h </w:instrText>
      </w:r>
      <w:r>
        <w:rPr>
          <w:noProof/>
        </w:rPr>
      </w:r>
      <w:r>
        <w:rPr>
          <w:noProof/>
        </w:rPr>
        <w:fldChar w:fldCharType="separate"/>
      </w:r>
      <w:r>
        <w:rPr>
          <w:noProof/>
        </w:rPr>
        <w:t>80</w:t>
      </w:r>
      <w:r>
        <w:rPr>
          <w:noProof/>
        </w:rPr>
        <w:fldChar w:fldCharType="end"/>
      </w:r>
    </w:p>
    <w:p w14:paraId="1E693506" w14:textId="3DFF0370" w:rsidR="000A7250" w:rsidRDefault="000A7250" w:rsidP="000A7250">
      <w:pPr>
        <w:pStyle w:val="TableofFigures"/>
        <w:tabs>
          <w:tab w:val="right" w:leader="dot" w:pos="7858"/>
        </w:tabs>
        <w:rPr>
          <w:rFonts w:asciiTheme="minorHAnsi" w:eastAsiaTheme="minorEastAsia" w:hAnsiTheme="minorHAnsi" w:cstheme="minorBidi"/>
          <w:noProof/>
          <w:sz w:val="24"/>
          <w:szCs w:val="24"/>
          <w:lang w:eastAsia="en-GB"/>
        </w:rPr>
      </w:pPr>
      <w:r>
        <w:rPr>
          <w:noProof/>
        </w:rPr>
        <w:t xml:space="preserve">Figure 4.26: Graphical representation of </w:t>
      </w:r>
      <w:r w:rsidRPr="005C28E7">
        <w:rPr>
          <w:i/>
          <w:noProof/>
        </w:rPr>
        <w:t>berynge</w:t>
      </w:r>
      <w:r>
        <w:rPr>
          <w:noProof/>
        </w:rPr>
        <w:t xml:space="preserve"> and </w:t>
      </w:r>
      <w:r w:rsidRPr="005C28E7">
        <w:rPr>
          <w:i/>
          <w:noProof/>
        </w:rPr>
        <w:t>beryng</w:t>
      </w:r>
      <w:r>
        <w:rPr>
          <w:noProof/>
        </w:rPr>
        <w:t xml:space="preserve"> in quires of the </w:t>
      </w:r>
      <w:r w:rsidRPr="005C28E7">
        <w:rPr>
          <w:i/>
          <w:noProof/>
        </w:rPr>
        <w:t>Polychronicon</w:t>
      </w:r>
      <w:r>
        <w:rPr>
          <w:noProof/>
        </w:rPr>
        <w:tab/>
      </w:r>
      <w:r>
        <w:rPr>
          <w:noProof/>
        </w:rPr>
        <w:fldChar w:fldCharType="begin"/>
      </w:r>
      <w:r>
        <w:rPr>
          <w:noProof/>
        </w:rPr>
        <w:instrText xml:space="preserve"> PAGEREF _Toc499753531 \h </w:instrText>
      </w:r>
      <w:r>
        <w:rPr>
          <w:noProof/>
        </w:rPr>
      </w:r>
      <w:r>
        <w:rPr>
          <w:noProof/>
        </w:rPr>
        <w:fldChar w:fldCharType="separate"/>
      </w:r>
      <w:r>
        <w:rPr>
          <w:noProof/>
        </w:rPr>
        <w:t>81</w:t>
      </w:r>
      <w:r>
        <w:rPr>
          <w:noProof/>
        </w:rPr>
        <w:fldChar w:fldCharType="end"/>
      </w:r>
    </w:p>
    <w:p w14:paraId="4F98738E" w14:textId="6E29707F" w:rsidR="00DB2710" w:rsidRDefault="00DB2710" w:rsidP="00DB2710">
      <w:pPr>
        <w:pStyle w:val="TableofFigures"/>
        <w:tabs>
          <w:tab w:val="right" w:leader="dot" w:pos="7858"/>
        </w:tabs>
        <w:rPr>
          <w:noProof/>
        </w:rPr>
      </w:pPr>
      <w:r>
        <w:rPr>
          <w:noProof/>
        </w:rPr>
        <w:t xml:space="preserve">Table 5.1: Ratios of spellings for </w:t>
      </w:r>
      <w:r w:rsidR="00BE08E1" w:rsidRPr="00BE08E1">
        <w:rPr>
          <w:smallCaps/>
          <w:noProof/>
        </w:rPr>
        <w:t>chapter</w:t>
      </w:r>
      <w:r w:rsidR="00BE08E1">
        <w:rPr>
          <w:noProof/>
        </w:rPr>
        <w:t xml:space="preserve"> </w:t>
      </w:r>
      <w:r>
        <w:rPr>
          <w:noProof/>
        </w:rPr>
        <w:t xml:space="preserve">in quires of the </w:t>
      </w:r>
      <w:r w:rsidRPr="00BE08E1">
        <w:rPr>
          <w:i/>
          <w:noProof/>
        </w:rPr>
        <w:t>Book of Good Manners</w:t>
      </w:r>
      <w:r>
        <w:rPr>
          <w:noProof/>
        </w:rPr>
        <w:tab/>
        <w:t>91</w:t>
      </w:r>
    </w:p>
    <w:p w14:paraId="4CF79A40" w14:textId="418B2164" w:rsidR="00CB6FF6" w:rsidRDefault="00CB6FF6" w:rsidP="00CB6FF6">
      <w:pPr>
        <w:pStyle w:val="TableofFigures"/>
        <w:tabs>
          <w:tab w:val="right" w:leader="dot" w:pos="7858"/>
        </w:tabs>
        <w:rPr>
          <w:rFonts w:asciiTheme="minorHAnsi" w:eastAsiaTheme="minorEastAsia" w:hAnsiTheme="minorHAnsi" w:cstheme="minorBidi"/>
          <w:noProof/>
          <w:sz w:val="24"/>
          <w:szCs w:val="24"/>
          <w:lang w:eastAsia="en-GB"/>
        </w:rPr>
      </w:pPr>
      <w:r>
        <w:rPr>
          <w:noProof/>
        </w:rPr>
        <w:t xml:space="preserve">Figure 5.2: Graphical representation of </w:t>
      </w:r>
      <w:r w:rsidRPr="005C28E7">
        <w:rPr>
          <w:i/>
          <w:noProof/>
        </w:rPr>
        <w:t>began</w:t>
      </w:r>
      <w:r>
        <w:rPr>
          <w:noProof/>
        </w:rPr>
        <w:t xml:space="preserve"> in quires of the </w:t>
      </w:r>
      <w:r w:rsidRPr="005C28E7">
        <w:rPr>
          <w:i/>
          <w:noProof/>
        </w:rPr>
        <w:t>Confessio Amantis</w:t>
      </w:r>
      <w:r>
        <w:rPr>
          <w:noProof/>
        </w:rPr>
        <w:tab/>
      </w:r>
      <w:r>
        <w:rPr>
          <w:noProof/>
        </w:rPr>
        <w:fldChar w:fldCharType="begin"/>
      </w:r>
      <w:r>
        <w:rPr>
          <w:noProof/>
        </w:rPr>
        <w:instrText xml:space="preserve"> PAGEREF _Toc499753532 \h </w:instrText>
      </w:r>
      <w:r>
        <w:rPr>
          <w:noProof/>
        </w:rPr>
      </w:r>
      <w:r>
        <w:rPr>
          <w:noProof/>
        </w:rPr>
        <w:fldChar w:fldCharType="separate"/>
      </w:r>
      <w:r>
        <w:rPr>
          <w:noProof/>
        </w:rPr>
        <w:t>96</w:t>
      </w:r>
      <w:r>
        <w:rPr>
          <w:noProof/>
        </w:rPr>
        <w:fldChar w:fldCharType="end"/>
      </w:r>
    </w:p>
    <w:p w14:paraId="51E556A6" w14:textId="0B3ACBDB" w:rsidR="00CB6FF6" w:rsidRDefault="00CB6FF6" w:rsidP="00CB6FF6">
      <w:pPr>
        <w:pStyle w:val="TableofFigures"/>
        <w:tabs>
          <w:tab w:val="right" w:leader="dot" w:pos="7858"/>
        </w:tabs>
        <w:rPr>
          <w:rFonts w:asciiTheme="minorHAnsi" w:eastAsiaTheme="minorEastAsia" w:hAnsiTheme="minorHAnsi" w:cstheme="minorBidi"/>
          <w:noProof/>
          <w:sz w:val="24"/>
          <w:szCs w:val="24"/>
          <w:lang w:eastAsia="en-GB"/>
        </w:rPr>
      </w:pPr>
      <w:r>
        <w:rPr>
          <w:noProof/>
        </w:rPr>
        <w:t xml:space="preserve">Figure 5.3: Graphical representation of </w:t>
      </w:r>
      <w:r w:rsidRPr="005C28E7">
        <w:rPr>
          <w:i/>
          <w:noProof/>
        </w:rPr>
        <w:t>began</w:t>
      </w:r>
      <w:r>
        <w:rPr>
          <w:noProof/>
        </w:rPr>
        <w:t xml:space="preserve"> and </w:t>
      </w:r>
      <w:r w:rsidRPr="005C28E7">
        <w:rPr>
          <w:i/>
          <w:noProof/>
        </w:rPr>
        <w:t>velociraptor</w:t>
      </w:r>
      <w:r>
        <w:rPr>
          <w:noProof/>
        </w:rPr>
        <w:t xml:space="preserve"> in quires of the </w:t>
      </w:r>
      <w:r w:rsidRPr="005C28E7">
        <w:rPr>
          <w:i/>
          <w:noProof/>
        </w:rPr>
        <w:t>Confessio Amantis</w:t>
      </w:r>
      <w:r>
        <w:rPr>
          <w:noProof/>
        </w:rPr>
        <w:tab/>
      </w:r>
      <w:r>
        <w:rPr>
          <w:noProof/>
        </w:rPr>
        <w:fldChar w:fldCharType="begin"/>
      </w:r>
      <w:r>
        <w:rPr>
          <w:noProof/>
        </w:rPr>
        <w:instrText xml:space="preserve"> PAGEREF _Toc499753533 \h </w:instrText>
      </w:r>
      <w:r>
        <w:rPr>
          <w:noProof/>
        </w:rPr>
      </w:r>
      <w:r>
        <w:rPr>
          <w:noProof/>
        </w:rPr>
        <w:fldChar w:fldCharType="separate"/>
      </w:r>
      <w:r>
        <w:rPr>
          <w:noProof/>
        </w:rPr>
        <w:t>96</w:t>
      </w:r>
      <w:r>
        <w:rPr>
          <w:noProof/>
        </w:rPr>
        <w:fldChar w:fldCharType="end"/>
      </w:r>
    </w:p>
    <w:p w14:paraId="2695F6F7" w14:textId="4FABC7FD" w:rsidR="00DB2710" w:rsidRDefault="00CB6FF6" w:rsidP="00DB2710">
      <w:pPr>
        <w:pStyle w:val="TableofFigures"/>
        <w:tabs>
          <w:tab w:val="right" w:leader="dot" w:pos="7858"/>
        </w:tabs>
        <w:rPr>
          <w:noProof/>
        </w:rPr>
      </w:pPr>
      <w:r>
        <w:rPr>
          <w:noProof/>
        </w:rPr>
        <w:t>Table 5.4</w:t>
      </w:r>
      <w:r w:rsidR="00DB2710">
        <w:rPr>
          <w:noProof/>
        </w:rPr>
        <w:t xml:space="preserve">: Ratios of </w:t>
      </w:r>
      <w:r w:rsidR="00DB2710" w:rsidRPr="00DB2710">
        <w:rPr>
          <w:smallCaps/>
          <w:noProof/>
        </w:rPr>
        <w:t>began</w:t>
      </w:r>
      <w:r w:rsidR="00DB2710">
        <w:rPr>
          <w:noProof/>
        </w:rPr>
        <w:t xml:space="preserve"> in quires of the </w:t>
      </w:r>
      <w:r w:rsidR="00DB2710" w:rsidRPr="00DB2710">
        <w:rPr>
          <w:i/>
          <w:noProof/>
        </w:rPr>
        <w:t>Confessio</w:t>
      </w:r>
      <w:r w:rsidR="00DB2710">
        <w:rPr>
          <w:noProof/>
        </w:rPr>
        <w:t xml:space="preserve"> </w:t>
      </w:r>
      <w:r w:rsidR="00DB2710" w:rsidRPr="00DB2710">
        <w:rPr>
          <w:i/>
          <w:noProof/>
        </w:rPr>
        <w:t>Amantis</w:t>
      </w:r>
      <w:r w:rsidR="00DB2710">
        <w:rPr>
          <w:noProof/>
        </w:rPr>
        <w:tab/>
        <w:t>97</w:t>
      </w:r>
    </w:p>
    <w:p w14:paraId="6230162E" w14:textId="20C79BD0" w:rsidR="00DB2710" w:rsidRDefault="00CB6FF6" w:rsidP="00DB2710">
      <w:pPr>
        <w:pStyle w:val="TableofFigures"/>
        <w:tabs>
          <w:tab w:val="right" w:leader="dot" w:pos="7858"/>
        </w:tabs>
        <w:rPr>
          <w:noProof/>
        </w:rPr>
      </w:pPr>
      <w:r>
        <w:rPr>
          <w:noProof/>
        </w:rPr>
        <w:t>Table 5.5</w:t>
      </w:r>
      <w:r w:rsidR="00DB2710">
        <w:rPr>
          <w:noProof/>
        </w:rPr>
        <w:t xml:space="preserve">: Ratios for </w:t>
      </w:r>
      <w:r w:rsidR="00DB2710" w:rsidRPr="00DB2710">
        <w:rPr>
          <w:smallCaps/>
          <w:noProof/>
        </w:rPr>
        <w:t>miller</w:t>
      </w:r>
      <w:r w:rsidR="00DB2710">
        <w:rPr>
          <w:noProof/>
        </w:rPr>
        <w:t xml:space="preserve"> in quires of the </w:t>
      </w:r>
      <w:r w:rsidR="00DB2710" w:rsidRPr="00DB2710">
        <w:rPr>
          <w:i/>
          <w:noProof/>
        </w:rPr>
        <w:t>Canterbury</w:t>
      </w:r>
      <w:r w:rsidR="00DB2710">
        <w:rPr>
          <w:noProof/>
        </w:rPr>
        <w:t xml:space="preserve"> </w:t>
      </w:r>
      <w:r w:rsidR="00DB2710" w:rsidRPr="00DB2710">
        <w:rPr>
          <w:i/>
          <w:noProof/>
        </w:rPr>
        <w:t>Tales</w:t>
      </w:r>
      <w:r w:rsidR="00DB2710">
        <w:rPr>
          <w:noProof/>
        </w:rPr>
        <w:tab/>
        <w:t>99</w:t>
      </w:r>
    </w:p>
    <w:p w14:paraId="3C3920B2" w14:textId="7517A5EB" w:rsidR="00CB6FF6" w:rsidRDefault="00CB6FF6" w:rsidP="00CB6FF6">
      <w:pPr>
        <w:pStyle w:val="TableofFigures"/>
        <w:tabs>
          <w:tab w:val="right" w:leader="dot" w:pos="7858"/>
        </w:tabs>
        <w:rPr>
          <w:rFonts w:asciiTheme="minorHAnsi" w:eastAsiaTheme="minorEastAsia" w:hAnsiTheme="minorHAnsi" w:cstheme="minorBidi"/>
          <w:noProof/>
          <w:sz w:val="24"/>
          <w:szCs w:val="24"/>
          <w:lang w:eastAsia="en-GB"/>
        </w:rPr>
      </w:pPr>
      <w:r>
        <w:rPr>
          <w:noProof/>
        </w:rPr>
        <w:t xml:space="preserve">Figure 5.6: Clustering </w:t>
      </w:r>
      <w:r w:rsidRPr="005C28E7">
        <w:rPr>
          <w:i/>
          <w:noProof/>
        </w:rPr>
        <w:t>Troilus and Criseyde</w:t>
      </w:r>
      <w:r>
        <w:rPr>
          <w:noProof/>
        </w:rPr>
        <w:t xml:space="preserve">, </w:t>
      </w:r>
      <w:r w:rsidRPr="005C28E7">
        <w:rPr>
          <w:i/>
          <w:noProof/>
        </w:rPr>
        <w:t>k</w:t>
      </w:r>
      <w:r>
        <w:rPr>
          <w:noProof/>
        </w:rPr>
        <w:t xml:space="preserve"> = 2</w:t>
      </w:r>
      <w:r>
        <w:rPr>
          <w:noProof/>
        </w:rPr>
        <w:tab/>
      </w:r>
      <w:r>
        <w:rPr>
          <w:noProof/>
        </w:rPr>
        <w:fldChar w:fldCharType="begin"/>
      </w:r>
      <w:r>
        <w:rPr>
          <w:noProof/>
        </w:rPr>
        <w:instrText xml:space="preserve"> PAGEREF _Toc499753534 \h </w:instrText>
      </w:r>
      <w:r>
        <w:rPr>
          <w:noProof/>
        </w:rPr>
      </w:r>
      <w:r>
        <w:rPr>
          <w:noProof/>
        </w:rPr>
        <w:fldChar w:fldCharType="separate"/>
      </w:r>
      <w:r>
        <w:rPr>
          <w:noProof/>
        </w:rPr>
        <w:t>102</w:t>
      </w:r>
      <w:r>
        <w:rPr>
          <w:noProof/>
        </w:rPr>
        <w:fldChar w:fldCharType="end"/>
      </w:r>
    </w:p>
    <w:p w14:paraId="76A81737" w14:textId="7C4614F9" w:rsidR="00CB6FF6" w:rsidRDefault="00CB6FF6" w:rsidP="00CB6FF6">
      <w:pPr>
        <w:pStyle w:val="TableofFigures"/>
        <w:tabs>
          <w:tab w:val="right" w:leader="dot" w:pos="7858"/>
        </w:tabs>
        <w:rPr>
          <w:rFonts w:asciiTheme="minorHAnsi" w:eastAsiaTheme="minorEastAsia" w:hAnsiTheme="minorHAnsi" w:cstheme="minorBidi"/>
          <w:noProof/>
          <w:sz w:val="24"/>
          <w:szCs w:val="24"/>
          <w:lang w:eastAsia="en-GB"/>
        </w:rPr>
      </w:pPr>
      <w:r>
        <w:rPr>
          <w:noProof/>
        </w:rPr>
        <w:t xml:space="preserve">Figure 5.7: Hierarchical clustering of </w:t>
      </w:r>
      <w:r w:rsidRPr="005C28E7">
        <w:rPr>
          <w:i/>
          <w:noProof/>
        </w:rPr>
        <w:t>Troilus and Criseyde</w:t>
      </w:r>
      <w:r>
        <w:rPr>
          <w:noProof/>
        </w:rPr>
        <w:tab/>
      </w:r>
      <w:r>
        <w:rPr>
          <w:noProof/>
        </w:rPr>
        <w:fldChar w:fldCharType="begin"/>
      </w:r>
      <w:r>
        <w:rPr>
          <w:noProof/>
        </w:rPr>
        <w:instrText xml:space="preserve"> PAGEREF _Toc499753535 \h </w:instrText>
      </w:r>
      <w:r>
        <w:rPr>
          <w:noProof/>
        </w:rPr>
      </w:r>
      <w:r>
        <w:rPr>
          <w:noProof/>
        </w:rPr>
        <w:fldChar w:fldCharType="separate"/>
      </w:r>
      <w:r>
        <w:rPr>
          <w:noProof/>
        </w:rPr>
        <w:t>104</w:t>
      </w:r>
      <w:r>
        <w:rPr>
          <w:noProof/>
        </w:rPr>
        <w:fldChar w:fldCharType="end"/>
      </w:r>
    </w:p>
    <w:p w14:paraId="298F8EEB" w14:textId="17B96A77" w:rsidR="00CB6FF6" w:rsidRDefault="00CB6FF6" w:rsidP="00CB6FF6">
      <w:pPr>
        <w:pStyle w:val="TableofFigures"/>
        <w:tabs>
          <w:tab w:val="right" w:leader="dot" w:pos="7858"/>
        </w:tabs>
        <w:rPr>
          <w:rFonts w:asciiTheme="minorHAnsi" w:eastAsiaTheme="minorEastAsia" w:hAnsiTheme="minorHAnsi" w:cstheme="minorBidi"/>
          <w:noProof/>
          <w:sz w:val="24"/>
          <w:szCs w:val="24"/>
          <w:lang w:eastAsia="en-GB"/>
        </w:rPr>
      </w:pPr>
      <w:r>
        <w:rPr>
          <w:noProof/>
        </w:rPr>
        <w:t xml:space="preserve">Figure 5.8: Hierarchical clustering of the </w:t>
      </w:r>
      <w:r w:rsidRPr="005C28E7">
        <w:rPr>
          <w:i/>
          <w:noProof/>
        </w:rPr>
        <w:t>Golden Legend</w:t>
      </w:r>
      <w:r>
        <w:rPr>
          <w:noProof/>
        </w:rPr>
        <w:tab/>
      </w:r>
      <w:r>
        <w:rPr>
          <w:noProof/>
        </w:rPr>
        <w:fldChar w:fldCharType="begin"/>
      </w:r>
      <w:r>
        <w:rPr>
          <w:noProof/>
        </w:rPr>
        <w:instrText xml:space="preserve"> PAGEREF _Toc499753536 \h </w:instrText>
      </w:r>
      <w:r>
        <w:rPr>
          <w:noProof/>
        </w:rPr>
      </w:r>
      <w:r>
        <w:rPr>
          <w:noProof/>
        </w:rPr>
        <w:fldChar w:fldCharType="separate"/>
      </w:r>
      <w:r>
        <w:rPr>
          <w:noProof/>
        </w:rPr>
        <w:t>106</w:t>
      </w:r>
      <w:r>
        <w:rPr>
          <w:noProof/>
        </w:rPr>
        <w:fldChar w:fldCharType="end"/>
      </w:r>
    </w:p>
    <w:p w14:paraId="036AA39E" w14:textId="1BD2C920" w:rsidR="00CB6FF6" w:rsidRDefault="00CB6FF6" w:rsidP="00CB6FF6">
      <w:pPr>
        <w:pStyle w:val="TableofFigures"/>
        <w:tabs>
          <w:tab w:val="right" w:leader="dot" w:pos="7858"/>
        </w:tabs>
        <w:rPr>
          <w:rFonts w:asciiTheme="minorHAnsi" w:eastAsiaTheme="minorEastAsia" w:hAnsiTheme="minorHAnsi" w:cstheme="minorBidi"/>
          <w:noProof/>
          <w:sz w:val="24"/>
          <w:szCs w:val="24"/>
          <w:lang w:eastAsia="en-GB"/>
        </w:rPr>
      </w:pPr>
      <w:r>
        <w:rPr>
          <w:noProof/>
        </w:rPr>
        <w:t xml:space="preserve">Figure 5.9: </w:t>
      </w:r>
      <w:r w:rsidRPr="005C28E7">
        <w:rPr>
          <w:i/>
          <w:noProof/>
        </w:rPr>
        <w:t>K</w:t>
      </w:r>
      <w:r>
        <w:rPr>
          <w:noProof/>
        </w:rPr>
        <w:t xml:space="preserve">-means clustering of the </w:t>
      </w:r>
      <w:r w:rsidRPr="005C28E7">
        <w:rPr>
          <w:i/>
          <w:noProof/>
        </w:rPr>
        <w:t>Golden Legend</w:t>
      </w:r>
      <w:r>
        <w:rPr>
          <w:noProof/>
        </w:rPr>
        <w:tab/>
      </w:r>
      <w:r>
        <w:rPr>
          <w:noProof/>
        </w:rPr>
        <w:fldChar w:fldCharType="begin"/>
      </w:r>
      <w:r>
        <w:rPr>
          <w:noProof/>
        </w:rPr>
        <w:instrText xml:space="preserve"> PAGEREF _Toc499753537 \h </w:instrText>
      </w:r>
      <w:r>
        <w:rPr>
          <w:noProof/>
        </w:rPr>
      </w:r>
      <w:r>
        <w:rPr>
          <w:noProof/>
        </w:rPr>
        <w:fldChar w:fldCharType="separate"/>
      </w:r>
      <w:r>
        <w:rPr>
          <w:noProof/>
        </w:rPr>
        <w:t>106</w:t>
      </w:r>
      <w:r>
        <w:rPr>
          <w:noProof/>
        </w:rPr>
        <w:fldChar w:fldCharType="end"/>
      </w:r>
    </w:p>
    <w:p w14:paraId="69CFC23E" w14:textId="7A3C583C" w:rsidR="00DB2710" w:rsidRDefault="00CB6FF6" w:rsidP="00DB2710">
      <w:pPr>
        <w:pStyle w:val="TableofFigures"/>
        <w:tabs>
          <w:tab w:val="right" w:leader="dot" w:pos="7858"/>
        </w:tabs>
        <w:rPr>
          <w:noProof/>
        </w:rPr>
      </w:pPr>
      <w:r>
        <w:rPr>
          <w:noProof/>
        </w:rPr>
        <w:t>Table 5.10</w:t>
      </w:r>
      <w:r w:rsidR="00DB2710">
        <w:rPr>
          <w:noProof/>
        </w:rPr>
        <w:t xml:space="preserve">: </w:t>
      </w:r>
      <w:r w:rsidR="00DB2710" w:rsidRPr="00DB2710">
        <w:rPr>
          <w:smallCaps/>
          <w:noProof/>
        </w:rPr>
        <w:t>abandoned</w:t>
      </w:r>
      <w:r w:rsidR="00DB2710">
        <w:rPr>
          <w:noProof/>
        </w:rPr>
        <w:t xml:space="preserve"> and </w:t>
      </w:r>
      <w:r w:rsidR="00DB2710" w:rsidRPr="00DB2710">
        <w:rPr>
          <w:smallCaps/>
          <w:noProof/>
        </w:rPr>
        <w:t>abashed</w:t>
      </w:r>
      <w:r w:rsidR="00DB2710">
        <w:rPr>
          <w:noProof/>
        </w:rPr>
        <w:t xml:space="preserve"> ratios in the Caxton dataset</w:t>
      </w:r>
      <w:r w:rsidR="00DB2710">
        <w:rPr>
          <w:noProof/>
        </w:rPr>
        <w:tab/>
        <w:t>111</w:t>
      </w:r>
    </w:p>
    <w:p w14:paraId="6228C5FD" w14:textId="4FDCE6AB" w:rsidR="00CB6FF6" w:rsidRDefault="00CB6FF6" w:rsidP="00CB6FF6">
      <w:pPr>
        <w:pStyle w:val="TableofFigures"/>
        <w:tabs>
          <w:tab w:val="right" w:leader="dot" w:pos="7858"/>
        </w:tabs>
        <w:rPr>
          <w:rFonts w:asciiTheme="minorHAnsi" w:eastAsiaTheme="minorEastAsia" w:hAnsiTheme="minorHAnsi" w:cstheme="minorBidi"/>
          <w:noProof/>
          <w:sz w:val="24"/>
          <w:szCs w:val="24"/>
          <w:lang w:eastAsia="en-GB"/>
        </w:rPr>
      </w:pPr>
      <w:r>
        <w:rPr>
          <w:noProof/>
        </w:rPr>
        <w:t xml:space="preserve">Figure 5.11: Clustering </w:t>
      </w:r>
      <w:r w:rsidRPr="005C28E7">
        <w:rPr>
          <w:i/>
          <w:noProof/>
        </w:rPr>
        <w:t>Troilus and Criseyde</w:t>
      </w:r>
      <w:r>
        <w:rPr>
          <w:noProof/>
        </w:rPr>
        <w:t xml:space="preserve">, </w:t>
      </w:r>
      <w:r w:rsidRPr="005C28E7">
        <w:rPr>
          <w:i/>
          <w:noProof/>
        </w:rPr>
        <w:t>k</w:t>
      </w:r>
      <w:r>
        <w:rPr>
          <w:noProof/>
        </w:rPr>
        <w:t xml:space="preserve"> = 2</w:t>
      </w:r>
      <w:r>
        <w:rPr>
          <w:noProof/>
        </w:rPr>
        <w:tab/>
      </w:r>
      <w:r>
        <w:rPr>
          <w:noProof/>
        </w:rPr>
        <w:fldChar w:fldCharType="begin"/>
      </w:r>
      <w:r>
        <w:rPr>
          <w:noProof/>
        </w:rPr>
        <w:instrText xml:space="preserve"> PAGEREF _Toc499753538 \h </w:instrText>
      </w:r>
      <w:r>
        <w:rPr>
          <w:noProof/>
        </w:rPr>
      </w:r>
      <w:r>
        <w:rPr>
          <w:noProof/>
        </w:rPr>
        <w:fldChar w:fldCharType="separate"/>
      </w:r>
      <w:r>
        <w:rPr>
          <w:noProof/>
        </w:rPr>
        <w:t>114</w:t>
      </w:r>
      <w:r>
        <w:rPr>
          <w:noProof/>
        </w:rPr>
        <w:fldChar w:fldCharType="end"/>
      </w:r>
    </w:p>
    <w:p w14:paraId="625BB510" w14:textId="56B2A3A0" w:rsidR="00DB2710" w:rsidRDefault="00CB6FF6" w:rsidP="00DB2710">
      <w:pPr>
        <w:pStyle w:val="TableofFigures"/>
        <w:tabs>
          <w:tab w:val="right" w:leader="dot" w:pos="7858"/>
        </w:tabs>
        <w:rPr>
          <w:noProof/>
        </w:rPr>
      </w:pPr>
      <w:r>
        <w:rPr>
          <w:noProof/>
        </w:rPr>
        <w:t>Table 5.12</w:t>
      </w:r>
      <w:r w:rsidR="00DB2710">
        <w:rPr>
          <w:noProof/>
        </w:rPr>
        <w:t xml:space="preserve">: Spelling for </w:t>
      </w:r>
      <w:r w:rsidR="00DB2710" w:rsidRPr="00DB2710">
        <w:rPr>
          <w:smallCaps/>
          <w:noProof/>
        </w:rPr>
        <w:t>his</w:t>
      </w:r>
      <w:r w:rsidR="00DB2710">
        <w:rPr>
          <w:noProof/>
        </w:rPr>
        <w:t xml:space="preserve"> used in Troilus and Criseyde</w:t>
      </w:r>
      <w:r w:rsidR="00DB2710">
        <w:rPr>
          <w:noProof/>
        </w:rPr>
        <w:tab/>
        <w:t>115</w:t>
      </w:r>
    </w:p>
    <w:p w14:paraId="733E2045" w14:textId="1F429910" w:rsidR="00DB2710" w:rsidRDefault="00DB2710" w:rsidP="00DB2710">
      <w:pPr>
        <w:pStyle w:val="TableofFigures"/>
        <w:tabs>
          <w:tab w:val="right" w:leader="dot" w:pos="7858"/>
        </w:tabs>
        <w:rPr>
          <w:noProof/>
        </w:rPr>
      </w:pPr>
      <w:r>
        <w:rPr>
          <w:noProof/>
        </w:rPr>
        <w:t xml:space="preserve">Table 6.1: Ratios for spelling variants of </w:t>
      </w:r>
      <w:r w:rsidRPr="00DB2710">
        <w:rPr>
          <w:smallCaps/>
          <w:noProof/>
        </w:rPr>
        <w:t>alone</w:t>
      </w:r>
      <w:r>
        <w:rPr>
          <w:noProof/>
        </w:rPr>
        <w:t xml:space="preserve"> in the </w:t>
      </w:r>
      <w:r w:rsidRPr="00DB2710">
        <w:rPr>
          <w:i/>
          <w:noProof/>
        </w:rPr>
        <w:t>Polychronicon</w:t>
      </w:r>
      <w:r>
        <w:rPr>
          <w:noProof/>
        </w:rPr>
        <w:tab/>
        <w:t>119</w:t>
      </w:r>
    </w:p>
    <w:p w14:paraId="0226E444" w14:textId="4F1F3CF7" w:rsidR="00CB6FF6" w:rsidRDefault="00CB6FF6" w:rsidP="00CB6FF6">
      <w:pPr>
        <w:pStyle w:val="TableofFigures"/>
        <w:tabs>
          <w:tab w:val="right" w:leader="dot" w:pos="7858"/>
        </w:tabs>
        <w:rPr>
          <w:rFonts w:asciiTheme="minorHAnsi" w:eastAsiaTheme="minorEastAsia" w:hAnsiTheme="minorHAnsi" w:cstheme="minorBidi"/>
          <w:noProof/>
          <w:sz w:val="24"/>
          <w:szCs w:val="24"/>
          <w:lang w:eastAsia="en-GB"/>
        </w:rPr>
      </w:pPr>
      <w:r>
        <w:rPr>
          <w:noProof/>
        </w:rPr>
        <w:t xml:space="preserve">Figure 6.2: Graphical distribution of </w:t>
      </w:r>
      <w:r w:rsidRPr="005C28E7">
        <w:rPr>
          <w:i/>
          <w:noProof/>
        </w:rPr>
        <w:t>allone</w:t>
      </w:r>
      <w:r>
        <w:rPr>
          <w:noProof/>
        </w:rPr>
        <w:t xml:space="preserve"> and </w:t>
      </w:r>
      <w:r w:rsidRPr="005C28E7">
        <w:rPr>
          <w:i/>
          <w:noProof/>
        </w:rPr>
        <w:t>alone</w:t>
      </w:r>
      <w:r>
        <w:rPr>
          <w:noProof/>
        </w:rPr>
        <w:t xml:space="preserve"> in Caxton’s </w:t>
      </w:r>
      <w:r w:rsidRPr="005C28E7">
        <w:rPr>
          <w:i/>
          <w:noProof/>
        </w:rPr>
        <w:t>Polychronicon</w:t>
      </w:r>
      <w:r>
        <w:rPr>
          <w:noProof/>
        </w:rPr>
        <w:tab/>
      </w:r>
      <w:r>
        <w:rPr>
          <w:noProof/>
        </w:rPr>
        <w:fldChar w:fldCharType="begin"/>
      </w:r>
      <w:r>
        <w:rPr>
          <w:noProof/>
        </w:rPr>
        <w:instrText xml:space="preserve"> PAGEREF _Toc499753539 \h </w:instrText>
      </w:r>
      <w:r>
        <w:rPr>
          <w:noProof/>
        </w:rPr>
      </w:r>
      <w:r>
        <w:rPr>
          <w:noProof/>
        </w:rPr>
        <w:fldChar w:fldCharType="separate"/>
      </w:r>
      <w:r>
        <w:rPr>
          <w:noProof/>
        </w:rPr>
        <w:t>120</w:t>
      </w:r>
      <w:r>
        <w:rPr>
          <w:noProof/>
        </w:rPr>
        <w:fldChar w:fldCharType="end"/>
      </w:r>
    </w:p>
    <w:p w14:paraId="3168E1C4" w14:textId="40537389" w:rsidR="00DB2710" w:rsidRDefault="00CB6FF6" w:rsidP="00DB2710">
      <w:pPr>
        <w:pStyle w:val="TableofFigures"/>
        <w:tabs>
          <w:tab w:val="right" w:leader="dot" w:pos="7858"/>
        </w:tabs>
        <w:rPr>
          <w:noProof/>
        </w:rPr>
      </w:pPr>
      <w:r>
        <w:rPr>
          <w:noProof/>
        </w:rPr>
        <w:t>Table 6.3</w:t>
      </w:r>
      <w:r w:rsidR="00DB2710">
        <w:rPr>
          <w:noProof/>
        </w:rPr>
        <w:t xml:space="preserve">: Extract of spellings used by compositors of Caxton’s </w:t>
      </w:r>
      <w:r w:rsidR="00DB2710" w:rsidRPr="00DB2710">
        <w:rPr>
          <w:i/>
          <w:noProof/>
        </w:rPr>
        <w:t>Polychronicon</w:t>
      </w:r>
      <w:r w:rsidR="00DB2710">
        <w:rPr>
          <w:noProof/>
        </w:rPr>
        <w:tab/>
        <w:t>121</w:t>
      </w:r>
    </w:p>
    <w:p w14:paraId="1FA9E8DB" w14:textId="18E6237A" w:rsidR="00DB2710" w:rsidRDefault="00CB6FF6" w:rsidP="00DB2710">
      <w:pPr>
        <w:pStyle w:val="TableofFigures"/>
        <w:tabs>
          <w:tab w:val="right" w:leader="dot" w:pos="7858"/>
        </w:tabs>
        <w:rPr>
          <w:noProof/>
        </w:rPr>
      </w:pPr>
      <w:r>
        <w:rPr>
          <w:noProof/>
        </w:rPr>
        <w:t>Table 6.4</w:t>
      </w:r>
      <w:r w:rsidR="00DB2710">
        <w:rPr>
          <w:noProof/>
        </w:rPr>
        <w:t xml:space="preserve">: Frequency of spellings used to represent </w:t>
      </w:r>
      <w:r w:rsidR="00DB2710" w:rsidRPr="00DB2710">
        <w:rPr>
          <w:smallCaps/>
          <w:noProof/>
        </w:rPr>
        <w:t>day</w:t>
      </w:r>
      <w:r w:rsidR="00DB2710">
        <w:rPr>
          <w:noProof/>
        </w:rPr>
        <w:t xml:space="preserve"> in the </w:t>
      </w:r>
      <w:r w:rsidR="00DB2710" w:rsidRPr="00DB2710">
        <w:rPr>
          <w:i/>
          <w:noProof/>
        </w:rPr>
        <w:t>Confessio Amantis</w:t>
      </w:r>
      <w:r w:rsidR="00DB2710">
        <w:rPr>
          <w:noProof/>
        </w:rPr>
        <w:tab/>
        <w:t>124</w:t>
      </w:r>
    </w:p>
    <w:p w14:paraId="1FDB11EC" w14:textId="40166F70" w:rsidR="00CB6FF6" w:rsidRDefault="00CB6FF6" w:rsidP="00CB6FF6">
      <w:pPr>
        <w:pStyle w:val="TableofFigures"/>
        <w:tabs>
          <w:tab w:val="right" w:leader="dot" w:pos="7858"/>
        </w:tabs>
        <w:rPr>
          <w:rFonts w:asciiTheme="minorHAnsi" w:eastAsiaTheme="minorEastAsia" w:hAnsiTheme="minorHAnsi" w:cstheme="minorBidi"/>
          <w:noProof/>
          <w:sz w:val="24"/>
          <w:szCs w:val="24"/>
          <w:lang w:eastAsia="en-GB"/>
        </w:rPr>
      </w:pPr>
      <w:r>
        <w:rPr>
          <w:noProof/>
        </w:rPr>
        <w:t xml:space="preserve">Figure 6.5: Graphical representations of </w:t>
      </w:r>
      <w:r w:rsidRPr="005C28E7">
        <w:rPr>
          <w:i/>
          <w:noProof/>
        </w:rPr>
        <w:t>day</w:t>
      </w:r>
      <w:r>
        <w:rPr>
          <w:noProof/>
        </w:rPr>
        <w:t xml:space="preserve"> and </w:t>
      </w:r>
      <w:r w:rsidRPr="005C28E7">
        <w:rPr>
          <w:i/>
          <w:noProof/>
        </w:rPr>
        <w:t>daye</w:t>
      </w:r>
      <w:r>
        <w:rPr>
          <w:noProof/>
        </w:rPr>
        <w:t xml:space="preserve"> in the </w:t>
      </w:r>
      <w:r w:rsidRPr="005C28E7">
        <w:rPr>
          <w:i/>
          <w:noProof/>
        </w:rPr>
        <w:t>Confessio Amantis</w:t>
      </w:r>
      <w:r>
        <w:rPr>
          <w:noProof/>
        </w:rPr>
        <w:tab/>
      </w:r>
      <w:r>
        <w:rPr>
          <w:noProof/>
        </w:rPr>
        <w:fldChar w:fldCharType="begin"/>
      </w:r>
      <w:r>
        <w:rPr>
          <w:noProof/>
        </w:rPr>
        <w:instrText xml:space="preserve"> PAGEREF _Toc499753540 \h </w:instrText>
      </w:r>
      <w:r>
        <w:rPr>
          <w:noProof/>
        </w:rPr>
      </w:r>
      <w:r>
        <w:rPr>
          <w:noProof/>
        </w:rPr>
        <w:fldChar w:fldCharType="separate"/>
      </w:r>
      <w:r>
        <w:rPr>
          <w:noProof/>
        </w:rPr>
        <w:t>124</w:t>
      </w:r>
      <w:r>
        <w:rPr>
          <w:noProof/>
        </w:rPr>
        <w:fldChar w:fldCharType="end"/>
      </w:r>
    </w:p>
    <w:p w14:paraId="5456EC6E" w14:textId="547D2E9A" w:rsidR="00DB2710" w:rsidRDefault="00CB6FF6" w:rsidP="00DB2710">
      <w:pPr>
        <w:pStyle w:val="TableofFigures"/>
        <w:tabs>
          <w:tab w:val="right" w:leader="dot" w:pos="7858"/>
        </w:tabs>
        <w:rPr>
          <w:noProof/>
        </w:rPr>
      </w:pPr>
      <w:r>
        <w:rPr>
          <w:noProof/>
        </w:rPr>
        <w:t>Table 6.6</w:t>
      </w:r>
      <w:r w:rsidR="00DB2710">
        <w:rPr>
          <w:noProof/>
        </w:rPr>
        <w:t xml:space="preserve">: Distribution of spelling variants for </w:t>
      </w:r>
      <w:r w:rsidR="00DB2710" w:rsidRPr="00DB2710">
        <w:rPr>
          <w:smallCaps/>
          <w:noProof/>
        </w:rPr>
        <w:t>in</w:t>
      </w:r>
      <w:r w:rsidR="00DB2710">
        <w:rPr>
          <w:noProof/>
        </w:rPr>
        <w:t xml:space="preserve"> in </w:t>
      </w:r>
      <w:r w:rsidR="00DB2710" w:rsidRPr="00DB2710">
        <w:rPr>
          <w:i/>
          <w:noProof/>
        </w:rPr>
        <w:t>Troilus and Criseyde</w:t>
      </w:r>
      <w:r w:rsidR="00DB2710">
        <w:rPr>
          <w:noProof/>
        </w:rPr>
        <w:tab/>
        <w:t>126</w:t>
      </w:r>
    </w:p>
    <w:p w14:paraId="0DB5274A" w14:textId="77777777" w:rsidR="00CB6FF6" w:rsidRDefault="00CB6FF6" w:rsidP="00CB6FF6">
      <w:pPr>
        <w:pStyle w:val="TableofFigures"/>
        <w:tabs>
          <w:tab w:val="right" w:leader="dot" w:pos="7858"/>
        </w:tabs>
        <w:rPr>
          <w:rFonts w:asciiTheme="minorHAnsi" w:eastAsiaTheme="minorEastAsia" w:hAnsiTheme="minorHAnsi" w:cstheme="minorBidi"/>
          <w:noProof/>
          <w:sz w:val="24"/>
          <w:szCs w:val="24"/>
          <w:lang w:eastAsia="en-GB"/>
        </w:rPr>
      </w:pPr>
      <w:r>
        <w:rPr>
          <w:noProof/>
        </w:rPr>
        <w:t xml:space="preserve">Figure 7.1: Clustering the </w:t>
      </w:r>
      <w:r w:rsidRPr="005C28E7">
        <w:rPr>
          <w:i/>
          <w:noProof/>
        </w:rPr>
        <w:t>Canterbury Tales,</w:t>
      </w:r>
      <w:r>
        <w:rPr>
          <w:noProof/>
        </w:rPr>
        <w:t xml:space="preserve"> </w:t>
      </w:r>
      <w:r w:rsidRPr="005C28E7">
        <w:rPr>
          <w:i/>
          <w:noProof/>
        </w:rPr>
        <w:t>k</w:t>
      </w:r>
      <w:r>
        <w:rPr>
          <w:noProof/>
        </w:rPr>
        <w:t xml:space="preserve"> = 2</w:t>
      </w:r>
      <w:r>
        <w:rPr>
          <w:noProof/>
        </w:rPr>
        <w:tab/>
      </w:r>
      <w:r>
        <w:rPr>
          <w:noProof/>
        </w:rPr>
        <w:fldChar w:fldCharType="begin"/>
      </w:r>
      <w:r>
        <w:rPr>
          <w:noProof/>
        </w:rPr>
        <w:instrText xml:space="preserve"> PAGEREF _Toc499753541 \h </w:instrText>
      </w:r>
      <w:r>
        <w:rPr>
          <w:noProof/>
        </w:rPr>
      </w:r>
      <w:r>
        <w:rPr>
          <w:noProof/>
        </w:rPr>
        <w:fldChar w:fldCharType="separate"/>
      </w:r>
      <w:r>
        <w:rPr>
          <w:noProof/>
        </w:rPr>
        <w:t>134</w:t>
      </w:r>
      <w:r>
        <w:rPr>
          <w:noProof/>
        </w:rPr>
        <w:fldChar w:fldCharType="end"/>
      </w:r>
    </w:p>
    <w:p w14:paraId="79B0FF9F" w14:textId="77777777" w:rsidR="00CB6FF6" w:rsidRDefault="00CB6FF6" w:rsidP="00CB6FF6">
      <w:pPr>
        <w:pStyle w:val="TableofFigures"/>
        <w:tabs>
          <w:tab w:val="right" w:leader="dot" w:pos="7858"/>
        </w:tabs>
        <w:rPr>
          <w:rFonts w:asciiTheme="minorHAnsi" w:eastAsiaTheme="minorEastAsia" w:hAnsiTheme="minorHAnsi" w:cstheme="minorBidi"/>
          <w:noProof/>
          <w:sz w:val="24"/>
          <w:szCs w:val="24"/>
          <w:lang w:eastAsia="en-GB"/>
        </w:rPr>
      </w:pPr>
      <w:r>
        <w:rPr>
          <w:noProof/>
        </w:rPr>
        <w:t xml:space="preserve">Figure 7.2: Clustering the </w:t>
      </w:r>
      <w:r w:rsidRPr="005C28E7">
        <w:rPr>
          <w:i/>
          <w:noProof/>
        </w:rPr>
        <w:t>Canterbury Tales</w:t>
      </w:r>
      <w:r>
        <w:rPr>
          <w:noProof/>
        </w:rPr>
        <w:t xml:space="preserve"> with restricted spellings,</w:t>
      </w:r>
      <w:r w:rsidRPr="005C28E7">
        <w:rPr>
          <w:i/>
          <w:noProof/>
        </w:rPr>
        <w:t xml:space="preserve"> k</w:t>
      </w:r>
      <w:r>
        <w:rPr>
          <w:noProof/>
        </w:rPr>
        <w:t xml:space="preserve"> = 2</w:t>
      </w:r>
      <w:r>
        <w:rPr>
          <w:noProof/>
        </w:rPr>
        <w:tab/>
      </w:r>
      <w:r>
        <w:rPr>
          <w:noProof/>
        </w:rPr>
        <w:fldChar w:fldCharType="begin"/>
      </w:r>
      <w:r>
        <w:rPr>
          <w:noProof/>
        </w:rPr>
        <w:instrText xml:space="preserve"> PAGEREF _Toc499753542 \h </w:instrText>
      </w:r>
      <w:r>
        <w:rPr>
          <w:noProof/>
        </w:rPr>
      </w:r>
      <w:r>
        <w:rPr>
          <w:noProof/>
        </w:rPr>
        <w:fldChar w:fldCharType="separate"/>
      </w:r>
      <w:r>
        <w:rPr>
          <w:noProof/>
        </w:rPr>
        <w:t>135</w:t>
      </w:r>
      <w:r>
        <w:rPr>
          <w:noProof/>
        </w:rPr>
        <w:fldChar w:fldCharType="end"/>
      </w:r>
    </w:p>
    <w:p w14:paraId="164B6A61" w14:textId="77777777" w:rsidR="00CB6FF6" w:rsidRDefault="00CB6FF6" w:rsidP="00CB6FF6">
      <w:pPr>
        <w:pStyle w:val="TableofFigures"/>
        <w:tabs>
          <w:tab w:val="right" w:leader="dot" w:pos="7858"/>
        </w:tabs>
        <w:rPr>
          <w:rFonts w:asciiTheme="minorHAnsi" w:eastAsiaTheme="minorEastAsia" w:hAnsiTheme="minorHAnsi" w:cstheme="minorBidi"/>
          <w:noProof/>
          <w:sz w:val="24"/>
          <w:szCs w:val="24"/>
          <w:lang w:eastAsia="en-GB"/>
        </w:rPr>
      </w:pPr>
      <w:r>
        <w:rPr>
          <w:noProof/>
        </w:rPr>
        <w:lastRenderedPageBreak/>
        <w:t xml:space="preserve">Figure 7.3: Clustering the </w:t>
      </w:r>
      <w:r w:rsidRPr="005C28E7">
        <w:rPr>
          <w:i/>
          <w:noProof/>
        </w:rPr>
        <w:t>Book of Good Manners</w:t>
      </w:r>
      <w:r>
        <w:rPr>
          <w:noProof/>
        </w:rPr>
        <w:t>, k = 2</w:t>
      </w:r>
      <w:r>
        <w:rPr>
          <w:noProof/>
        </w:rPr>
        <w:tab/>
      </w:r>
      <w:r>
        <w:rPr>
          <w:noProof/>
        </w:rPr>
        <w:fldChar w:fldCharType="begin"/>
      </w:r>
      <w:r>
        <w:rPr>
          <w:noProof/>
        </w:rPr>
        <w:instrText xml:space="preserve"> PAGEREF _Toc499753543 \h </w:instrText>
      </w:r>
      <w:r>
        <w:rPr>
          <w:noProof/>
        </w:rPr>
      </w:r>
      <w:r>
        <w:rPr>
          <w:noProof/>
        </w:rPr>
        <w:fldChar w:fldCharType="separate"/>
      </w:r>
      <w:r>
        <w:rPr>
          <w:noProof/>
        </w:rPr>
        <w:t>138</w:t>
      </w:r>
      <w:r>
        <w:rPr>
          <w:noProof/>
        </w:rPr>
        <w:fldChar w:fldCharType="end"/>
      </w:r>
    </w:p>
    <w:p w14:paraId="663CC934" w14:textId="77777777" w:rsidR="00CB6FF6" w:rsidRDefault="00CB6FF6" w:rsidP="00CB6FF6">
      <w:pPr>
        <w:pStyle w:val="TableofFigures"/>
        <w:tabs>
          <w:tab w:val="right" w:leader="dot" w:pos="7858"/>
        </w:tabs>
        <w:rPr>
          <w:rFonts w:asciiTheme="minorHAnsi" w:eastAsiaTheme="minorEastAsia" w:hAnsiTheme="minorHAnsi" w:cstheme="minorBidi"/>
          <w:noProof/>
          <w:sz w:val="24"/>
          <w:szCs w:val="24"/>
          <w:lang w:eastAsia="en-GB"/>
        </w:rPr>
      </w:pPr>
      <w:r>
        <w:rPr>
          <w:noProof/>
        </w:rPr>
        <w:t xml:space="preserve">Figure 7.4: Clustering the </w:t>
      </w:r>
      <w:r w:rsidRPr="005C28E7">
        <w:rPr>
          <w:i/>
          <w:noProof/>
        </w:rPr>
        <w:t>Book of Good Manners</w:t>
      </w:r>
      <w:r>
        <w:rPr>
          <w:noProof/>
        </w:rPr>
        <w:t xml:space="preserve"> with restricted spellings, </w:t>
      </w:r>
      <w:r w:rsidRPr="005C28E7">
        <w:rPr>
          <w:i/>
          <w:noProof/>
        </w:rPr>
        <w:t>k</w:t>
      </w:r>
      <w:r>
        <w:rPr>
          <w:noProof/>
        </w:rPr>
        <w:t xml:space="preserve"> = 2</w:t>
      </w:r>
      <w:r>
        <w:rPr>
          <w:noProof/>
        </w:rPr>
        <w:tab/>
      </w:r>
      <w:r>
        <w:rPr>
          <w:noProof/>
        </w:rPr>
        <w:fldChar w:fldCharType="begin"/>
      </w:r>
      <w:r>
        <w:rPr>
          <w:noProof/>
        </w:rPr>
        <w:instrText xml:space="preserve"> PAGEREF _Toc499753544 \h </w:instrText>
      </w:r>
      <w:r>
        <w:rPr>
          <w:noProof/>
        </w:rPr>
      </w:r>
      <w:r>
        <w:rPr>
          <w:noProof/>
        </w:rPr>
        <w:fldChar w:fldCharType="separate"/>
      </w:r>
      <w:r>
        <w:rPr>
          <w:noProof/>
        </w:rPr>
        <w:t>138</w:t>
      </w:r>
      <w:r>
        <w:rPr>
          <w:noProof/>
        </w:rPr>
        <w:fldChar w:fldCharType="end"/>
      </w:r>
    </w:p>
    <w:p w14:paraId="44FFB20C" w14:textId="77777777" w:rsidR="00CB6FF6" w:rsidRDefault="00CB6FF6" w:rsidP="00CB6FF6">
      <w:pPr>
        <w:pStyle w:val="TableofFigures"/>
        <w:tabs>
          <w:tab w:val="right" w:leader="dot" w:pos="7858"/>
        </w:tabs>
        <w:rPr>
          <w:rFonts w:asciiTheme="minorHAnsi" w:eastAsiaTheme="minorEastAsia" w:hAnsiTheme="minorHAnsi" w:cstheme="minorBidi"/>
          <w:noProof/>
          <w:sz w:val="24"/>
          <w:szCs w:val="24"/>
          <w:lang w:eastAsia="en-GB"/>
        </w:rPr>
      </w:pPr>
      <w:r>
        <w:rPr>
          <w:noProof/>
        </w:rPr>
        <w:t xml:space="preserve">Figure 7.5: Clustering the </w:t>
      </w:r>
      <w:r w:rsidRPr="005C28E7">
        <w:rPr>
          <w:i/>
          <w:noProof/>
        </w:rPr>
        <w:t>Book of Good Manners</w:t>
      </w:r>
      <w:r>
        <w:rPr>
          <w:noProof/>
        </w:rPr>
        <w:t xml:space="preserve">, </w:t>
      </w:r>
      <w:r w:rsidRPr="005C28E7">
        <w:rPr>
          <w:i/>
          <w:noProof/>
        </w:rPr>
        <w:t>k</w:t>
      </w:r>
      <w:r>
        <w:rPr>
          <w:noProof/>
        </w:rPr>
        <w:t xml:space="preserve"> = 3</w:t>
      </w:r>
      <w:r>
        <w:rPr>
          <w:noProof/>
        </w:rPr>
        <w:tab/>
      </w:r>
      <w:r>
        <w:rPr>
          <w:noProof/>
        </w:rPr>
        <w:fldChar w:fldCharType="begin"/>
      </w:r>
      <w:r>
        <w:rPr>
          <w:noProof/>
        </w:rPr>
        <w:instrText xml:space="preserve"> PAGEREF _Toc499753545 \h </w:instrText>
      </w:r>
      <w:r>
        <w:rPr>
          <w:noProof/>
        </w:rPr>
      </w:r>
      <w:r>
        <w:rPr>
          <w:noProof/>
        </w:rPr>
        <w:fldChar w:fldCharType="separate"/>
      </w:r>
      <w:r>
        <w:rPr>
          <w:noProof/>
        </w:rPr>
        <w:t>139</w:t>
      </w:r>
      <w:r>
        <w:rPr>
          <w:noProof/>
        </w:rPr>
        <w:fldChar w:fldCharType="end"/>
      </w:r>
    </w:p>
    <w:p w14:paraId="205E4E41" w14:textId="77777777" w:rsidR="00CB6FF6" w:rsidRDefault="00CB6FF6" w:rsidP="00CB6FF6">
      <w:pPr>
        <w:pStyle w:val="TableofFigures"/>
        <w:tabs>
          <w:tab w:val="right" w:leader="dot" w:pos="7858"/>
        </w:tabs>
        <w:rPr>
          <w:rFonts w:asciiTheme="minorHAnsi" w:eastAsiaTheme="minorEastAsia" w:hAnsiTheme="minorHAnsi" w:cstheme="minorBidi"/>
          <w:noProof/>
          <w:sz w:val="24"/>
          <w:szCs w:val="24"/>
          <w:lang w:eastAsia="en-GB"/>
        </w:rPr>
      </w:pPr>
      <w:r>
        <w:rPr>
          <w:noProof/>
        </w:rPr>
        <w:t xml:space="preserve">Figure 7.6: Clustering the </w:t>
      </w:r>
      <w:r w:rsidRPr="005C28E7">
        <w:rPr>
          <w:i/>
          <w:noProof/>
        </w:rPr>
        <w:t>Confessio Amantis</w:t>
      </w:r>
      <w:r>
        <w:rPr>
          <w:noProof/>
        </w:rPr>
        <w:t xml:space="preserve">, </w:t>
      </w:r>
      <w:r w:rsidRPr="005C28E7">
        <w:rPr>
          <w:i/>
          <w:noProof/>
        </w:rPr>
        <w:t>k</w:t>
      </w:r>
      <w:r>
        <w:rPr>
          <w:noProof/>
        </w:rPr>
        <w:t xml:space="preserve"> = 2</w:t>
      </w:r>
      <w:r>
        <w:rPr>
          <w:noProof/>
        </w:rPr>
        <w:tab/>
      </w:r>
      <w:r>
        <w:rPr>
          <w:noProof/>
        </w:rPr>
        <w:fldChar w:fldCharType="begin"/>
      </w:r>
      <w:r>
        <w:rPr>
          <w:noProof/>
        </w:rPr>
        <w:instrText xml:space="preserve"> PAGEREF _Toc499753546 \h </w:instrText>
      </w:r>
      <w:r>
        <w:rPr>
          <w:noProof/>
        </w:rPr>
      </w:r>
      <w:r>
        <w:rPr>
          <w:noProof/>
        </w:rPr>
        <w:fldChar w:fldCharType="separate"/>
      </w:r>
      <w:r>
        <w:rPr>
          <w:noProof/>
        </w:rPr>
        <w:t>141</w:t>
      </w:r>
      <w:r>
        <w:rPr>
          <w:noProof/>
        </w:rPr>
        <w:fldChar w:fldCharType="end"/>
      </w:r>
    </w:p>
    <w:p w14:paraId="5CECC98F" w14:textId="77777777" w:rsidR="00CB6FF6" w:rsidRDefault="00CB6FF6" w:rsidP="00CB6FF6">
      <w:pPr>
        <w:pStyle w:val="TableofFigures"/>
        <w:tabs>
          <w:tab w:val="right" w:leader="dot" w:pos="7858"/>
        </w:tabs>
        <w:rPr>
          <w:rFonts w:asciiTheme="minorHAnsi" w:eastAsiaTheme="minorEastAsia" w:hAnsiTheme="minorHAnsi" w:cstheme="minorBidi"/>
          <w:noProof/>
          <w:sz w:val="24"/>
          <w:szCs w:val="24"/>
          <w:lang w:eastAsia="en-GB"/>
        </w:rPr>
      </w:pPr>
      <w:r>
        <w:rPr>
          <w:noProof/>
        </w:rPr>
        <w:t xml:space="preserve">Figure 7.7: Clustering the </w:t>
      </w:r>
      <w:r w:rsidRPr="005C28E7">
        <w:rPr>
          <w:i/>
          <w:noProof/>
        </w:rPr>
        <w:t>Confessio Amantis</w:t>
      </w:r>
      <w:r>
        <w:rPr>
          <w:noProof/>
        </w:rPr>
        <w:t xml:space="preserve">, </w:t>
      </w:r>
      <w:r w:rsidRPr="005C28E7">
        <w:rPr>
          <w:i/>
          <w:noProof/>
        </w:rPr>
        <w:t>k</w:t>
      </w:r>
      <w:r>
        <w:rPr>
          <w:noProof/>
        </w:rPr>
        <w:t xml:space="preserve"> = 3</w:t>
      </w:r>
      <w:r>
        <w:rPr>
          <w:noProof/>
        </w:rPr>
        <w:tab/>
      </w:r>
      <w:r>
        <w:rPr>
          <w:noProof/>
        </w:rPr>
        <w:fldChar w:fldCharType="begin"/>
      </w:r>
      <w:r>
        <w:rPr>
          <w:noProof/>
        </w:rPr>
        <w:instrText xml:space="preserve"> PAGEREF _Toc499753547 \h </w:instrText>
      </w:r>
      <w:r>
        <w:rPr>
          <w:noProof/>
        </w:rPr>
      </w:r>
      <w:r>
        <w:rPr>
          <w:noProof/>
        </w:rPr>
        <w:fldChar w:fldCharType="separate"/>
      </w:r>
      <w:r>
        <w:rPr>
          <w:noProof/>
        </w:rPr>
        <w:t>142</w:t>
      </w:r>
      <w:r>
        <w:rPr>
          <w:noProof/>
        </w:rPr>
        <w:fldChar w:fldCharType="end"/>
      </w:r>
    </w:p>
    <w:p w14:paraId="02FD6AC3" w14:textId="77777777" w:rsidR="00CB6FF6" w:rsidRDefault="00CB6FF6" w:rsidP="00CB6FF6">
      <w:pPr>
        <w:pStyle w:val="TableofFigures"/>
        <w:tabs>
          <w:tab w:val="right" w:leader="dot" w:pos="7858"/>
        </w:tabs>
        <w:rPr>
          <w:rFonts w:asciiTheme="minorHAnsi" w:eastAsiaTheme="minorEastAsia" w:hAnsiTheme="minorHAnsi" w:cstheme="minorBidi"/>
          <w:noProof/>
          <w:sz w:val="24"/>
          <w:szCs w:val="24"/>
          <w:lang w:eastAsia="en-GB"/>
        </w:rPr>
      </w:pPr>
      <w:r>
        <w:rPr>
          <w:noProof/>
        </w:rPr>
        <w:t>Figure 7.8: I</w:t>
      </w:r>
      <w:r w:rsidRPr="005C28E7">
        <w:rPr>
          <w:noProof/>
          <w:vertAlign w:val="superscript"/>
        </w:rPr>
        <w:t>1</w:t>
      </w:r>
      <w:r>
        <w:rPr>
          <w:noProof/>
        </w:rPr>
        <w:t xml:space="preserve"> in the first half of the </w:t>
      </w:r>
      <w:r w:rsidRPr="005C28E7">
        <w:rPr>
          <w:i/>
          <w:noProof/>
        </w:rPr>
        <w:t>Confessio Amantis</w:t>
      </w:r>
      <w:r>
        <w:rPr>
          <w:noProof/>
        </w:rPr>
        <w:t>, p. 42</w:t>
      </w:r>
      <w:r w:rsidRPr="005C28E7">
        <w:rPr>
          <w:noProof/>
          <w:vertAlign w:val="superscript"/>
        </w:rPr>
        <w:t>b</w:t>
      </w:r>
      <w:r>
        <w:rPr>
          <w:noProof/>
        </w:rPr>
        <w:tab/>
      </w:r>
      <w:r>
        <w:rPr>
          <w:noProof/>
        </w:rPr>
        <w:fldChar w:fldCharType="begin"/>
      </w:r>
      <w:r>
        <w:rPr>
          <w:noProof/>
        </w:rPr>
        <w:instrText xml:space="preserve"> PAGEREF _Toc499753548 \h </w:instrText>
      </w:r>
      <w:r>
        <w:rPr>
          <w:noProof/>
        </w:rPr>
      </w:r>
      <w:r>
        <w:rPr>
          <w:noProof/>
        </w:rPr>
        <w:fldChar w:fldCharType="separate"/>
      </w:r>
      <w:r>
        <w:rPr>
          <w:noProof/>
        </w:rPr>
        <w:t>143</w:t>
      </w:r>
      <w:r>
        <w:rPr>
          <w:noProof/>
        </w:rPr>
        <w:fldChar w:fldCharType="end"/>
      </w:r>
    </w:p>
    <w:p w14:paraId="4EF57F53" w14:textId="77777777" w:rsidR="00CB6FF6" w:rsidRDefault="00CB6FF6" w:rsidP="00CB6FF6">
      <w:pPr>
        <w:pStyle w:val="TableofFigures"/>
        <w:tabs>
          <w:tab w:val="right" w:leader="dot" w:pos="7858"/>
        </w:tabs>
        <w:rPr>
          <w:rFonts w:asciiTheme="minorHAnsi" w:eastAsiaTheme="minorEastAsia" w:hAnsiTheme="minorHAnsi" w:cstheme="minorBidi"/>
          <w:noProof/>
          <w:sz w:val="24"/>
          <w:szCs w:val="24"/>
          <w:lang w:eastAsia="en-GB"/>
        </w:rPr>
      </w:pPr>
      <w:r>
        <w:rPr>
          <w:noProof/>
        </w:rPr>
        <w:t>Figure 7.9: I</w:t>
      </w:r>
      <w:r w:rsidRPr="005C28E7">
        <w:rPr>
          <w:noProof/>
          <w:vertAlign w:val="superscript"/>
        </w:rPr>
        <w:t>1</w:t>
      </w:r>
      <w:r>
        <w:rPr>
          <w:noProof/>
        </w:rPr>
        <w:t xml:space="preserve"> and I</w:t>
      </w:r>
      <w:r w:rsidRPr="005C28E7">
        <w:rPr>
          <w:noProof/>
          <w:vertAlign w:val="superscript"/>
        </w:rPr>
        <w:t>2</w:t>
      </w:r>
      <w:r>
        <w:rPr>
          <w:noProof/>
        </w:rPr>
        <w:t xml:space="preserve"> in the second half of the </w:t>
      </w:r>
      <w:r w:rsidRPr="005C28E7">
        <w:rPr>
          <w:i/>
          <w:noProof/>
        </w:rPr>
        <w:t>Confessio Amantis</w:t>
      </w:r>
      <w:r>
        <w:rPr>
          <w:noProof/>
        </w:rPr>
        <w:t>, p. 202</w:t>
      </w:r>
      <w:r w:rsidRPr="005C28E7">
        <w:rPr>
          <w:noProof/>
          <w:vertAlign w:val="superscript"/>
        </w:rPr>
        <w:t>b</w:t>
      </w:r>
      <w:r>
        <w:rPr>
          <w:noProof/>
        </w:rPr>
        <w:tab/>
      </w:r>
      <w:r>
        <w:rPr>
          <w:noProof/>
        </w:rPr>
        <w:fldChar w:fldCharType="begin"/>
      </w:r>
      <w:r>
        <w:rPr>
          <w:noProof/>
        </w:rPr>
        <w:instrText xml:space="preserve"> PAGEREF _Toc499753549 \h </w:instrText>
      </w:r>
      <w:r>
        <w:rPr>
          <w:noProof/>
        </w:rPr>
      </w:r>
      <w:r>
        <w:rPr>
          <w:noProof/>
        </w:rPr>
        <w:fldChar w:fldCharType="separate"/>
      </w:r>
      <w:r>
        <w:rPr>
          <w:noProof/>
        </w:rPr>
        <w:t>143</w:t>
      </w:r>
      <w:r>
        <w:rPr>
          <w:noProof/>
        </w:rPr>
        <w:fldChar w:fldCharType="end"/>
      </w:r>
    </w:p>
    <w:p w14:paraId="3B226DBE" w14:textId="77777777" w:rsidR="00CB6FF6" w:rsidRDefault="00CB6FF6" w:rsidP="00CB6FF6">
      <w:pPr>
        <w:pStyle w:val="TableofFigures"/>
        <w:tabs>
          <w:tab w:val="right" w:leader="dot" w:pos="7858"/>
        </w:tabs>
        <w:rPr>
          <w:rFonts w:asciiTheme="minorHAnsi" w:eastAsiaTheme="minorEastAsia" w:hAnsiTheme="minorHAnsi" w:cstheme="minorBidi"/>
          <w:noProof/>
          <w:sz w:val="24"/>
          <w:szCs w:val="24"/>
          <w:lang w:eastAsia="en-GB"/>
        </w:rPr>
      </w:pPr>
      <w:r>
        <w:rPr>
          <w:noProof/>
        </w:rPr>
        <w:t xml:space="preserve">Figure 7.10: Clustering the </w:t>
      </w:r>
      <w:r w:rsidRPr="005C28E7">
        <w:rPr>
          <w:i/>
          <w:noProof/>
        </w:rPr>
        <w:t>Golden Legend</w:t>
      </w:r>
      <w:r>
        <w:rPr>
          <w:noProof/>
        </w:rPr>
        <w:t xml:space="preserve">, </w:t>
      </w:r>
      <w:r w:rsidRPr="005C28E7">
        <w:rPr>
          <w:i/>
          <w:noProof/>
        </w:rPr>
        <w:t>k</w:t>
      </w:r>
      <w:r>
        <w:rPr>
          <w:noProof/>
        </w:rPr>
        <w:t xml:space="preserve"> = 2</w:t>
      </w:r>
      <w:r>
        <w:rPr>
          <w:noProof/>
        </w:rPr>
        <w:tab/>
      </w:r>
      <w:r>
        <w:rPr>
          <w:noProof/>
        </w:rPr>
        <w:fldChar w:fldCharType="begin"/>
      </w:r>
      <w:r>
        <w:rPr>
          <w:noProof/>
        </w:rPr>
        <w:instrText xml:space="preserve"> PAGEREF _Toc499753550 \h </w:instrText>
      </w:r>
      <w:r>
        <w:rPr>
          <w:noProof/>
        </w:rPr>
      </w:r>
      <w:r>
        <w:rPr>
          <w:noProof/>
        </w:rPr>
        <w:fldChar w:fldCharType="separate"/>
      </w:r>
      <w:r>
        <w:rPr>
          <w:noProof/>
        </w:rPr>
        <w:t>150</w:t>
      </w:r>
      <w:r>
        <w:rPr>
          <w:noProof/>
        </w:rPr>
        <w:fldChar w:fldCharType="end"/>
      </w:r>
    </w:p>
    <w:p w14:paraId="32D8F3A8" w14:textId="77777777" w:rsidR="00CB6FF6" w:rsidRDefault="00CB6FF6" w:rsidP="00CB6FF6">
      <w:pPr>
        <w:pStyle w:val="TableofFigures"/>
        <w:tabs>
          <w:tab w:val="right" w:leader="dot" w:pos="7858"/>
        </w:tabs>
        <w:rPr>
          <w:rFonts w:asciiTheme="minorHAnsi" w:eastAsiaTheme="minorEastAsia" w:hAnsiTheme="minorHAnsi" w:cstheme="minorBidi"/>
          <w:noProof/>
          <w:sz w:val="24"/>
          <w:szCs w:val="24"/>
          <w:lang w:eastAsia="en-GB"/>
        </w:rPr>
      </w:pPr>
      <w:r>
        <w:rPr>
          <w:noProof/>
        </w:rPr>
        <w:t xml:space="preserve">Figure 7.11: Clustering the </w:t>
      </w:r>
      <w:r w:rsidRPr="005C28E7">
        <w:rPr>
          <w:i/>
          <w:noProof/>
        </w:rPr>
        <w:t>Golden Legend</w:t>
      </w:r>
      <w:r>
        <w:rPr>
          <w:noProof/>
        </w:rPr>
        <w:t xml:space="preserve">, </w:t>
      </w:r>
      <w:r w:rsidRPr="005C28E7">
        <w:rPr>
          <w:i/>
          <w:noProof/>
        </w:rPr>
        <w:t>k</w:t>
      </w:r>
      <w:r>
        <w:rPr>
          <w:noProof/>
        </w:rPr>
        <w:t xml:space="preserve"> = 3</w:t>
      </w:r>
      <w:r>
        <w:rPr>
          <w:noProof/>
        </w:rPr>
        <w:tab/>
      </w:r>
      <w:r>
        <w:rPr>
          <w:noProof/>
        </w:rPr>
        <w:fldChar w:fldCharType="begin"/>
      </w:r>
      <w:r>
        <w:rPr>
          <w:noProof/>
        </w:rPr>
        <w:instrText xml:space="preserve"> PAGEREF _Toc499753551 \h </w:instrText>
      </w:r>
      <w:r>
        <w:rPr>
          <w:noProof/>
        </w:rPr>
      </w:r>
      <w:r>
        <w:rPr>
          <w:noProof/>
        </w:rPr>
        <w:fldChar w:fldCharType="separate"/>
      </w:r>
      <w:r>
        <w:rPr>
          <w:noProof/>
        </w:rPr>
        <w:t>150</w:t>
      </w:r>
      <w:r>
        <w:rPr>
          <w:noProof/>
        </w:rPr>
        <w:fldChar w:fldCharType="end"/>
      </w:r>
    </w:p>
    <w:p w14:paraId="48084182" w14:textId="77777777" w:rsidR="00CB6FF6" w:rsidRDefault="00CB6FF6" w:rsidP="00CB6FF6">
      <w:pPr>
        <w:pStyle w:val="TableofFigures"/>
        <w:tabs>
          <w:tab w:val="right" w:leader="dot" w:pos="7858"/>
        </w:tabs>
        <w:rPr>
          <w:rFonts w:asciiTheme="minorHAnsi" w:eastAsiaTheme="minorEastAsia" w:hAnsiTheme="minorHAnsi" w:cstheme="minorBidi"/>
          <w:noProof/>
          <w:sz w:val="24"/>
          <w:szCs w:val="24"/>
          <w:lang w:eastAsia="en-GB"/>
        </w:rPr>
      </w:pPr>
      <w:r>
        <w:rPr>
          <w:noProof/>
        </w:rPr>
        <w:t xml:space="preserve">Figure 7.12: Clustering the </w:t>
      </w:r>
      <w:r w:rsidRPr="005C28E7">
        <w:rPr>
          <w:i/>
          <w:noProof/>
        </w:rPr>
        <w:t>Golden Legend</w:t>
      </w:r>
      <w:r>
        <w:rPr>
          <w:noProof/>
        </w:rPr>
        <w:t xml:space="preserve">, </w:t>
      </w:r>
      <w:r w:rsidRPr="005C28E7">
        <w:rPr>
          <w:i/>
          <w:noProof/>
        </w:rPr>
        <w:t>k</w:t>
      </w:r>
      <w:r>
        <w:rPr>
          <w:noProof/>
        </w:rPr>
        <w:t xml:space="preserve"> = 4</w:t>
      </w:r>
      <w:r>
        <w:rPr>
          <w:noProof/>
        </w:rPr>
        <w:tab/>
      </w:r>
      <w:r>
        <w:rPr>
          <w:noProof/>
        </w:rPr>
        <w:fldChar w:fldCharType="begin"/>
      </w:r>
      <w:r>
        <w:rPr>
          <w:noProof/>
        </w:rPr>
        <w:instrText xml:space="preserve"> PAGEREF _Toc499753552 \h </w:instrText>
      </w:r>
      <w:r>
        <w:rPr>
          <w:noProof/>
        </w:rPr>
      </w:r>
      <w:r>
        <w:rPr>
          <w:noProof/>
        </w:rPr>
        <w:fldChar w:fldCharType="separate"/>
      </w:r>
      <w:r>
        <w:rPr>
          <w:noProof/>
        </w:rPr>
        <w:t>151</w:t>
      </w:r>
      <w:r>
        <w:rPr>
          <w:noProof/>
        </w:rPr>
        <w:fldChar w:fldCharType="end"/>
      </w:r>
    </w:p>
    <w:p w14:paraId="7FC5EB05" w14:textId="77777777" w:rsidR="00CB6FF6" w:rsidRDefault="00CB6FF6" w:rsidP="00CB6FF6">
      <w:pPr>
        <w:pStyle w:val="TableofFigures"/>
        <w:tabs>
          <w:tab w:val="right" w:leader="dot" w:pos="7858"/>
        </w:tabs>
        <w:rPr>
          <w:rFonts w:asciiTheme="minorHAnsi" w:eastAsiaTheme="minorEastAsia" w:hAnsiTheme="minorHAnsi" w:cstheme="minorBidi"/>
          <w:noProof/>
          <w:sz w:val="24"/>
          <w:szCs w:val="24"/>
          <w:lang w:eastAsia="en-GB"/>
        </w:rPr>
      </w:pPr>
      <w:r>
        <w:rPr>
          <w:noProof/>
        </w:rPr>
        <w:t xml:space="preserve">Figure 7.13: Clustering the </w:t>
      </w:r>
      <w:r w:rsidRPr="005C28E7">
        <w:rPr>
          <w:i/>
          <w:noProof/>
        </w:rPr>
        <w:t>Golden Legend</w:t>
      </w:r>
      <w:r>
        <w:rPr>
          <w:noProof/>
        </w:rPr>
        <w:t xml:space="preserve">, </w:t>
      </w:r>
      <w:r w:rsidRPr="005C28E7">
        <w:rPr>
          <w:i/>
          <w:noProof/>
        </w:rPr>
        <w:t>k</w:t>
      </w:r>
      <w:r>
        <w:rPr>
          <w:noProof/>
        </w:rPr>
        <w:t xml:space="preserve"> = 5</w:t>
      </w:r>
      <w:r>
        <w:rPr>
          <w:noProof/>
        </w:rPr>
        <w:tab/>
      </w:r>
      <w:r>
        <w:rPr>
          <w:noProof/>
        </w:rPr>
        <w:fldChar w:fldCharType="begin"/>
      </w:r>
      <w:r>
        <w:rPr>
          <w:noProof/>
        </w:rPr>
        <w:instrText xml:space="preserve"> PAGEREF _Toc499753553 \h </w:instrText>
      </w:r>
      <w:r>
        <w:rPr>
          <w:noProof/>
        </w:rPr>
      </w:r>
      <w:r>
        <w:rPr>
          <w:noProof/>
        </w:rPr>
        <w:fldChar w:fldCharType="separate"/>
      </w:r>
      <w:r>
        <w:rPr>
          <w:noProof/>
        </w:rPr>
        <w:t>151</w:t>
      </w:r>
      <w:r>
        <w:rPr>
          <w:noProof/>
        </w:rPr>
        <w:fldChar w:fldCharType="end"/>
      </w:r>
    </w:p>
    <w:p w14:paraId="66D61401" w14:textId="77777777" w:rsidR="00CB6FF6" w:rsidRDefault="00CB6FF6" w:rsidP="00CB6FF6">
      <w:pPr>
        <w:pStyle w:val="TableofFigures"/>
        <w:tabs>
          <w:tab w:val="right" w:leader="dot" w:pos="7858"/>
        </w:tabs>
        <w:rPr>
          <w:rFonts w:asciiTheme="minorHAnsi" w:eastAsiaTheme="minorEastAsia" w:hAnsiTheme="minorHAnsi" w:cstheme="minorBidi"/>
          <w:noProof/>
          <w:sz w:val="24"/>
          <w:szCs w:val="24"/>
          <w:lang w:eastAsia="en-GB"/>
        </w:rPr>
      </w:pPr>
      <w:r>
        <w:rPr>
          <w:noProof/>
        </w:rPr>
        <w:t xml:space="preserve">Figure 7.14: </w:t>
      </w:r>
      <w:r w:rsidRPr="005C28E7">
        <w:rPr>
          <w:i/>
          <w:noProof/>
        </w:rPr>
        <w:t>Golden Legend</w:t>
      </w:r>
      <w:r>
        <w:rPr>
          <w:noProof/>
        </w:rPr>
        <w:t xml:space="preserve"> clusters divided by imprint</w:t>
      </w:r>
      <w:r>
        <w:rPr>
          <w:noProof/>
        </w:rPr>
        <w:tab/>
      </w:r>
      <w:r>
        <w:rPr>
          <w:noProof/>
        </w:rPr>
        <w:fldChar w:fldCharType="begin"/>
      </w:r>
      <w:r>
        <w:rPr>
          <w:noProof/>
        </w:rPr>
        <w:instrText xml:space="preserve"> PAGEREF _Toc499753554 \h </w:instrText>
      </w:r>
      <w:r>
        <w:rPr>
          <w:noProof/>
        </w:rPr>
      </w:r>
      <w:r>
        <w:rPr>
          <w:noProof/>
        </w:rPr>
        <w:fldChar w:fldCharType="separate"/>
      </w:r>
      <w:r>
        <w:rPr>
          <w:noProof/>
        </w:rPr>
        <w:t>152</w:t>
      </w:r>
      <w:r>
        <w:rPr>
          <w:noProof/>
        </w:rPr>
        <w:fldChar w:fldCharType="end"/>
      </w:r>
    </w:p>
    <w:p w14:paraId="3DCA4780" w14:textId="77777777" w:rsidR="00CB6FF6" w:rsidRDefault="00CB6FF6" w:rsidP="00CB6FF6">
      <w:pPr>
        <w:pStyle w:val="TableofFigures"/>
        <w:tabs>
          <w:tab w:val="right" w:leader="dot" w:pos="7858"/>
        </w:tabs>
        <w:rPr>
          <w:rFonts w:asciiTheme="minorHAnsi" w:eastAsiaTheme="minorEastAsia" w:hAnsiTheme="minorHAnsi" w:cstheme="minorBidi"/>
          <w:noProof/>
          <w:sz w:val="24"/>
          <w:szCs w:val="24"/>
          <w:lang w:eastAsia="en-GB"/>
        </w:rPr>
      </w:pPr>
      <w:r>
        <w:rPr>
          <w:noProof/>
        </w:rPr>
        <w:t xml:space="preserve">Figure 7.15: Clustering the </w:t>
      </w:r>
      <w:r w:rsidRPr="005C28E7">
        <w:rPr>
          <w:i/>
          <w:noProof/>
        </w:rPr>
        <w:t>Polychronicon</w:t>
      </w:r>
      <w:r>
        <w:rPr>
          <w:noProof/>
        </w:rPr>
        <w:t xml:space="preserve">, </w:t>
      </w:r>
      <w:r w:rsidRPr="005C28E7">
        <w:rPr>
          <w:i/>
          <w:noProof/>
        </w:rPr>
        <w:t>k</w:t>
      </w:r>
      <w:r>
        <w:rPr>
          <w:noProof/>
        </w:rPr>
        <w:t xml:space="preserve"> = 2</w:t>
      </w:r>
      <w:r>
        <w:rPr>
          <w:noProof/>
        </w:rPr>
        <w:tab/>
      </w:r>
      <w:r>
        <w:rPr>
          <w:noProof/>
        </w:rPr>
        <w:fldChar w:fldCharType="begin"/>
      </w:r>
      <w:r>
        <w:rPr>
          <w:noProof/>
        </w:rPr>
        <w:instrText xml:space="preserve"> PAGEREF _Toc499753555 \h </w:instrText>
      </w:r>
      <w:r>
        <w:rPr>
          <w:noProof/>
        </w:rPr>
      </w:r>
      <w:r>
        <w:rPr>
          <w:noProof/>
        </w:rPr>
        <w:fldChar w:fldCharType="separate"/>
      </w:r>
      <w:r>
        <w:rPr>
          <w:noProof/>
        </w:rPr>
        <w:t>156</w:t>
      </w:r>
      <w:r>
        <w:rPr>
          <w:noProof/>
        </w:rPr>
        <w:fldChar w:fldCharType="end"/>
      </w:r>
    </w:p>
    <w:p w14:paraId="1425CAE0" w14:textId="77777777" w:rsidR="00CB6FF6" w:rsidRDefault="00CB6FF6" w:rsidP="00CB6FF6">
      <w:pPr>
        <w:pStyle w:val="TableofFigures"/>
        <w:tabs>
          <w:tab w:val="right" w:leader="dot" w:pos="7858"/>
        </w:tabs>
        <w:rPr>
          <w:rFonts w:asciiTheme="minorHAnsi" w:eastAsiaTheme="minorEastAsia" w:hAnsiTheme="minorHAnsi" w:cstheme="minorBidi"/>
          <w:noProof/>
          <w:sz w:val="24"/>
          <w:szCs w:val="24"/>
          <w:lang w:eastAsia="en-GB"/>
        </w:rPr>
      </w:pPr>
      <w:r>
        <w:rPr>
          <w:noProof/>
        </w:rPr>
        <w:t xml:space="preserve">Figure 7.16: Clustering the </w:t>
      </w:r>
      <w:r w:rsidRPr="005C28E7">
        <w:rPr>
          <w:i/>
          <w:noProof/>
        </w:rPr>
        <w:t>Polychronicon</w:t>
      </w:r>
      <w:r>
        <w:rPr>
          <w:noProof/>
        </w:rPr>
        <w:t xml:space="preserve">, </w:t>
      </w:r>
      <w:r w:rsidRPr="005C28E7">
        <w:rPr>
          <w:i/>
          <w:noProof/>
        </w:rPr>
        <w:t>k</w:t>
      </w:r>
      <w:r>
        <w:rPr>
          <w:noProof/>
        </w:rPr>
        <w:t xml:space="preserve"> = 3</w:t>
      </w:r>
      <w:r>
        <w:rPr>
          <w:noProof/>
        </w:rPr>
        <w:tab/>
      </w:r>
      <w:r>
        <w:rPr>
          <w:noProof/>
        </w:rPr>
        <w:fldChar w:fldCharType="begin"/>
      </w:r>
      <w:r>
        <w:rPr>
          <w:noProof/>
        </w:rPr>
        <w:instrText xml:space="preserve"> PAGEREF _Toc499753556 \h </w:instrText>
      </w:r>
      <w:r>
        <w:rPr>
          <w:noProof/>
        </w:rPr>
      </w:r>
      <w:r>
        <w:rPr>
          <w:noProof/>
        </w:rPr>
        <w:fldChar w:fldCharType="separate"/>
      </w:r>
      <w:r>
        <w:rPr>
          <w:noProof/>
        </w:rPr>
        <w:t>157</w:t>
      </w:r>
      <w:r>
        <w:rPr>
          <w:noProof/>
        </w:rPr>
        <w:fldChar w:fldCharType="end"/>
      </w:r>
    </w:p>
    <w:p w14:paraId="08E4B0E5" w14:textId="77777777" w:rsidR="00CB6FF6" w:rsidRDefault="00CB6FF6" w:rsidP="00CB6FF6">
      <w:pPr>
        <w:pStyle w:val="TableofFigures"/>
        <w:tabs>
          <w:tab w:val="right" w:leader="dot" w:pos="7858"/>
        </w:tabs>
        <w:rPr>
          <w:rFonts w:asciiTheme="minorHAnsi" w:eastAsiaTheme="minorEastAsia" w:hAnsiTheme="minorHAnsi" w:cstheme="minorBidi"/>
          <w:noProof/>
          <w:sz w:val="24"/>
          <w:szCs w:val="24"/>
          <w:lang w:eastAsia="en-GB"/>
        </w:rPr>
      </w:pPr>
      <w:r>
        <w:rPr>
          <w:noProof/>
        </w:rPr>
        <w:t xml:space="preserve">Figure 7.17: Clustering the </w:t>
      </w:r>
      <w:r w:rsidRPr="005C28E7">
        <w:rPr>
          <w:i/>
          <w:noProof/>
        </w:rPr>
        <w:t>Polychronicon</w:t>
      </w:r>
      <w:r>
        <w:rPr>
          <w:noProof/>
        </w:rPr>
        <w:t xml:space="preserve">, </w:t>
      </w:r>
      <w:r w:rsidRPr="005C28E7">
        <w:rPr>
          <w:i/>
          <w:noProof/>
        </w:rPr>
        <w:t>k</w:t>
      </w:r>
      <w:r>
        <w:rPr>
          <w:noProof/>
        </w:rPr>
        <w:t xml:space="preserve"> = 4</w:t>
      </w:r>
      <w:r>
        <w:rPr>
          <w:noProof/>
        </w:rPr>
        <w:tab/>
      </w:r>
      <w:r>
        <w:rPr>
          <w:noProof/>
        </w:rPr>
        <w:fldChar w:fldCharType="begin"/>
      </w:r>
      <w:r>
        <w:rPr>
          <w:noProof/>
        </w:rPr>
        <w:instrText xml:space="preserve"> PAGEREF _Toc499753557 \h </w:instrText>
      </w:r>
      <w:r>
        <w:rPr>
          <w:noProof/>
        </w:rPr>
      </w:r>
      <w:r>
        <w:rPr>
          <w:noProof/>
        </w:rPr>
        <w:fldChar w:fldCharType="separate"/>
      </w:r>
      <w:r>
        <w:rPr>
          <w:noProof/>
        </w:rPr>
        <w:t>157</w:t>
      </w:r>
      <w:r>
        <w:rPr>
          <w:noProof/>
        </w:rPr>
        <w:fldChar w:fldCharType="end"/>
      </w:r>
    </w:p>
    <w:p w14:paraId="4862F98A" w14:textId="77777777" w:rsidR="00CB6FF6" w:rsidRDefault="00CB6FF6" w:rsidP="00CB6FF6">
      <w:pPr>
        <w:pStyle w:val="TableofFigures"/>
        <w:tabs>
          <w:tab w:val="right" w:leader="dot" w:pos="7858"/>
        </w:tabs>
        <w:rPr>
          <w:rFonts w:asciiTheme="minorHAnsi" w:eastAsiaTheme="minorEastAsia" w:hAnsiTheme="minorHAnsi" w:cstheme="minorBidi"/>
          <w:noProof/>
          <w:sz w:val="24"/>
          <w:szCs w:val="24"/>
          <w:lang w:eastAsia="en-GB"/>
        </w:rPr>
      </w:pPr>
      <w:r>
        <w:rPr>
          <w:noProof/>
        </w:rPr>
        <w:t xml:space="preserve">Figure 7.18: Clustering the </w:t>
      </w:r>
      <w:r w:rsidRPr="005C28E7">
        <w:rPr>
          <w:i/>
          <w:noProof/>
        </w:rPr>
        <w:t>Polychronicon</w:t>
      </w:r>
      <w:r>
        <w:rPr>
          <w:noProof/>
        </w:rPr>
        <w:t xml:space="preserve">, </w:t>
      </w:r>
      <w:r w:rsidRPr="005C28E7">
        <w:rPr>
          <w:i/>
          <w:noProof/>
        </w:rPr>
        <w:t>k</w:t>
      </w:r>
      <w:r>
        <w:rPr>
          <w:noProof/>
        </w:rPr>
        <w:t xml:space="preserve"> = 5</w:t>
      </w:r>
      <w:r>
        <w:rPr>
          <w:noProof/>
        </w:rPr>
        <w:tab/>
      </w:r>
      <w:r>
        <w:rPr>
          <w:noProof/>
        </w:rPr>
        <w:fldChar w:fldCharType="begin"/>
      </w:r>
      <w:r>
        <w:rPr>
          <w:noProof/>
        </w:rPr>
        <w:instrText xml:space="preserve"> PAGEREF _Toc499753558 \h </w:instrText>
      </w:r>
      <w:r>
        <w:rPr>
          <w:noProof/>
        </w:rPr>
      </w:r>
      <w:r>
        <w:rPr>
          <w:noProof/>
        </w:rPr>
        <w:fldChar w:fldCharType="separate"/>
      </w:r>
      <w:r>
        <w:rPr>
          <w:noProof/>
        </w:rPr>
        <w:t>157</w:t>
      </w:r>
      <w:r>
        <w:rPr>
          <w:noProof/>
        </w:rPr>
        <w:fldChar w:fldCharType="end"/>
      </w:r>
    </w:p>
    <w:p w14:paraId="180BED64" w14:textId="77777777" w:rsidR="00CB6FF6" w:rsidRDefault="00CB6FF6" w:rsidP="00CB6FF6">
      <w:pPr>
        <w:pStyle w:val="TableofFigures"/>
        <w:tabs>
          <w:tab w:val="right" w:leader="dot" w:pos="7858"/>
        </w:tabs>
        <w:rPr>
          <w:rFonts w:asciiTheme="minorHAnsi" w:eastAsiaTheme="minorEastAsia" w:hAnsiTheme="minorHAnsi" w:cstheme="minorBidi"/>
          <w:noProof/>
          <w:sz w:val="24"/>
          <w:szCs w:val="24"/>
          <w:lang w:eastAsia="en-GB"/>
        </w:rPr>
      </w:pPr>
      <w:r>
        <w:rPr>
          <w:noProof/>
        </w:rPr>
        <w:t xml:space="preserve">Figure 7.19: Clustering the </w:t>
      </w:r>
      <w:r w:rsidRPr="005C28E7">
        <w:rPr>
          <w:i/>
          <w:noProof/>
        </w:rPr>
        <w:t>Polychronicon</w:t>
      </w:r>
      <w:r>
        <w:rPr>
          <w:noProof/>
        </w:rPr>
        <w:t xml:space="preserve">, </w:t>
      </w:r>
      <w:r w:rsidRPr="005C28E7">
        <w:rPr>
          <w:i/>
          <w:noProof/>
        </w:rPr>
        <w:t>k</w:t>
      </w:r>
      <w:r>
        <w:rPr>
          <w:noProof/>
        </w:rPr>
        <w:t xml:space="preserve"> = 6</w:t>
      </w:r>
      <w:r>
        <w:rPr>
          <w:noProof/>
        </w:rPr>
        <w:tab/>
      </w:r>
      <w:r>
        <w:rPr>
          <w:noProof/>
        </w:rPr>
        <w:fldChar w:fldCharType="begin"/>
      </w:r>
      <w:r>
        <w:rPr>
          <w:noProof/>
        </w:rPr>
        <w:instrText xml:space="preserve"> PAGEREF _Toc499753559 \h </w:instrText>
      </w:r>
      <w:r>
        <w:rPr>
          <w:noProof/>
        </w:rPr>
      </w:r>
      <w:r>
        <w:rPr>
          <w:noProof/>
        </w:rPr>
        <w:fldChar w:fldCharType="separate"/>
      </w:r>
      <w:r>
        <w:rPr>
          <w:noProof/>
        </w:rPr>
        <w:t>158</w:t>
      </w:r>
      <w:r>
        <w:rPr>
          <w:noProof/>
        </w:rPr>
        <w:fldChar w:fldCharType="end"/>
      </w:r>
    </w:p>
    <w:p w14:paraId="25B90DC1" w14:textId="77777777" w:rsidR="00DB2710" w:rsidRDefault="00DB2710" w:rsidP="00DB2710">
      <w:pPr>
        <w:pStyle w:val="TableofFigures"/>
        <w:tabs>
          <w:tab w:val="right" w:leader="dot" w:pos="7858"/>
        </w:tabs>
        <w:rPr>
          <w:noProof/>
        </w:rPr>
      </w:pPr>
      <w:r>
        <w:rPr>
          <w:noProof/>
        </w:rPr>
        <w:t>Table 8.1: Mean similarity scores for texts typeset by one compositor</w:t>
      </w:r>
      <w:r>
        <w:rPr>
          <w:noProof/>
        </w:rPr>
        <w:tab/>
        <w:t>163</w:t>
      </w:r>
    </w:p>
    <w:p w14:paraId="47517E21" w14:textId="77777777" w:rsidR="00DB2710" w:rsidRDefault="00DB2710" w:rsidP="00DB2710">
      <w:pPr>
        <w:pStyle w:val="TableofFigures"/>
        <w:tabs>
          <w:tab w:val="right" w:leader="dot" w:pos="7858"/>
        </w:tabs>
        <w:rPr>
          <w:noProof/>
        </w:rPr>
      </w:pPr>
      <w:r>
        <w:rPr>
          <w:noProof/>
        </w:rPr>
        <w:t xml:space="preserve">Table 8.2: Cluster similarities of </w:t>
      </w:r>
      <w:r w:rsidRPr="00DB2710">
        <w:rPr>
          <w:i/>
          <w:noProof/>
        </w:rPr>
        <w:t xml:space="preserve">Book of Good Manners </w:t>
      </w:r>
      <w:r>
        <w:rPr>
          <w:noProof/>
        </w:rPr>
        <w:t xml:space="preserve">and </w:t>
      </w:r>
      <w:r w:rsidRPr="00DB2710">
        <w:rPr>
          <w:i/>
          <w:noProof/>
        </w:rPr>
        <w:t>Troilus and Criseyde</w:t>
      </w:r>
      <w:r>
        <w:rPr>
          <w:noProof/>
        </w:rPr>
        <w:tab/>
        <w:t>164</w:t>
      </w:r>
    </w:p>
    <w:p w14:paraId="1292F81F" w14:textId="4563A6FC" w:rsidR="00CB6FF6" w:rsidRDefault="00CB6FF6" w:rsidP="00CB6FF6">
      <w:pPr>
        <w:pStyle w:val="TableofFigures"/>
        <w:tabs>
          <w:tab w:val="right" w:leader="dot" w:pos="7858"/>
        </w:tabs>
        <w:rPr>
          <w:rFonts w:asciiTheme="minorHAnsi" w:eastAsiaTheme="minorEastAsia" w:hAnsiTheme="minorHAnsi" w:cstheme="minorBidi"/>
          <w:noProof/>
          <w:sz w:val="24"/>
          <w:szCs w:val="24"/>
          <w:lang w:eastAsia="en-GB"/>
        </w:rPr>
      </w:pPr>
      <w:r>
        <w:rPr>
          <w:noProof/>
        </w:rPr>
        <w:t xml:space="preserve">Figure 8.3: Clustering the </w:t>
      </w:r>
      <w:r w:rsidRPr="005C28E7">
        <w:rPr>
          <w:i/>
          <w:noProof/>
        </w:rPr>
        <w:t>Canterbury Tales</w:t>
      </w:r>
      <w:r>
        <w:rPr>
          <w:noProof/>
        </w:rPr>
        <w:t xml:space="preserve"> with restricted spellings, </w:t>
      </w:r>
      <w:r w:rsidRPr="005C28E7">
        <w:rPr>
          <w:i/>
          <w:noProof/>
        </w:rPr>
        <w:t>k</w:t>
      </w:r>
      <w:r>
        <w:rPr>
          <w:noProof/>
        </w:rPr>
        <w:t xml:space="preserve"> = 2</w:t>
      </w:r>
      <w:r>
        <w:rPr>
          <w:noProof/>
        </w:rPr>
        <w:tab/>
      </w:r>
      <w:r>
        <w:rPr>
          <w:noProof/>
        </w:rPr>
        <w:fldChar w:fldCharType="begin"/>
      </w:r>
      <w:r>
        <w:rPr>
          <w:noProof/>
        </w:rPr>
        <w:instrText xml:space="preserve"> PAGEREF _Toc499753560 \h </w:instrText>
      </w:r>
      <w:r>
        <w:rPr>
          <w:noProof/>
        </w:rPr>
      </w:r>
      <w:r>
        <w:rPr>
          <w:noProof/>
        </w:rPr>
        <w:fldChar w:fldCharType="separate"/>
      </w:r>
      <w:r>
        <w:rPr>
          <w:noProof/>
        </w:rPr>
        <w:t>168</w:t>
      </w:r>
      <w:r>
        <w:rPr>
          <w:noProof/>
        </w:rPr>
        <w:fldChar w:fldCharType="end"/>
      </w:r>
    </w:p>
    <w:p w14:paraId="1C6089BD" w14:textId="791D3F12" w:rsidR="00DB2710" w:rsidRDefault="00DB2710" w:rsidP="00DB2710">
      <w:pPr>
        <w:pStyle w:val="TableofFigures"/>
        <w:tabs>
          <w:tab w:val="right" w:leader="dot" w:pos="7858"/>
        </w:tabs>
        <w:rPr>
          <w:noProof/>
        </w:rPr>
      </w:pPr>
      <w:r>
        <w:rPr>
          <w:noProof/>
        </w:rPr>
        <w:t>Ta</w:t>
      </w:r>
      <w:r w:rsidR="00CB6FF6">
        <w:rPr>
          <w:noProof/>
        </w:rPr>
        <w:t>ble 8.4</w:t>
      </w:r>
      <w:r>
        <w:rPr>
          <w:noProof/>
        </w:rPr>
        <w:t xml:space="preserve">: Similarity of sections of Caxton's </w:t>
      </w:r>
      <w:r w:rsidRPr="00DB2710">
        <w:rPr>
          <w:i/>
          <w:noProof/>
        </w:rPr>
        <w:t>Canterbury Tales</w:t>
      </w:r>
      <w:r>
        <w:rPr>
          <w:noProof/>
        </w:rPr>
        <w:t>, 1st edn.</w:t>
      </w:r>
      <w:r>
        <w:rPr>
          <w:noProof/>
        </w:rPr>
        <w:tab/>
        <w:t>169</w:t>
      </w:r>
    </w:p>
    <w:p w14:paraId="3E90D1A8" w14:textId="444EFC2A" w:rsidR="00DB2710" w:rsidRDefault="00CB6FF6" w:rsidP="00DB2710">
      <w:pPr>
        <w:pStyle w:val="TableofFigures"/>
        <w:tabs>
          <w:tab w:val="right" w:leader="dot" w:pos="7858"/>
        </w:tabs>
        <w:rPr>
          <w:noProof/>
        </w:rPr>
      </w:pPr>
      <w:r>
        <w:rPr>
          <w:noProof/>
        </w:rPr>
        <w:t>Table 8.5</w:t>
      </w:r>
      <w:r w:rsidR="00DB2710">
        <w:rPr>
          <w:noProof/>
        </w:rPr>
        <w:t>: Mean similarity scores for texts that were typeset by one compositor</w:t>
      </w:r>
      <w:r w:rsidR="00DB2710">
        <w:rPr>
          <w:noProof/>
        </w:rPr>
        <w:tab/>
        <w:t>169</w:t>
      </w:r>
    </w:p>
    <w:p w14:paraId="3DA1689E" w14:textId="4FEB481D" w:rsidR="00CB6FF6" w:rsidRDefault="00CB6FF6" w:rsidP="00CB6FF6">
      <w:pPr>
        <w:pStyle w:val="TableofFigures"/>
        <w:tabs>
          <w:tab w:val="right" w:leader="dot" w:pos="7858"/>
        </w:tabs>
        <w:rPr>
          <w:rFonts w:asciiTheme="minorHAnsi" w:eastAsiaTheme="minorEastAsia" w:hAnsiTheme="minorHAnsi" w:cstheme="minorBidi"/>
          <w:noProof/>
          <w:sz w:val="24"/>
          <w:szCs w:val="24"/>
          <w:lang w:eastAsia="en-GB"/>
        </w:rPr>
      </w:pPr>
      <w:r>
        <w:rPr>
          <w:noProof/>
        </w:rPr>
        <w:t xml:space="preserve">Figure 8.6: </w:t>
      </w:r>
      <w:r w:rsidRPr="005C28E7">
        <w:rPr>
          <w:i/>
          <w:noProof/>
        </w:rPr>
        <w:t>Golden Legend</w:t>
      </w:r>
      <w:r>
        <w:rPr>
          <w:noProof/>
        </w:rPr>
        <w:t xml:space="preserve"> clusters divided by imprint</w:t>
      </w:r>
      <w:r>
        <w:rPr>
          <w:noProof/>
        </w:rPr>
        <w:tab/>
      </w:r>
      <w:r>
        <w:rPr>
          <w:noProof/>
        </w:rPr>
        <w:fldChar w:fldCharType="begin"/>
      </w:r>
      <w:r>
        <w:rPr>
          <w:noProof/>
        </w:rPr>
        <w:instrText xml:space="preserve"> PAGEREF _Toc499753561 \h </w:instrText>
      </w:r>
      <w:r>
        <w:rPr>
          <w:noProof/>
        </w:rPr>
      </w:r>
      <w:r>
        <w:rPr>
          <w:noProof/>
        </w:rPr>
        <w:fldChar w:fldCharType="separate"/>
      </w:r>
      <w:r>
        <w:rPr>
          <w:noProof/>
        </w:rPr>
        <w:t>171</w:t>
      </w:r>
      <w:r>
        <w:rPr>
          <w:noProof/>
        </w:rPr>
        <w:fldChar w:fldCharType="end"/>
      </w:r>
    </w:p>
    <w:p w14:paraId="54C7E422" w14:textId="1D9CADEB" w:rsidR="00DB2710" w:rsidRDefault="00CB6FF6" w:rsidP="00DB2710">
      <w:pPr>
        <w:pStyle w:val="TableofFigures"/>
        <w:tabs>
          <w:tab w:val="right" w:leader="dot" w:pos="7858"/>
        </w:tabs>
        <w:rPr>
          <w:noProof/>
        </w:rPr>
      </w:pPr>
      <w:r>
        <w:rPr>
          <w:noProof/>
        </w:rPr>
        <w:t>Table 8.7</w:t>
      </w:r>
      <w:r w:rsidR="00DB2710">
        <w:rPr>
          <w:noProof/>
        </w:rPr>
        <w:t xml:space="preserve">: Similarity comparison of sections of Caxton's </w:t>
      </w:r>
      <w:r w:rsidR="00DB2710" w:rsidRPr="00DB2710">
        <w:rPr>
          <w:i/>
          <w:noProof/>
        </w:rPr>
        <w:t>Golden Legend</w:t>
      </w:r>
      <w:r w:rsidR="00DB2710">
        <w:rPr>
          <w:noProof/>
        </w:rPr>
        <w:tab/>
        <w:t>172</w:t>
      </w:r>
    </w:p>
    <w:p w14:paraId="19CB8DF3" w14:textId="19F5C7E5" w:rsidR="00CB6FF6" w:rsidRDefault="00CB6FF6" w:rsidP="00CB6FF6">
      <w:pPr>
        <w:pStyle w:val="TableofFigures"/>
        <w:tabs>
          <w:tab w:val="right" w:leader="dot" w:pos="7858"/>
        </w:tabs>
        <w:rPr>
          <w:rFonts w:asciiTheme="minorHAnsi" w:eastAsiaTheme="minorEastAsia" w:hAnsiTheme="minorHAnsi" w:cstheme="minorBidi"/>
          <w:noProof/>
          <w:sz w:val="24"/>
          <w:szCs w:val="24"/>
          <w:lang w:eastAsia="en-GB"/>
        </w:rPr>
      </w:pPr>
      <w:r>
        <w:rPr>
          <w:noProof/>
        </w:rPr>
        <w:t xml:space="preserve">Figure 8.8: Clustering the </w:t>
      </w:r>
      <w:r w:rsidRPr="005C28E7">
        <w:rPr>
          <w:i/>
          <w:noProof/>
        </w:rPr>
        <w:t>Polychronicon</w:t>
      </w:r>
      <w:r>
        <w:rPr>
          <w:noProof/>
        </w:rPr>
        <w:t xml:space="preserve">, </w:t>
      </w:r>
      <w:r w:rsidRPr="005C28E7">
        <w:rPr>
          <w:i/>
          <w:noProof/>
        </w:rPr>
        <w:t>k</w:t>
      </w:r>
      <w:r>
        <w:rPr>
          <w:noProof/>
        </w:rPr>
        <w:t xml:space="preserve"> = 6</w:t>
      </w:r>
      <w:r>
        <w:rPr>
          <w:noProof/>
        </w:rPr>
        <w:tab/>
      </w:r>
      <w:r>
        <w:rPr>
          <w:noProof/>
        </w:rPr>
        <w:fldChar w:fldCharType="begin"/>
      </w:r>
      <w:r>
        <w:rPr>
          <w:noProof/>
        </w:rPr>
        <w:instrText xml:space="preserve"> PAGEREF _Toc499753562 \h </w:instrText>
      </w:r>
      <w:r>
        <w:rPr>
          <w:noProof/>
        </w:rPr>
      </w:r>
      <w:r>
        <w:rPr>
          <w:noProof/>
        </w:rPr>
        <w:fldChar w:fldCharType="separate"/>
      </w:r>
      <w:r>
        <w:rPr>
          <w:noProof/>
        </w:rPr>
        <w:t>173</w:t>
      </w:r>
      <w:r>
        <w:rPr>
          <w:noProof/>
        </w:rPr>
        <w:fldChar w:fldCharType="end"/>
      </w:r>
    </w:p>
    <w:p w14:paraId="1387DED8" w14:textId="0D490672" w:rsidR="00DB2710" w:rsidRDefault="00CB6FF6" w:rsidP="00DB2710">
      <w:pPr>
        <w:pStyle w:val="TableofFigures"/>
        <w:tabs>
          <w:tab w:val="right" w:leader="dot" w:pos="7858"/>
        </w:tabs>
        <w:rPr>
          <w:noProof/>
        </w:rPr>
      </w:pPr>
      <w:r>
        <w:rPr>
          <w:noProof/>
        </w:rPr>
        <w:t>Table 8.9</w:t>
      </w:r>
      <w:r w:rsidR="00DB2710">
        <w:rPr>
          <w:noProof/>
        </w:rPr>
        <w:t xml:space="preserve">: Similarity of spellings used by hypothesised different compositors of </w:t>
      </w:r>
      <w:r w:rsidR="00DB2710" w:rsidRPr="00DB2710">
        <w:rPr>
          <w:i/>
          <w:noProof/>
        </w:rPr>
        <w:t>Polychronicon</w:t>
      </w:r>
      <w:r w:rsidR="00DB2710">
        <w:rPr>
          <w:noProof/>
        </w:rPr>
        <w:tab/>
        <w:t>174</w:t>
      </w:r>
    </w:p>
    <w:p w14:paraId="5E7CCCEC" w14:textId="77777777" w:rsidR="00DB2710" w:rsidRDefault="00DB2710" w:rsidP="00DB2710">
      <w:pPr>
        <w:pStyle w:val="TableofFigures"/>
        <w:tabs>
          <w:tab w:val="right" w:leader="dot" w:pos="7858"/>
        </w:tabs>
        <w:rPr>
          <w:noProof/>
        </w:rPr>
      </w:pPr>
      <w:r>
        <w:rPr>
          <w:noProof/>
        </w:rPr>
        <w:t>Table 9.1: Texts and subsections of texts included in the dataset</w:t>
      </w:r>
      <w:r>
        <w:rPr>
          <w:noProof/>
        </w:rPr>
        <w:tab/>
        <w:t>179</w:t>
      </w:r>
    </w:p>
    <w:p w14:paraId="74CE6C5F" w14:textId="77777777" w:rsidR="00DB2710" w:rsidRDefault="00DB2710" w:rsidP="00DB2710">
      <w:pPr>
        <w:pStyle w:val="TableofFigures"/>
        <w:tabs>
          <w:tab w:val="right" w:leader="dot" w:pos="7858"/>
        </w:tabs>
        <w:rPr>
          <w:noProof/>
        </w:rPr>
      </w:pPr>
      <w:r>
        <w:rPr>
          <w:noProof/>
        </w:rPr>
        <w:t>Table 9.2: Whole texts included in the Caxton dataset</w:t>
      </w:r>
      <w:r>
        <w:rPr>
          <w:noProof/>
        </w:rPr>
        <w:tab/>
        <w:t>180</w:t>
      </w:r>
    </w:p>
    <w:p w14:paraId="3600B1A2" w14:textId="5D857371" w:rsidR="00CB6FF6" w:rsidRDefault="00CB6FF6" w:rsidP="00CB6FF6">
      <w:pPr>
        <w:pStyle w:val="TableofFigures"/>
        <w:tabs>
          <w:tab w:val="right" w:leader="dot" w:pos="7858"/>
        </w:tabs>
        <w:rPr>
          <w:rFonts w:asciiTheme="minorHAnsi" w:eastAsiaTheme="minorEastAsia" w:hAnsiTheme="minorHAnsi" w:cstheme="minorBidi"/>
          <w:noProof/>
          <w:sz w:val="24"/>
          <w:szCs w:val="24"/>
          <w:lang w:eastAsia="en-GB"/>
        </w:rPr>
      </w:pPr>
      <w:r>
        <w:rPr>
          <w:noProof/>
        </w:rPr>
        <w:t>Figure 9.3: Hierarchical clustering of Caxton's texts into four clusters</w:t>
      </w:r>
      <w:r>
        <w:rPr>
          <w:noProof/>
        </w:rPr>
        <w:tab/>
      </w:r>
      <w:r>
        <w:rPr>
          <w:noProof/>
        </w:rPr>
        <w:fldChar w:fldCharType="begin"/>
      </w:r>
      <w:r>
        <w:rPr>
          <w:noProof/>
        </w:rPr>
        <w:instrText xml:space="preserve"> PAGEREF _Toc499753563 \h </w:instrText>
      </w:r>
      <w:r>
        <w:rPr>
          <w:noProof/>
        </w:rPr>
      </w:r>
      <w:r>
        <w:rPr>
          <w:noProof/>
        </w:rPr>
        <w:fldChar w:fldCharType="separate"/>
      </w:r>
      <w:r>
        <w:rPr>
          <w:noProof/>
        </w:rPr>
        <w:t>181</w:t>
      </w:r>
      <w:r>
        <w:rPr>
          <w:noProof/>
        </w:rPr>
        <w:fldChar w:fldCharType="end"/>
      </w:r>
    </w:p>
    <w:p w14:paraId="49537F9A" w14:textId="52BA6F3B" w:rsidR="00CB6FF6" w:rsidRDefault="00CB6FF6" w:rsidP="00CB6FF6">
      <w:pPr>
        <w:pStyle w:val="TableofFigures"/>
        <w:tabs>
          <w:tab w:val="right" w:leader="dot" w:pos="7858"/>
        </w:tabs>
        <w:rPr>
          <w:rFonts w:asciiTheme="minorHAnsi" w:eastAsiaTheme="minorEastAsia" w:hAnsiTheme="minorHAnsi" w:cstheme="minorBidi"/>
          <w:noProof/>
          <w:sz w:val="24"/>
          <w:szCs w:val="24"/>
          <w:lang w:eastAsia="en-GB"/>
        </w:rPr>
      </w:pPr>
      <w:r>
        <w:rPr>
          <w:noProof/>
        </w:rPr>
        <w:t>Figure 9.4: Hierarchical clustering of Caxton's texts into two clusters</w:t>
      </w:r>
      <w:r>
        <w:rPr>
          <w:noProof/>
        </w:rPr>
        <w:tab/>
      </w:r>
      <w:r>
        <w:rPr>
          <w:noProof/>
        </w:rPr>
        <w:fldChar w:fldCharType="begin"/>
      </w:r>
      <w:r>
        <w:rPr>
          <w:noProof/>
        </w:rPr>
        <w:instrText xml:space="preserve"> PAGEREF _Toc499753564 \h </w:instrText>
      </w:r>
      <w:r>
        <w:rPr>
          <w:noProof/>
        </w:rPr>
      </w:r>
      <w:r>
        <w:rPr>
          <w:noProof/>
        </w:rPr>
        <w:fldChar w:fldCharType="separate"/>
      </w:r>
      <w:r>
        <w:rPr>
          <w:noProof/>
        </w:rPr>
        <w:t>183</w:t>
      </w:r>
      <w:r>
        <w:rPr>
          <w:noProof/>
        </w:rPr>
        <w:fldChar w:fldCharType="end"/>
      </w:r>
    </w:p>
    <w:p w14:paraId="23531B34" w14:textId="295C5124" w:rsidR="00CB6FF6" w:rsidRDefault="00CB6FF6" w:rsidP="00CB6FF6">
      <w:pPr>
        <w:pStyle w:val="TableofFigures"/>
        <w:tabs>
          <w:tab w:val="right" w:leader="dot" w:pos="7858"/>
        </w:tabs>
        <w:rPr>
          <w:rFonts w:asciiTheme="minorHAnsi" w:eastAsiaTheme="minorEastAsia" w:hAnsiTheme="minorHAnsi" w:cstheme="minorBidi"/>
          <w:noProof/>
          <w:sz w:val="24"/>
          <w:szCs w:val="24"/>
          <w:lang w:eastAsia="en-GB"/>
        </w:rPr>
      </w:pPr>
      <w:r>
        <w:rPr>
          <w:noProof/>
        </w:rPr>
        <w:t xml:space="preserve">Figure 9.5: Hierarchical clustering of the </w:t>
      </w:r>
      <w:r w:rsidRPr="005C28E7">
        <w:rPr>
          <w:i/>
          <w:noProof/>
        </w:rPr>
        <w:t>Book of Good Manners</w:t>
      </w:r>
      <w:r>
        <w:rPr>
          <w:noProof/>
        </w:rPr>
        <w:tab/>
      </w:r>
      <w:r>
        <w:rPr>
          <w:noProof/>
        </w:rPr>
        <w:fldChar w:fldCharType="begin"/>
      </w:r>
      <w:r>
        <w:rPr>
          <w:noProof/>
        </w:rPr>
        <w:instrText xml:space="preserve"> PAGEREF _Toc499753565 \h </w:instrText>
      </w:r>
      <w:r>
        <w:rPr>
          <w:noProof/>
        </w:rPr>
      </w:r>
      <w:r>
        <w:rPr>
          <w:noProof/>
        </w:rPr>
        <w:fldChar w:fldCharType="separate"/>
      </w:r>
      <w:r>
        <w:rPr>
          <w:noProof/>
        </w:rPr>
        <w:t>185</w:t>
      </w:r>
      <w:r>
        <w:rPr>
          <w:noProof/>
        </w:rPr>
        <w:fldChar w:fldCharType="end"/>
      </w:r>
    </w:p>
    <w:p w14:paraId="46474EB7" w14:textId="2CCCA300" w:rsidR="00CB6FF6" w:rsidRDefault="00CB6FF6" w:rsidP="00CB6FF6">
      <w:pPr>
        <w:pStyle w:val="TableofFigures"/>
        <w:tabs>
          <w:tab w:val="right" w:leader="dot" w:pos="7858"/>
        </w:tabs>
        <w:rPr>
          <w:rFonts w:asciiTheme="minorHAnsi" w:eastAsiaTheme="minorEastAsia" w:hAnsiTheme="minorHAnsi" w:cstheme="minorBidi"/>
          <w:noProof/>
          <w:sz w:val="24"/>
          <w:szCs w:val="24"/>
          <w:lang w:eastAsia="en-GB"/>
        </w:rPr>
      </w:pPr>
      <w:r>
        <w:rPr>
          <w:noProof/>
        </w:rPr>
        <w:t xml:space="preserve">Figure 9.6: Clustering the </w:t>
      </w:r>
      <w:r w:rsidRPr="005C28E7">
        <w:rPr>
          <w:i/>
          <w:noProof/>
        </w:rPr>
        <w:t>Polychronicon</w:t>
      </w:r>
      <w:r>
        <w:rPr>
          <w:noProof/>
        </w:rPr>
        <w:t xml:space="preserve">, </w:t>
      </w:r>
      <w:r w:rsidRPr="005C28E7">
        <w:rPr>
          <w:i/>
          <w:noProof/>
        </w:rPr>
        <w:t>k</w:t>
      </w:r>
      <w:r>
        <w:rPr>
          <w:noProof/>
        </w:rPr>
        <w:t xml:space="preserve"> = 6</w:t>
      </w:r>
      <w:r>
        <w:rPr>
          <w:noProof/>
        </w:rPr>
        <w:tab/>
      </w:r>
      <w:r>
        <w:rPr>
          <w:noProof/>
        </w:rPr>
        <w:fldChar w:fldCharType="begin"/>
      </w:r>
      <w:r>
        <w:rPr>
          <w:noProof/>
        </w:rPr>
        <w:instrText xml:space="preserve"> PAGEREF _Toc499753566 \h </w:instrText>
      </w:r>
      <w:r>
        <w:rPr>
          <w:noProof/>
        </w:rPr>
      </w:r>
      <w:r>
        <w:rPr>
          <w:noProof/>
        </w:rPr>
        <w:fldChar w:fldCharType="separate"/>
      </w:r>
      <w:r>
        <w:rPr>
          <w:noProof/>
        </w:rPr>
        <w:t>187</w:t>
      </w:r>
      <w:r>
        <w:rPr>
          <w:noProof/>
        </w:rPr>
        <w:fldChar w:fldCharType="end"/>
      </w:r>
    </w:p>
    <w:p w14:paraId="38A39E7E" w14:textId="5CE9F199" w:rsidR="00CB6FF6" w:rsidRDefault="00CB6FF6" w:rsidP="00CB6FF6">
      <w:pPr>
        <w:pStyle w:val="TableofFigures"/>
        <w:tabs>
          <w:tab w:val="right" w:leader="dot" w:pos="7858"/>
        </w:tabs>
        <w:rPr>
          <w:rFonts w:asciiTheme="minorHAnsi" w:eastAsiaTheme="minorEastAsia" w:hAnsiTheme="minorHAnsi" w:cstheme="minorBidi"/>
          <w:noProof/>
          <w:sz w:val="24"/>
          <w:szCs w:val="24"/>
          <w:lang w:eastAsia="en-GB"/>
        </w:rPr>
      </w:pPr>
      <w:r>
        <w:rPr>
          <w:noProof/>
        </w:rPr>
        <w:t>Figure 9.7: Hierarchical clustering of the Liber Ultimus and the 1419 continuation</w:t>
      </w:r>
      <w:r>
        <w:rPr>
          <w:noProof/>
        </w:rPr>
        <w:tab/>
      </w:r>
      <w:r>
        <w:rPr>
          <w:noProof/>
        </w:rPr>
        <w:fldChar w:fldCharType="begin"/>
      </w:r>
      <w:r>
        <w:rPr>
          <w:noProof/>
        </w:rPr>
        <w:instrText xml:space="preserve"> PAGEREF _Toc499753567 \h </w:instrText>
      </w:r>
      <w:r>
        <w:rPr>
          <w:noProof/>
        </w:rPr>
      </w:r>
      <w:r>
        <w:rPr>
          <w:noProof/>
        </w:rPr>
        <w:fldChar w:fldCharType="separate"/>
      </w:r>
      <w:r>
        <w:rPr>
          <w:noProof/>
        </w:rPr>
        <w:t>188</w:t>
      </w:r>
      <w:r>
        <w:rPr>
          <w:noProof/>
        </w:rPr>
        <w:fldChar w:fldCharType="end"/>
      </w:r>
    </w:p>
    <w:p w14:paraId="2E207545" w14:textId="65AE393B" w:rsidR="00DB2710" w:rsidRDefault="00CB6FF6" w:rsidP="00DB2710">
      <w:pPr>
        <w:pStyle w:val="TableofFigures"/>
        <w:tabs>
          <w:tab w:val="right" w:leader="dot" w:pos="7858"/>
        </w:tabs>
        <w:rPr>
          <w:noProof/>
        </w:rPr>
      </w:pPr>
      <w:r>
        <w:rPr>
          <w:noProof/>
        </w:rPr>
        <w:t>Table 9.8</w:t>
      </w:r>
      <w:r w:rsidR="00DB2710">
        <w:rPr>
          <w:noProof/>
        </w:rPr>
        <w:t>: Similarity of the Liber Ultimus and the 1419 continuation</w:t>
      </w:r>
      <w:r w:rsidR="00DB2710">
        <w:rPr>
          <w:noProof/>
        </w:rPr>
        <w:tab/>
        <w:t>189</w:t>
      </w:r>
    </w:p>
    <w:p w14:paraId="3898789E" w14:textId="2EC8DF50" w:rsidR="00CB6FF6" w:rsidRDefault="00CB6FF6" w:rsidP="00CB6FF6">
      <w:pPr>
        <w:pStyle w:val="TableofFigures"/>
        <w:tabs>
          <w:tab w:val="right" w:leader="dot" w:pos="7858"/>
        </w:tabs>
        <w:rPr>
          <w:rFonts w:asciiTheme="minorHAnsi" w:eastAsiaTheme="minorEastAsia" w:hAnsiTheme="minorHAnsi" w:cstheme="minorBidi"/>
          <w:noProof/>
          <w:sz w:val="24"/>
          <w:szCs w:val="24"/>
          <w:lang w:eastAsia="en-GB"/>
        </w:rPr>
      </w:pPr>
      <w:r>
        <w:rPr>
          <w:noProof/>
        </w:rPr>
        <w:t xml:space="preserve">Figure 9.9: Clustering </w:t>
      </w:r>
      <w:r w:rsidRPr="005C28E7">
        <w:rPr>
          <w:i/>
          <w:noProof/>
        </w:rPr>
        <w:t>Paris and Vienne</w:t>
      </w:r>
      <w:r>
        <w:rPr>
          <w:noProof/>
        </w:rPr>
        <w:t xml:space="preserve"> with texts that were translated by Caxton</w:t>
      </w:r>
      <w:r>
        <w:rPr>
          <w:noProof/>
        </w:rPr>
        <w:tab/>
      </w:r>
      <w:r>
        <w:rPr>
          <w:noProof/>
        </w:rPr>
        <w:fldChar w:fldCharType="begin"/>
      </w:r>
      <w:r>
        <w:rPr>
          <w:noProof/>
        </w:rPr>
        <w:instrText xml:space="preserve"> PAGEREF _Toc499753568 \h </w:instrText>
      </w:r>
      <w:r>
        <w:rPr>
          <w:noProof/>
        </w:rPr>
      </w:r>
      <w:r>
        <w:rPr>
          <w:noProof/>
        </w:rPr>
        <w:fldChar w:fldCharType="separate"/>
      </w:r>
      <w:r>
        <w:rPr>
          <w:noProof/>
        </w:rPr>
        <w:t>191</w:t>
      </w:r>
      <w:r>
        <w:rPr>
          <w:noProof/>
        </w:rPr>
        <w:fldChar w:fldCharType="end"/>
      </w:r>
    </w:p>
    <w:p w14:paraId="4C580769" w14:textId="74D5C2DC" w:rsidR="00CB6FF6" w:rsidRDefault="00CB6FF6" w:rsidP="00CB6FF6">
      <w:pPr>
        <w:pStyle w:val="TableofFigures"/>
        <w:tabs>
          <w:tab w:val="right" w:leader="dot" w:pos="7858"/>
        </w:tabs>
        <w:rPr>
          <w:rFonts w:asciiTheme="minorHAnsi" w:eastAsiaTheme="minorEastAsia" w:hAnsiTheme="minorHAnsi" w:cstheme="minorBidi"/>
          <w:noProof/>
          <w:sz w:val="24"/>
          <w:szCs w:val="24"/>
          <w:lang w:eastAsia="en-GB"/>
        </w:rPr>
      </w:pPr>
      <w:r>
        <w:rPr>
          <w:noProof/>
        </w:rPr>
        <w:t xml:space="preserve">Figure 9.10: Clustering </w:t>
      </w:r>
      <w:r w:rsidRPr="005C28E7">
        <w:rPr>
          <w:i/>
          <w:noProof/>
        </w:rPr>
        <w:t>Paris and Vienne</w:t>
      </w:r>
      <w:r>
        <w:rPr>
          <w:noProof/>
        </w:rPr>
        <w:t xml:space="preserve"> with reduced number of spellings</w:t>
      </w:r>
      <w:r>
        <w:rPr>
          <w:noProof/>
        </w:rPr>
        <w:tab/>
      </w:r>
      <w:r>
        <w:rPr>
          <w:noProof/>
        </w:rPr>
        <w:fldChar w:fldCharType="begin"/>
      </w:r>
      <w:r>
        <w:rPr>
          <w:noProof/>
        </w:rPr>
        <w:instrText xml:space="preserve"> PAGEREF _Toc499753569 \h </w:instrText>
      </w:r>
      <w:r>
        <w:rPr>
          <w:noProof/>
        </w:rPr>
      </w:r>
      <w:r>
        <w:rPr>
          <w:noProof/>
        </w:rPr>
        <w:fldChar w:fldCharType="separate"/>
      </w:r>
      <w:r>
        <w:rPr>
          <w:noProof/>
        </w:rPr>
        <w:t>192</w:t>
      </w:r>
      <w:r>
        <w:rPr>
          <w:noProof/>
        </w:rPr>
        <w:fldChar w:fldCharType="end"/>
      </w:r>
    </w:p>
    <w:p w14:paraId="2E3F9C2D" w14:textId="2A0AF52B" w:rsidR="00DB2710" w:rsidRDefault="00CB6FF6" w:rsidP="00DB2710">
      <w:pPr>
        <w:pStyle w:val="TableofFigures"/>
        <w:tabs>
          <w:tab w:val="right" w:leader="dot" w:pos="7858"/>
        </w:tabs>
        <w:rPr>
          <w:noProof/>
        </w:rPr>
      </w:pPr>
      <w:r>
        <w:rPr>
          <w:noProof/>
        </w:rPr>
        <w:lastRenderedPageBreak/>
        <w:t>Table 9.11</w:t>
      </w:r>
      <w:r w:rsidR="00DB2710">
        <w:rPr>
          <w:noProof/>
        </w:rPr>
        <w:t xml:space="preserve">: Similarity measurements between </w:t>
      </w:r>
      <w:r w:rsidR="00DB2710" w:rsidRPr="00DB2710">
        <w:rPr>
          <w:i/>
          <w:noProof/>
        </w:rPr>
        <w:t xml:space="preserve">Paris and Vienne </w:t>
      </w:r>
      <w:r w:rsidR="00DB2710">
        <w:rPr>
          <w:noProof/>
        </w:rPr>
        <w:t>and similar texts</w:t>
      </w:r>
      <w:r w:rsidR="00DB2710">
        <w:rPr>
          <w:noProof/>
        </w:rPr>
        <w:tab/>
        <w:t>193</w:t>
      </w:r>
    </w:p>
    <w:p w14:paraId="2740FF4C" w14:textId="45DAD517" w:rsidR="00CB6FF6" w:rsidRDefault="00CB6FF6" w:rsidP="00CB6FF6">
      <w:pPr>
        <w:pStyle w:val="TableofFigures"/>
        <w:tabs>
          <w:tab w:val="right" w:leader="dot" w:pos="7858"/>
        </w:tabs>
        <w:rPr>
          <w:rFonts w:asciiTheme="minorHAnsi" w:eastAsiaTheme="minorEastAsia" w:hAnsiTheme="minorHAnsi" w:cstheme="minorBidi"/>
          <w:noProof/>
          <w:sz w:val="24"/>
          <w:szCs w:val="24"/>
          <w:lang w:eastAsia="en-GB"/>
        </w:rPr>
      </w:pPr>
      <w:r>
        <w:rPr>
          <w:noProof/>
        </w:rPr>
        <w:t>Figure 9.12: Hierarchical clustering of Caxton’s prologues and epilogues</w:t>
      </w:r>
      <w:r>
        <w:rPr>
          <w:noProof/>
        </w:rPr>
        <w:tab/>
      </w:r>
      <w:r>
        <w:rPr>
          <w:noProof/>
        </w:rPr>
        <w:fldChar w:fldCharType="begin"/>
      </w:r>
      <w:r>
        <w:rPr>
          <w:noProof/>
        </w:rPr>
        <w:instrText xml:space="preserve"> PAGEREF _Toc499753570 \h </w:instrText>
      </w:r>
      <w:r>
        <w:rPr>
          <w:noProof/>
        </w:rPr>
      </w:r>
      <w:r>
        <w:rPr>
          <w:noProof/>
        </w:rPr>
        <w:fldChar w:fldCharType="separate"/>
      </w:r>
      <w:r>
        <w:rPr>
          <w:noProof/>
        </w:rPr>
        <w:t>195</w:t>
      </w:r>
      <w:r>
        <w:rPr>
          <w:noProof/>
        </w:rPr>
        <w:fldChar w:fldCharType="end"/>
      </w:r>
    </w:p>
    <w:p w14:paraId="038EC747" w14:textId="167E57B8" w:rsidR="00CB6FF6" w:rsidRDefault="00CB6FF6" w:rsidP="00CB6FF6">
      <w:pPr>
        <w:pStyle w:val="TableofFigures"/>
        <w:tabs>
          <w:tab w:val="right" w:leader="dot" w:pos="7858"/>
        </w:tabs>
        <w:rPr>
          <w:rFonts w:asciiTheme="minorHAnsi" w:eastAsiaTheme="minorEastAsia" w:hAnsiTheme="minorHAnsi" w:cstheme="minorBidi"/>
          <w:noProof/>
          <w:sz w:val="24"/>
          <w:szCs w:val="24"/>
          <w:lang w:eastAsia="en-GB"/>
        </w:rPr>
      </w:pPr>
      <w:r>
        <w:rPr>
          <w:noProof/>
        </w:rPr>
        <w:t>Figure 9.13: Hierarchical clustering of Caxton's texts into two clusters</w:t>
      </w:r>
      <w:r>
        <w:rPr>
          <w:noProof/>
        </w:rPr>
        <w:tab/>
      </w:r>
      <w:r>
        <w:rPr>
          <w:noProof/>
        </w:rPr>
        <w:fldChar w:fldCharType="begin"/>
      </w:r>
      <w:r>
        <w:rPr>
          <w:noProof/>
        </w:rPr>
        <w:instrText xml:space="preserve"> PAGEREF _Toc499753571 \h </w:instrText>
      </w:r>
      <w:r>
        <w:rPr>
          <w:noProof/>
        </w:rPr>
      </w:r>
      <w:r>
        <w:rPr>
          <w:noProof/>
        </w:rPr>
        <w:fldChar w:fldCharType="separate"/>
      </w:r>
      <w:r>
        <w:rPr>
          <w:noProof/>
        </w:rPr>
        <w:t>196</w:t>
      </w:r>
      <w:r>
        <w:rPr>
          <w:noProof/>
        </w:rPr>
        <w:fldChar w:fldCharType="end"/>
      </w:r>
    </w:p>
    <w:p w14:paraId="177F98E8" w14:textId="77D585EF" w:rsidR="00CB6FF6" w:rsidRDefault="00CB6FF6" w:rsidP="00CB6FF6">
      <w:pPr>
        <w:pStyle w:val="TableofFigures"/>
        <w:tabs>
          <w:tab w:val="right" w:leader="dot" w:pos="7858"/>
        </w:tabs>
        <w:rPr>
          <w:rFonts w:asciiTheme="minorHAnsi" w:eastAsiaTheme="minorEastAsia" w:hAnsiTheme="minorHAnsi" w:cstheme="minorBidi"/>
          <w:noProof/>
          <w:sz w:val="24"/>
          <w:szCs w:val="24"/>
          <w:lang w:eastAsia="en-GB"/>
        </w:rPr>
      </w:pPr>
      <w:r>
        <w:rPr>
          <w:noProof/>
        </w:rPr>
        <w:t>Figure 9.14: Hierarchical clustering of the Liber Ultimus and the 1419 continuation</w:t>
      </w:r>
      <w:r>
        <w:rPr>
          <w:noProof/>
        </w:rPr>
        <w:tab/>
      </w:r>
      <w:r>
        <w:rPr>
          <w:noProof/>
        </w:rPr>
        <w:fldChar w:fldCharType="begin"/>
      </w:r>
      <w:r>
        <w:rPr>
          <w:noProof/>
        </w:rPr>
        <w:instrText xml:space="preserve"> PAGEREF _Toc499753572 \h </w:instrText>
      </w:r>
      <w:r>
        <w:rPr>
          <w:noProof/>
        </w:rPr>
      </w:r>
      <w:r>
        <w:rPr>
          <w:noProof/>
        </w:rPr>
        <w:fldChar w:fldCharType="separate"/>
      </w:r>
      <w:r>
        <w:rPr>
          <w:noProof/>
        </w:rPr>
        <w:t>197</w:t>
      </w:r>
      <w:r>
        <w:rPr>
          <w:noProof/>
        </w:rPr>
        <w:fldChar w:fldCharType="end"/>
      </w:r>
    </w:p>
    <w:p w14:paraId="1519B2E8" w14:textId="64200282" w:rsidR="00CB6FF6" w:rsidRDefault="00CB6FF6" w:rsidP="00CB6FF6">
      <w:pPr>
        <w:pStyle w:val="TableofFigures"/>
        <w:tabs>
          <w:tab w:val="right" w:leader="dot" w:pos="7858"/>
        </w:tabs>
        <w:rPr>
          <w:rFonts w:asciiTheme="minorHAnsi" w:eastAsiaTheme="minorEastAsia" w:hAnsiTheme="minorHAnsi" w:cstheme="minorBidi"/>
          <w:noProof/>
          <w:sz w:val="24"/>
          <w:szCs w:val="24"/>
          <w:lang w:eastAsia="en-GB"/>
        </w:rPr>
      </w:pPr>
      <w:r>
        <w:rPr>
          <w:noProof/>
        </w:rPr>
        <w:t xml:space="preserve">Figure 9.15: </w:t>
      </w:r>
      <w:r w:rsidRPr="005C28E7">
        <w:rPr>
          <w:i/>
          <w:noProof/>
        </w:rPr>
        <w:t>Golden Legend</w:t>
      </w:r>
      <w:r>
        <w:rPr>
          <w:noProof/>
        </w:rPr>
        <w:t xml:space="preserve"> clusters divided by imprint</w:t>
      </w:r>
      <w:r>
        <w:rPr>
          <w:noProof/>
        </w:rPr>
        <w:tab/>
      </w:r>
      <w:r>
        <w:rPr>
          <w:noProof/>
        </w:rPr>
        <w:fldChar w:fldCharType="begin"/>
      </w:r>
      <w:r>
        <w:rPr>
          <w:noProof/>
        </w:rPr>
        <w:instrText xml:space="preserve"> PAGEREF _Toc499753573 \h </w:instrText>
      </w:r>
      <w:r>
        <w:rPr>
          <w:noProof/>
        </w:rPr>
      </w:r>
      <w:r>
        <w:rPr>
          <w:noProof/>
        </w:rPr>
        <w:fldChar w:fldCharType="separate"/>
      </w:r>
      <w:r>
        <w:rPr>
          <w:noProof/>
        </w:rPr>
        <w:t>199</w:t>
      </w:r>
      <w:r>
        <w:rPr>
          <w:noProof/>
        </w:rPr>
        <w:fldChar w:fldCharType="end"/>
      </w:r>
    </w:p>
    <w:p w14:paraId="15F131B8" w14:textId="2A1CB19D" w:rsidR="00CB6FF6" w:rsidRDefault="00CB6FF6" w:rsidP="00CB6FF6">
      <w:pPr>
        <w:pStyle w:val="TableofFigures"/>
        <w:tabs>
          <w:tab w:val="right" w:leader="dot" w:pos="7858"/>
        </w:tabs>
        <w:rPr>
          <w:rFonts w:asciiTheme="minorHAnsi" w:eastAsiaTheme="minorEastAsia" w:hAnsiTheme="minorHAnsi" w:cstheme="minorBidi"/>
          <w:noProof/>
          <w:sz w:val="24"/>
          <w:szCs w:val="24"/>
          <w:lang w:eastAsia="en-GB"/>
        </w:rPr>
      </w:pPr>
      <w:r>
        <w:rPr>
          <w:noProof/>
        </w:rPr>
        <w:t>Figure 9.16: Hierarchical clustering of Caxton's texts into four clusters</w:t>
      </w:r>
      <w:r>
        <w:rPr>
          <w:noProof/>
        </w:rPr>
        <w:tab/>
      </w:r>
      <w:r>
        <w:rPr>
          <w:noProof/>
        </w:rPr>
        <w:fldChar w:fldCharType="begin"/>
      </w:r>
      <w:r>
        <w:rPr>
          <w:noProof/>
        </w:rPr>
        <w:instrText xml:space="preserve"> PAGEREF _Toc499753574 \h </w:instrText>
      </w:r>
      <w:r>
        <w:rPr>
          <w:noProof/>
        </w:rPr>
      </w:r>
      <w:r>
        <w:rPr>
          <w:noProof/>
        </w:rPr>
        <w:fldChar w:fldCharType="separate"/>
      </w:r>
      <w:r>
        <w:rPr>
          <w:noProof/>
        </w:rPr>
        <w:t>201</w:t>
      </w:r>
      <w:r>
        <w:rPr>
          <w:noProof/>
        </w:rPr>
        <w:fldChar w:fldCharType="end"/>
      </w:r>
    </w:p>
    <w:p w14:paraId="610D259A" w14:textId="1C24416E" w:rsidR="00CB6FF6" w:rsidRDefault="00CB6FF6" w:rsidP="00CB6FF6">
      <w:pPr>
        <w:pStyle w:val="TableofFigures"/>
        <w:tabs>
          <w:tab w:val="right" w:leader="dot" w:pos="7858"/>
        </w:tabs>
        <w:rPr>
          <w:rFonts w:asciiTheme="minorHAnsi" w:eastAsiaTheme="minorEastAsia" w:hAnsiTheme="minorHAnsi" w:cstheme="minorBidi"/>
          <w:noProof/>
          <w:sz w:val="24"/>
          <w:szCs w:val="24"/>
          <w:lang w:eastAsia="en-GB"/>
        </w:rPr>
      </w:pPr>
      <w:r>
        <w:rPr>
          <w:noProof/>
        </w:rPr>
        <w:t xml:space="preserve">Figure 9.17: Hierarchical clustering of the </w:t>
      </w:r>
      <w:r w:rsidRPr="005C28E7">
        <w:rPr>
          <w:i/>
          <w:noProof/>
        </w:rPr>
        <w:t>Golden Legend</w:t>
      </w:r>
      <w:r>
        <w:rPr>
          <w:noProof/>
        </w:rPr>
        <w:tab/>
      </w:r>
      <w:r>
        <w:rPr>
          <w:noProof/>
        </w:rPr>
        <w:fldChar w:fldCharType="begin"/>
      </w:r>
      <w:r>
        <w:rPr>
          <w:noProof/>
        </w:rPr>
        <w:instrText xml:space="preserve"> PAGEREF _Toc499753575 \h </w:instrText>
      </w:r>
      <w:r>
        <w:rPr>
          <w:noProof/>
        </w:rPr>
      </w:r>
      <w:r>
        <w:rPr>
          <w:noProof/>
        </w:rPr>
        <w:fldChar w:fldCharType="separate"/>
      </w:r>
      <w:r>
        <w:rPr>
          <w:noProof/>
        </w:rPr>
        <w:t>202</w:t>
      </w:r>
      <w:r>
        <w:rPr>
          <w:noProof/>
        </w:rPr>
        <w:fldChar w:fldCharType="end"/>
      </w:r>
    </w:p>
    <w:p w14:paraId="506862E8" w14:textId="0D397652" w:rsidR="00CB6FF6" w:rsidRDefault="00CB6FF6" w:rsidP="00CB6FF6">
      <w:pPr>
        <w:pStyle w:val="TableofFigures"/>
        <w:tabs>
          <w:tab w:val="right" w:leader="dot" w:pos="7858"/>
        </w:tabs>
        <w:rPr>
          <w:rFonts w:asciiTheme="minorHAnsi" w:eastAsiaTheme="minorEastAsia" w:hAnsiTheme="minorHAnsi" w:cstheme="minorBidi"/>
          <w:noProof/>
          <w:sz w:val="24"/>
          <w:szCs w:val="24"/>
          <w:lang w:eastAsia="en-GB"/>
        </w:rPr>
      </w:pPr>
      <w:r>
        <w:rPr>
          <w:noProof/>
        </w:rPr>
        <w:t>Figure 9.18: Hierarchical clustering of all subsections of text and whole texts</w:t>
      </w:r>
      <w:r>
        <w:rPr>
          <w:noProof/>
        </w:rPr>
        <w:tab/>
      </w:r>
      <w:r>
        <w:rPr>
          <w:noProof/>
        </w:rPr>
        <w:fldChar w:fldCharType="begin"/>
      </w:r>
      <w:r>
        <w:rPr>
          <w:noProof/>
        </w:rPr>
        <w:instrText xml:space="preserve"> PAGEREF _Toc499753576 \h </w:instrText>
      </w:r>
      <w:r>
        <w:rPr>
          <w:noProof/>
        </w:rPr>
      </w:r>
      <w:r>
        <w:rPr>
          <w:noProof/>
        </w:rPr>
        <w:fldChar w:fldCharType="separate"/>
      </w:r>
      <w:r>
        <w:rPr>
          <w:noProof/>
        </w:rPr>
        <w:t>204</w:t>
      </w:r>
      <w:r>
        <w:rPr>
          <w:noProof/>
        </w:rPr>
        <w:fldChar w:fldCharType="end"/>
      </w:r>
    </w:p>
    <w:p w14:paraId="352B0506" w14:textId="143AEDF6" w:rsidR="00B87983" w:rsidRDefault="00CB6FF6" w:rsidP="00DB2710">
      <w:pPr>
        <w:pStyle w:val="TableofFigures"/>
        <w:tabs>
          <w:tab w:val="right" w:leader="dot" w:pos="7858"/>
        </w:tabs>
        <w:rPr>
          <w:rFonts w:asciiTheme="minorHAnsi" w:eastAsiaTheme="minorEastAsia" w:hAnsiTheme="minorHAnsi" w:cstheme="minorBidi"/>
          <w:noProof/>
          <w:sz w:val="24"/>
          <w:szCs w:val="24"/>
          <w:lang w:eastAsia="en-GB"/>
        </w:rPr>
      </w:pPr>
      <w:r>
        <w:rPr>
          <w:noProof/>
        </w:rPr>
        <w:t>Table 9.19</w:t>
      </w:r>
      <w:r w:rsidR="00DB2710">
        <w:rPr>
          <w:noProof/>
        </w:rPr>
        <w:t>: Similarity scores for texts typeset by one compositor</w:t>
      </w:r>
      <w:r w:rsidR="00DB2710">
        <w:rPr>
          <w:noProof/>
        </w:rPr>
        <w:tab/>
        <w:t>205</w:t>
      </w:r>
    </w:p>
    <w:p w14:paraId="57564494" w14:textId="33C7A4F9" w:rsidR="00143EC8" w:rsidRDefault="009A379A" w:rsidP="00CB6FF6">
      <w:pPr>
        <w:pStyle w:val="TableofFigures"/>
        <w:ind w:left="1080" w:hanging="1080"/>
      </w:pPr>
      <w:r>
        <w:fldChar w:fldCharType="end"/>
      </w:r>
    </w:p>
    <w:p w14:paraId="79B71E9A" w14:textId="77777777" w:rsidR="00E01680" w:rsidRDefault="00E01680" w:rsidP="000737CB"/>
    <w:p w14:paraId="2391C0C7" w14:textId="77777777" w:rsidR="00E01680" w:rsidRDefault="00E01680" w:rsidP="000737CB"/>
    <w:p w14:paraId="299D520F" w14:textId="77777777" w:rsidR="00E01680" w:rsidRDefault="00E01680" w:rsidP="000737CB"/>
    <w:p w14:paraId="2AE99B9F" w14:textId="77777777" w:rsidR="00E01680" w:rsidRDefault="00E01680" w:rsidP="000737CB">
      <w:pPr>
        <w:sectPr w:rsidR="00E01680" w:rsidSect="00BB5184">
          <w:footerReference w:type="default" r:id="rId11"/>
          <w:pgSz w:w="11900" w:h="16840"/>
          <w:pgMar w:top="1440" w:right="1440" w:bottom="1440" w:left="1440" w:header="720" w:footer="1008" w:gutter="1152"/>
          <w:pgNumType w:fmt="lowerRoman" w:start="1"/>
          <w:cols w:space="720"/>
          <w:docGrid w:linePitch="360"/>
        </w:sectPr>
      </w:pPr>
    </w:p>
    <w:p w14:paraId="43D9EDC9" w14:textId="48D80DB2" w:rsidR="00E01680" w:rsidRDefault="00E01680" w:rsidP="00173DDA">
      <w:pPr>
        <w:pStyle w:val="Heading1"/>
      </w:pPr>
      <w:bookmarkStart w:id="7" w:name="_Toc497899828"/>
      <w:r w:rsidRPr="007D3676">
        <w:lastRenderedPageBreak/>
        <w:t>Introduction</w:t>
      </w:r>
      <w:bookmarkEnd w:id="7"/>
    </w:p>
    <w:p w14:paraId="6DB28EA3" w14:textId="6D5740AA" w:rsidR="00243E39" w:rsidRDefault="00243E39" w:rsidP="00243E39">
      <w:r>
        <w:t xml:space="preserve">This thesis explores the spelling variation in the texts printed by William Caxton (c. 1422-1491), against the background of claims of Caxton’s prominence as a printer and of his subsequent impact on the English language. I take a novel approach to the study of spellings in Caxton’s texts; this research presents new quantitative methods for the exploration of spelling variation, which I designed and optimised for use on early printed books. The quantitative methods used in this study </w:t>
      </w:r>
      <w:r w:rsidR="007A5994">
        <w:t xml:space="preserve">are data-driven and take all the spellings in Caxton’s texts into account. These methods </w:t>
      </w:r>
      <w:r>
        <w:t>enable us to see where in a text a change of spellings takes place, and the extent to which the spellings differ between sections of text. It is well known that scribes transmit their own spellings through the</w:t>
      </w:r>
      <w:r w:rsidR="00883D09">
        <w:t xml:space="preserve"> manuscript</w:t>
      </w:r>
      <w:r>
        <w:t xml:space="preserve"> texts that they copied (Benskin &amp; Laing 1981). Through the application of these quantitative methods I show that, like manuscripts, Caxton’s texts are not made up of the spellings of just one person, but that they contain spellings from a </w:t>
      </w:r>
      <w:r w:rsidR="00883D09">
        <w:t>number</w:t>
      </w:r>
      <w:r>
        <w:t xml:space="preserve"> of other people who were involved in the creation of these texts—specifically the compositors who set the type and the scribes who wrote the copy text.</w:t>
      </w:r>
      <w:r w:rsidRPr="008F47E8">
        <w:t xml:space="preserve"> </w:t>
      </w:r>
      <w:r>
        <w:t xml:space="preserve">By linking the spellings in Caxton’s texts to these individual people, I explore spelling variation at the level of idiolect and I argue that all spellings are of equal importance when establishing whether a change in idiolect takes place within a text. In doing so, this thesis </w:t>
      </w:r>
      <w:r w:rsidR="00883D09">
        <w:t>reassesses</w:t>
      </w:r>
      <w:r>
        <w:t xml:space="preserve"> the </w:t>
      </w:r>
      <w:r w:rsidR="00883D09">
        <w:t>state and significance</w:t>
      </w:r>
      <w:r>
        <w:t xml:space="preserve"> of fifteenth-century spelling variation </w:t>
      </w:r>
      <w:r w:rsidR="00883D09">
        <w:t>as evidenced by English incunabula</w:t>
      </w:r>
      <w:r>
        <w:t>.</w:t>
      </w:r>
    </w:p>
    <w:p w14:paraId="6A2A85CA" w14:textId="2B014B82" w:rsidR="00243E39" w:rsidRDefault="00243E39" w:rsidP="00243E39">
      <w:r>
        <w:t xml:space="preserve">Through the use of spelling data, this research also explores the processes used in Caxton’s printing house, and expands our knowledge of Caxton’s approach to editing and translation. In this study, the output from the quantitative methods is complemented by existing bibliographical knowledge for each text undergoing examination. Because Caxton’s texts include spellings from a </w:t>
      </w:r>
      <w:r w:rsidR="0016080A">
        <w:t>number</w:t>
      </w:r>
      <w:r>
        <w:t xml:space="preserve"> of people, in some cases the spellings—or idiolects—change partway through the text. The quantitative methods used in this study are designed to determine how many people were involved in the creation of a text, where in the text each of their work begins, and to what extent their spellings differ from one another. Bibliographical information (such as blank pages or differences in the use of type) is then used to suggest whether the change in spellings is because the text was typeset by more than one compositor, or because the compositor(s) used more than one copy text. By using spelling data in this way, this study explores the nature of the copy texts used in Caxton’s printing house, and the way in which the copy texts were divided for use by compositors. </w:t>
      </w:r>
    </w:p>
    <w:p w14:paraId="6EEAC294" w14:textId="2235DBB8" w:rsidR="00582281" w:rsidRDefault="002340BB" w:rsidP="00582281">
      <w:r>
        <w:t>This thesis is guided by three research questions:</w:t>
      </w:r>
      <w:r w:rsidR="00972312">
        <w:t xml:space="preserve"> (i) how does spelling variation operate at the level of the individual in fifteenth-century English</w:t>
      </w:r>
      <w:r>
        <w:t>?</w:t>
      </w:r>
      <w:r w:rsidR="00972312">
        <w:t xml:space="preserve"> </w:t>
      </w:r>
      <w:r>
        <w:t>(ii</w:t>
      </w:r>
      <w:r w:rsidR="00972312">
        <w:t xml:space="preserve">) what were Caxton’s </w:t>
      </w:r>
      <w:r w:rsidR="00972312">
        <w:lastRenderedPageBreak/>
        <w:t>practices as an editor and a translator?</w:t>
      </w:r>
      <w:r>
        <w:t xml:space="preserve"> and (iii) what quantitative methods are most suitable for investigating (i) and (ii)? </w:t>
      </w:r>
      <w:r w:rsidR="00BD1B04">
        <w:t>The rest of this</w:t>
      </w:r>
      <w:r w:rsidR="00582281">
        <w:t xml:space="preserve"> introduction provides </w:t>
      </w:r>
      <w:r w:rsidR="006E60C9">
        <w:t>a review and discussion of the</w:t>
      </w:r>
      <w:r w:rsidR="00582281">
        <w:t xml:space="preserve"> previous research into Caxton’s language and fifteenth-century spell</w:t>
      </w:r>
      <w:r w:rsidR="00174980">
        <w:t xml:space="preserve">ing variation, and situates the present study in its bibliographical and theoretical context before providing an outline for this thesis. </w:t>
      </w:r>
    </w:p>
    <w:p w14:paraId="513FD45D" w14:textId="77777777" w:rsidR="00582281" w:rsidRDefault="00582281" w:rsidP="00582281"/>
    <w:p w14:paraId="7A3CD952" w14:textId="346920DF" w:rsidR="00582281" w:rsidRDefault="00DF3B8E" w:rsidP="00582281">
      <w:pPr>
        <w:pStyle w:val="Heading2"/>
      </w:pPr>
      <w:r>
        <w:t>Caxton’s language</w:t>
      </w:r>
      <w:r w:rsidR="00582281">
        <w:t xml:space="preserve"> </w:t>
      </w:r>
    </w:p>
    <w:p w14:paraId="63C0D82D" w14:textId="58864FD7" w:rsidR="008D06CF" w:rsidRDefault="008D06CF" w:rsidP="00246EE2">
      <w:r w:rsidRPr="008D06CF">
        <w:t xml:space="preserve">Caxton’s influence has been linked to a multitude of roles. </w:t>
      </w:r>
      <w:r w:rsidR="00E263BF">
        <w:t>He</w:t>
      </w:r>
      <w:r w:rsidRPr="008D06CF">
        <w:t xml:space="preserve"> is known as an editor of the texts</w:t>
      </w:r>
      <w:r w:rsidR="00E263BF">
        <w:t xml:space="preserve"> that he printed (Shaklee 1980), and</w:t>
      </w:r>
      <w:r w:rsidRPr="008D06CF">
        <w:t xml:space="preserve"> a translator of texts (Scragg 1974); attention has </w:t>
      </w:r>
      <w:r w:rsidR="00E263BF">
        <w:t xml:space="preserve">also </w:t>
      </w:r>
      <w:r w:rsidRPr="008D06CF">
        <w:t>been drawn to Caxton’s role as a publisher through reference to his position as “a preserver of the canon of Middle English writers” (Hotchkiss &amp; Robinson 2008:</w:t>
      </w:r>
      <w:r w:rsidR="00E7468F">
        <w:t xml:space="preserve"> </w:t>
      </w:r>
      <w:r w:rsidRPr="008D06CF">
        <w:t xml:space="preserve">5–6); finally, </w:t>
      </w:r>
      <w:r w:rsidR="005B60B8">
        <w:t xml:space="preserve">Upward and Davidson </w:t>
      </w:r>
      <w:r w:rsidR="005B60B8" w:rsidRPr="008D06CF">
        <w:t>(2011:</w:t>
      </w:r>
      <w:r w:rsidR="005B60B8">
        <w:t xml:space="preserve"> 84) consider Caxton’</w:t>
      </w:r>
      <w:r w:rsidR="00246EE2">
        <w:t xml:space="preserve">s role as being one of a codifier, stating </w:t>
      </w:r>
      <w:r w:rsidRPr="008D06CF">
        <w:t>that “Caxton’s role . . . was crucial” in the confirmation of Sta</w:t>
      </w:r>
      <w:r w:rsidR="005B60B8">
        <w:t>ndard English</w:t>
      </w:r>
      <w:r w:rsidRPr="008D06CF">
        <w:t xml:space="preserve">. Each of these roles gives Caxton active agency in creating the texts that come from his printing house, though </w:t>
      </w:r>
      <w:r w:rsidR="009E4160">
        <w:t xml:space="preserve">the precise nature of </w:t>
      </w:r>
      <w:r>
        <w:t xml:space="preserve">Caxton’s role in the printing process and his practices </w:t>
      </w:r>
      <w:r w:rsidR="009E4160">
        <w:t>regarding</w:t>
      </w:r>
      <w:r>
        <w:t xml:space="preserve"> translation and editing are not known.</w:t>
      </w:r>
    </w:p>
    <w:p w14:paraId="444FFC80" w14:textId="667C3800" w:rsidR="00EE6313" w:rsidRPr="0021550A" w:rsidRDefault="00EE6313" w:rsidP="00EE6313">
      <w:r w:rsidRPr="0021550A">
        <w:t>Previous studies into Caxton’s involvement with the texts</w:t>
      </w:r>
      <w:r w:rsidR="007F3BE0">
        <w:t xml:space="preserve"> that</w:t>
      </w:r>
      <w:r w:rsidRPr="0021550A">
        <w:t xml:space="preserve"> he produced are wide-ranging in their scope, including research into the extent that Caxton’s work adheres to earlier manuscript editions of the same text, the quality of Caxton’s translations, </w:t>
      </w:r>
      <w:r>
        <w:t>and Caxton’s use of style and spellings</w:t>
      </w:r>
      <w:r w:rsidRPr="0021550A">
        <w:t xml:space="preserve">. Studies have focused on the extent to which printed editions of text mimic the manuscript editions on which they were based, </w:t>
      </w:r>
      <w:r>
        <w:t>finding that Caxton adheres to the visual appearance of the manuscripts that he based his prints on</w:t>
      </w:r>
      <w:r w:rsidR="00AE56FA">
        <w:t xml:space="preserve"> </w:t>
      </w:r>
      <w:r w:rsidR="00AE56FA" w:rsidRPr="00AE56FA">
        <w:t>(H</w:t>
      </w:r>
      <w:r w:rsidR="00AE56FA">
        <w:t xml:space="preserve">otchkiss </w:t>
      </w:r>
      <w:r w:rsidR="009206BD">
        <w:t>&amp;</w:t>
      </w:r>
      <w:r w:rsidR="00AE56FA">
        <w:t xml:space="preserve"> Robinson 2008</w:t>
      </w:r>
      <w:r w:rsidR="00E7468F">
        <w:t>,</w:t>
      </w:r>
      <w:r w:rsidR="00AE56FA">
        <w:t xml:space="preserve"> Driver </w:t>
      </w:r>
      <w:r w:rsidR="009206BD">
        <w:t>&amp;</w:t>
      </w:r>
      <w:r w:rsidR="00AE56FA">
        <w:t xml:space="preserve"> Orr 2011</w:t>
      </w:r>
      <w:r w:rsidR="00E7468F">
        <w:t>,</w:t>
      </w:r>
      <w:r w:rsidR="00AE56FA">
        <w:t xml:space="preserve"> Partridge 2011</w:t>
      </w:r>
      <w:r w:rsidR="00E7468F">
        <w:t>,</w:t>
      </w:r>
      <w:r w:rsidR="00AE56FA">
        <w:t xml:space="preserve"> Boffey</w:t>
      </w:r>
      <w:r w:rsidR="00AE56FA" w:rsidRPr="00AE56FA">
        <w:t xml:space="preserve"> 2014)</w:t>
      </w:r>
      <w:r w:rsidRPr="0021550A">
        <w:t xml:space="preserve">, </w:t>
      </w:r>
      <w:r w:rsidR="004A6AC7">
        <w:t>and that Caxton also tends to retain</w:t>
      </w:r>
      <w:r w:rsidRPr="0021550A">
        <w:t xml:space="preserve"> the style and intent </w:t>
      </w:r>
      <w:r w:rsidR="004A6AC7">
        <w:t>of the books that he translated</w:t>
      </w:r>
      <w:r w:rsidRPr="0021550A">
        <w:t xml:space="preserve"> </w:t>
      </w:r>
      <w:r w:rsidR="00E7468F">
        <w:t>(Blake 1976,</w:t>
      </w:r>
      <w:r w:rsidR="004A6AC7" w:rsidRPr="004A6AC7">
        <w:t xml:space="preserve"> Matheson 1985</w:t>
      </w:r>
      <w:r w:rsidR="00E7468F">
        <w:t>,</w:t>
      </w:r>
      <w:r w:rsidR="004A6AC7">
        <w:t xml:space="preserve"> </w:t>
      </w:r>
      <w:r w:rsidR="00E7468F">
        <w:t>Kindrick 1997, Matthews 1997a, Waldron 1999,</w:t>
      </w:r>
      <w:r w:rsidR="004A6AC7" w:rsidRPr="004A6AC7">
        <w:t xml:space="preserve"> Wakelin 2011</w:t>
      </w:r>
      <w:r w:rsidR="00E7468F">
        <w:t>,</w:t>
      </w:r>
      <w:r w:rsidR="004A6AC7" w:rsidRPr="004A6AC7">
        <w:t xml:space="preserve"> </w:t>
      </w:r>
      <w:r w:rsidR="004A6AC7">
        <w:t>Bordalejo 2014</w:t>
      </w:r>
      <w:r w:rsidR="004A6AC7" w:rsidRPr="004A6AC7">
        <w:t>)</w:t>
      </w:r>
      <w:r w:rsidRPr="0021550A">
        <w:t>. The results of these studies tend to show that Caxton was conscientious in making sure that his prints looked like the manu</w:t>
      </w:r>
      <w:r w:rsidR="00A52D47">
        <w:t>scripts that they were based on.</w:t>
      </w:r>
      <w:r w:rsidRPr="0021550A">
        <w:t xml:space="preserve"> </w:t>
      </w:r>
      <w:r w:rsidR="00A52D47">
        <w:t>H</w:t>
      </w:r>
      <w:r w:rsidR="004A6AC7">
        <w:t>owever</w:t>
      </w:r>
      <w:r w:rsidR="00A52D47">
        <w:t xml:space="preserve"> while the appearance of Caxton’s texts has been praised</w:t>
      </w:r>
      <w:r w:rsidR="00D21386">
        <w:t xml:space="preserve"> for their visual likeness to manuscripts</w:t>
      </w:r>
      <w:r w:rsidR="00A52D47">
        <w:t>,</w:t>
      </w:r>
      <w:r w:rsidR="004A6AC7">
        <w:t xml:space="preserve"> in contrast the quality of</w:t>
      </w:r>
      <w:r w:rsidRPr="0021550A">
        <w:t xml:space="preserve"> Caxton’s translations </w:t>
      </w:r>
      <w:r w:rsidR="00947022">
        <w:t>has</w:t>
      </w:r>
      <w:r w:rsidR="004A6AC7">
        <w:t xml:space="preserve"> been</w:t>
      </w:r>
      <w:r w:rsidRPr="0021550A">
        <w:t xml:space="preserve"> criticised as being hurried and careless </w:t>
      </w:r>
      <w:r w:rsidR="004A6AC7">
        <w:t>(Matthews 1997b).</w:t>
      </w:r>
    </w:p>
    <w:p w14:paraId="49A4D4BC" w14:textId="04C1BD91" w:rsidR="0021486C" w:rsidRDefault="00D21386" w:rsidP="00325E51">
      <w:r>
        <w:t>Studies</w:t>
      </w:r>
      <w:r w:rsidR="00EE6313" w:rsidRPr="0021550A">
        <w:t xml:space="preserve"> that relate to Caxton’s</w:t>
      </w:r>
      <w:r>
        <w:t xml:space="preserve"> language in his printed texts often include broad discussions of Caxton’s style of language.</w:t>
      </w:r>
      <w:r w:rsidR="00EE6313" w:rsidRPr="0021550A">
        <w:t xml:space="preserve"> </w:t>
      </w:r>
      <w:r>
        <w:t>Caxton’s</w:t>
      </w:r>
      <w:r w:rsidR="00EE6313" w:rsidRPr="0021550A">
        <w:t xml:space="preserve"> use of “curial style”</w:t>
      </w:r>
      <w:r>
        <w:t xml:space="preserve"> has been a focus for many of these discussions</w:t>
      </w:r>
      <w:r w:rsidR="006E60C9">
        <w:t xml:space="preserve">; curial style is </w:t>
      </w:r>
      <w:r w:rsidR="00EE6313" w:rsidRPr="0021550A">
        <w:t>a style of writing used in technical and legal documents in the fourteenth century</w:t>
      </w:r>
      <w:r w:rsidR="00A52D47">
        <w:t xml:space="preserve">. </w:t>
      </w:r>
      <w:r w:rsidR="00947022">
        <w:t>The</w:t>
      </w:r>
      <w:r w:rsidR="00A52D47">
        <w:t xml:space="preserve"> style was used</w:t>
      </w:r>
      <w:r w:rsidR="00EE6313" w:rsidRPr="0021550A">
        <w:t xml:space="preserve">, for example, by Chaucer in his </w:t>
      </w:r>
      <w:r w:rsidR="00EE6313" w:rsidRPr="0021550A">
        <w:rPr>
          <w:i/>
        </w:rPr>
        <w:t>Treatise on the Astrolabe</w:t>
      </w:r>
      <w:r w:rsidR="00EE6313" w:rsidRPr="0021550A">
        <w:t xml:space="preserve"> </w:t>
      </w:r>
      <w:r w:rsidR="00E7468F">
        <w:t>(Bornstien 1978, Eisner 1985,</w:t>
      </w:r>
      <w:r w:rsidR="00A52D47" w:rsidRPr="00A52D47">
        <w:t xml:space="preserve"> Burnley 1989)</w:t>
      </w:r>
      <w:r w:rsidR="00EE6313" w:rsidRPr="0021550A">
        <w:t xml:space="preserve">, and in statutes </w:t>
      </w:r>
      <w:r w:rsidR="00947022">
        <w:t xml:space="preserve">produced </w:t>
      </w:r>
      <w:r w:rsidR="00EE6313" w:rsidRPr="0021550A">
        <w:t xml:space="preserve">within the same time period </w:t>
      </w:r>
      <w:r w:rsidR="00A52D47" w:rsidRPr="00A52D47">
        <w:t>(Rissanen 2000)</w:t>
      </w:r>
      <w:r w:rsidR="00A52D47">
        <w:t xml:space="preserve">. By the fifteenth century, Caxton’s </w:t>
      </w:r>
      <w:r w:rsidR="00A52D47">
        <w:lastRenderedPageBreak/>
        <w:t xml:space="preserve">use of curial style was considered ceremonial and pretentious </w:t>
      </w:r>
      <w:r w:rsidR="00E7468F">
        <w:t>(Bornstien 1978, Burnley 1986,</w:t>
      </w:r>
      <w:r w:rsidR="00A52D47" w:rsidRPr="00A52D47">
        <w:t xml:space="preserve"> Dodd 2011)</w:t>
      </w:r>
      <w:r w:rsidR="00A52D47">
        <w:t>.</w:t>
      </w:r>
      <w:r>
        <w:t xml:space="preserve"> </w:t>
      </w:r>
    </w:p>
    <w:p w14:paraId="4B968547" w14:textId="66E55FD3" w:rsidR="00EE6313" w:rsidRPr="0021550A" w:rsidRDefault="00D21386" w:rsidP="00325E51">
      <w:r>
        <w:t xml:space="preserve">There have been some studies into the spellings used in Caxton’s texts already. </w:t>
      </w:r>
      <w:r w:rsidR="0021486C">
        <w:t xml:space="preserve">Fifteenth-century English spelling was variable, that is, words were often represented in writing by more than one spelling. However, spellings were more variable in the previous century; by the fifteenth century the variability of English spelling was in decline. </w:t>
      </w:r>
      <w:r w:rsidR="00EE6313" w:rsidRPr="0021550A">
        <w:t xml:space="preserve">Regarding Caxton’s </w:t>
      </w:r>
      <w:r w:rsidR="0021486C">
        <w:t xml:space="preserve">own </w:t>
      </w:r>
      <w:r w:rsidR="00EE6313" w:rsidRPr="0021550A">
        <w:t xml:space="preserve">spellings, discussion tends to focus on the extent to which Caxton </w:t>
      </w:r>
      <w:r>
        <w:t>conforms to a set of spellings known as</w:t>
      </w:r>
      <w:r w:rsidR="00EE6313" w:rsidRPr="0021550A">
        <w:t xml:space="preserve"> Chancery Standard</w:t>
      </w:r>
      <w:r w:rsidR="006E60C9">
        <w:t xml:space="preserve">, the fourth of four medieval spelling standards introduced by Michael </w:t>
      </w:r>
      <w:r w:rsidR="004E6335">
        <w:t>Samuels</w:t>
      </w:r>
      <w:r w:rsidR="006E60C9">
        <w:t xml:space="preserve"> (1963). Most studies into Caxton’s use of Chancery Standard conclude that Caxton’s texts include some Chancery spellings but not always the full set</w:t>
      </w:r>
      <w:r w:rsidR="00EE6313" w:rsidRPr="0021550A">
        <w:t xml:space="preserve"> </w:t>
      </w:r>
      <w:r w:rsidR="00E7468F">
        <w:t>(Shaklee 1980,</w:t>
      </w:r>
      <w:r w:rsidR="00325E51" w:rsidRPr="00325E51">
        <w:t xml:space="preserve"> </w:t>
      </w:r>
      <w:r w:rsidR="00E7468F">
        <w:t>Burnley 1989,</w:t>
      </w:r>
      <w:r w:rsidR="00325E51">
        <w:t xml:space="preserve"> </w:t>
      </w:r>
      <w:r w:rsidR="00325E51" w:rsidRPr="00325E51">
        <w:t>Fisher 19</w:t>
      </w:r>
      <w:r w:rsidR="00325E51">
        <w:t>96</w:t>
      </w:r>
      <w:r w:rsidR="00E7468F">
        <w:t>,</w:t>
      </w:r>
      <w:r w:rsidR="00325E51">
        <w:t xml:space="preserve"> Horobin 2011)</w:t>
      </w:r>
      <w:r w:rsidR="00EE6313" w:rsidRPr="0021550A">
        <w:t xml:space="preserve">. </w:t>
      </w:r>
      <w:r w:rsidR="00325E51">
        <w:t xml:space="preserve">However, </w:t>
      </w:r>
      <w:r w:rsidR="00EE6313" w:rsidRPr="0021550A">
        <w:t xml:space="preserve">a study </w:t>
      </w:r>
      <w:r w:rsidR="000854FF">
        <w:t xml:space="preserve">into Caxton’s spellings </w:t>
      </w:r>
      <w:r w:rsidR="00EE6313" w:rsidRPr="0021550A">
        <w:t xml:space="preserve">by Samuels </w:t>
      </w:r>
      <w:r w:rsidR="000854FF">
        <w:t xml:space="preserve">himself </w:t>
      </w:r>
      <w:r w:rsidR="00325E51">
        <w:t xml:space="preserve">moves the focus away from standardisation and </w:t>
      </w:r>
      <w:r w:rsidR="009E4160">
        <w:t>towards dialect</w:t>
      </w:r>
      <w:r w:rsidR="000854FF">
        <w:t>. Samuels attempts</w:t>
      </w:r>
      <w:r w:rsidR="009E4160">
        <w:t xml:space="preserve"> </w:t>
      </w:r>
      <w:r w:rsidR="00EE6313" w:rsidRPr="0021550A">
        <w:t>to find evidence of Caxton’s Kentish background by searching for</w:t>
      </w:r>
      <w:r w:rsidR="00325E51">
        <w:t xml:space="preserve"> Kentish spellings in </w:t>
      </w:r>
      <w:r w:rsidR="000854FF">
        <w:t>the texts that Caxton produced</w:t>
      </w:r>
      <w:r w:rsidR="00325E51">
        <w:t>. Samuels has some</w:t>
      </w:r>
      <w:r w:rsidR="00EE6313" w:rsidRPr="0021550A">
        <w:t xml:space="preserve"> success, stating that Caxton “maintained throughout certain forms which derive from his Kentish upbringing” </w:t>
      </w:r>
      <w:r w:rsidR="00325E51" w:rsidRPr="00325E51">
        <w:t>(1988:</w:t>
      </w:r>
      <w:r w:rsidR="000A1DF8">
        <w:t xml:space="preserve"> </w:t>
      </w:r>
      <w:r w:rsidR="00325E51" w:rsidRPr="00325E51">
        <w:t>88).</w:t>
      </w:r>
    </w:p>
    <w:p w14:paraId="334BCB83" w14:textId="18F336F8" w:rsidR="000B1D8C" w:rsidRDefault="00EE6313" w:rsidP="00FD0D48">
      <w:r w:rsidRPr="0021550A">
        <w:t>All these studies into Caxton’s language have one thing in common: they discuss Caxton’s spelling</w:t>
      </w:r>
      <w:r w:rsidR="00325E51">
        <w:t>s</w:t>
      </w:r>
      <w:r w:rsidRPr="0021550A">
        <w:t xml:space="preserve"> </w:t>
      </w:r>
      <w:r w:rsidR="009E4160">
        <w:t>on the common assumption that</w:t>
      </w:r>
      <w:r w:rsidRPr="0021550A">
        <w:t xml:space="preserve"> </w:t>
      </w:r>
      <w:r w:rsidR="00325E51">
        <w:t xml:space="preserve">Caxton is known to have a defined set of spellings, and that these spellings are used throughout all the texts that he printed. </w:t>
      </w:r>
      <w:r w:rsidR="00874B9C">
        <w:t>However, like manuscripts</w:t>
      </w:r>
      <w:r w:rsidR="00FD0D48">
        <w:t>,</w:t>
      </w:r>
      <w:r w:rsidR="00874B9C">
        <w:t xml:space="preserve"> printed texts </w:t>
      </w:r>
      <w:r w:rsidR="00FD0D48">
        <w:t>were</w:t>
      </w:r>
      <w:r w:rsidR="00874B9C">
        <w:t xml:space="preserve"> created through copying a copy text (known as an exemplar in manuscript studies)</w:t>
      </w:r>
      <w:r w:rsidR="00FD0D48">
        <w:t xml:space="preserve">, which itself was created from a copy text, and so on. </w:t>
      </w:r>
      <w:r w:rsidR="000B1D8C">
        <w:t>The successive process</w:t>
      </w:r>
      <w:r w:rsidR="009E4160">
        <w:t>es of copying mean</w:t>
      </w:r>
      <w:r w:rsidR="000B1D8C">
        <w:t xml:space="preserve"> that</w:t>
      </w:r>
      <w:r w:rsidR="00E27B98">
        <w:t xml:space="preserve"> Caxton’s printed texts include layers of spellings</w:t>
      </w:r>
      <w:r w:rsidR="007E407C">
        <w:t xml:space="preserve"> that </w:t>
      </w:r>
      <w:r w:rsidR="008B5F50">
        <w:t>are</w:t>
      </w:r>
      <w:r w:rsidR="000B1D8C">
        <w:t xml:space="preserve"> introduced </w:t>
      </w:r>
      <w:r w:rsidR="007E407C">
        <w:t>in each</w:t>
      </w:r>
      <w:r w:rsidR="000B1D8C">
        <w:t xml:space="preserve"> iteration of copying. </w:t>
      </w:r>
    </w:p>
    <w:p w14:paraId="79483739" w14:textId="77777777" w:rsidR="000B1D8C" w:rsidRDefault="000B1D8C" w:rsidP="00FD0D48"/>
    <w:p w14:paraId="373384FF" w14:textId="3E28ACD5" w:rsidR="007360BF" w:rsidRDefault="00983DA1" w:rsidP="007360BF">
      <w:pPr>
        <w:pStyle w:val="Heading3"/>
      </w:pPr>
      <w:r>
        <w:t>Spellings from different people in Caxton’s texts</w:t>
      </w:r>
      <w:r w:rsidR="007360BF">
        <w:t xml:space="preserve"> </w:t>
      </w:r>
    </w:p>
    <w:p w14:paraId="310CA972" w14:textId="0838F65E" w:rsidR="00511FE8" w:rsidRDefault="00983DA1" w:rsidP="003F2917">
      <w:r>
        <w:t xml:space="preserve">In this thesis I explore the spellings introduced into Caxton’s texts by the </w:t>
      </w:r>
      <w:r w:rsidR="002C776F">
        <w:t>numerous</w:t>
      </w:r>
      <w:r>
        <w:t xml:space="preserve"> people </w:t>
      </w:r>
      <w:r w:rsidR="003F2917">
        <w:t>involved in the production of each book</w:t>
      </w:r>
      <w:r>
        <w:t xml:space="preserve">. </w:t>
      </w:r>
      <w:r w:rsidR="003F2917">
        <w:t>I argue that there are two ways in which the spellings of different people are introduced into Caxton’s texts: first, the layers of spellings that are introduced into the text through successive copying, and second, the discrete sections of different spellings that are introduced into the text through</w:t>
      </w:r>
      <w:r w:rsidR="00B50E11">
        <w:t xml:space="preserve"> more than one person</w:t>
      </w:r>
      <w:r w:rsidR="003F2917">
        <w:t xml:space="preserve"> working on a text at the same time. </w:t>
      </w:r>
    </w:p>
    <w:p w14:paraId="6EA447D3" w14:textId="77777777" w:rsidR="00761DBB" w:rsidRDefault="00511FE8" w:rsidP="00E93933">
      <w:r>
        <w:t>Caxton’s texts include spellings that the compo</w:t>
      </w:r>
      <w:r w:rsidR="00B50E11">
        <w:t>sitor copied from the copy text</w:t>
      </w:r>
      <w:r>
        <w:t xml:space="preserve"> and </w:t>
      </w:r>
      <w:r w:rsidR="00E93933">
        <w:t xml:space="preserve">some of </w:t>
      </w:r>
      <w:r>
        <w:t>the compositor’s own spellings.</w:t>
      </w:r>
      <w:r w:rsidR="00E93933">
        <w:t xml:space="preserve"> In their survey of scribal behaviour in medieval manuscripts, Michael Benskin and Margaret Laing (1981: 56) discuss three ways in which a scribe can copy out a manuscript: a) the scribe copies the text exactly as it appears in the exemplar (described as copying the text </w:t>
      </w:r>
      <w:r w:rsidR="00E93933">
        <w:rPr>
          <w:i/>
        </w:rPr>
        <w:t>literatim</w:t>
      </w:r>
      <w:r w:rsidR="00E93933">
        <w:t xml:space="preserve"> by Benskin and Laing), b) the scribe can </w:t>
      </w:r>
      <w:r w:rsidR="00E93933">
        <w:lastRenderedPageBreak/>
        <w:t xml:space="preserve">convert the text entirely into their own form of language, or c) the scribe does some combination of a) and b). The conversion of the text into the language (or in this case, the spellings) of the copyist is associated with reproductions of texts that were undertaken quickly (Benskin &amp; Laing 1981: 90), where the copyist holds the next words for copying in what McIntosh, Samuels, and Benskin termed the “mind’s ear” and the copyist subsequently writes to their own dictation (McIntosh, Samuels &amp; Benskin 1986: 15). </w:t>
      </w:r>
    </w:p>
    <w:p w14:paraId="0E07424F" w14:textId="729A3625" w:rsidR="00E93933" w:rsidRDefault="00761DBB" w:rsidP="006F7960">
      <w:r>
        <w:t>Benskin and Laing (1981</w:t>
      </w:r>
      <w:r w:rsidR="006745A9">
        <w:t>: 88</w:t>
      </w:r>
      <w:r>
        <w:t xml:space="preserve">) state that </w:t>
      </w:r>
      <w:r w:rsidR="006745A9">
        <w:t>scribes were more likely to translate texts from one dialect into another during the later medieval period, tending towards b) in their typology of scribal habits.</w:t>
      </w:r>
      <w:r>
        <w:t xml:space="preserve"> </w:t>
      </w:r>
      <w:r w:rsidR="006F7960">
        <w:t xml:space="preserve">However, evidence suggests that compositors working on early print instead tended towards c) </w:t>
      </w:r>
      <w:r w:rsidR="00E93933">
        <w:t xml:space="preserve">introducing their own spellings into the text but retaining some of the spellings in their exemplar (Gaskell 1972). </w:t>
      </w:r>
      <w:r w:rsidR="00ED092E">
        <w:t>According to Gaskell, printed texts</w:t>
      </w:r>
      <w:r w:rsidR="00E93933">
        <w:t xml:space="preserve"> include a layer of spellings that the compositor copied from the copy text and a layer of spellings comprised of the compositors</w:t>
      </w:r>
      <w:r w:rsidR="00ED759D">
        <w:t>’</w:t>
      </w:r>
      <w:r w:rsidR="00E93933">
        <w:t xml:space="preserve"> own spellings. </w:t>
      </w:r>
    </w:p>
    <w:p w14:paraId="25DDF138" w14:textId="31FEFA9B" w:rsidR="00E93933" w:rsidRDefault="00E93933" w:rsidP="00E93933">
      <w:r>
        <w:t xml:space="preserve">Like the work undertaken by Benskin and Laing, other previous research into the layers of spellings introduced through creating successive copies of the same text have focused on manuscripts. McIntosh, Samuels, and Benskin </w:t>
      </w:r>
      <w:r w:rsidR="00DF3B8E">
        <w:t xml:space="preserve">(1986) </w:t>
      </w:r>
      <w:r>
        <w:t xml:space="preserve">explore the language of different scribes involved in the creation of the text by creating a linguistic profile for each scribe and comparing them against one another. Peter Orton (2000) uses a similar method on Old English poetry to separate the work of individual scribes, and Margaret Laing (1992) applies the same method to explore texts that exist in more than one version. There is little empirical research into the transmission of spellings in early print, though one notable exception is Norman Blake’s study of successive copies of early print editions of </w:t>
      </w:r>
      <w:r>
        <w:rPr>
          <w:i/>
        </w:rPr>
        <w:t>Reynard the Fox</w:t>
      </w:r>
      <w:r>
        <w:t xml:space="preserve"> (1991b). </w:t>
      </w:r>
      <w:r w:rsidRPr="0021550A">
        <w:t xml:space="preserve">Blake’s research </w:t>
      </w:r>
      <w:r>
        <w:t>investigated</w:t>
      </w:r>
      <w:r w:rsidRPr="0021550A">
        <w:t xml:space="preserve"> Dutch influence on the spellings </w:t>
      </w:r>
      <w:r>
        <w:t>used within the different versions of the text. By focusing</w:t>
      </w:r>
      <w:r w:rsidRPr="0021550A">
        <w:t xml:space="preserve"> on a set of orthographical features such as the &lt;gh&gt; grapheme found in </w:t>
      </w:r>
      <w:r w:rsidRPr="0021550A">
        <w:rPr>
          <w:i/>
        </w:rPr>
        <w:t>ghost</w:t>
      </w:r>
      <w:r w:rsidRPr="0021550A">
        <w:t xml:space="preserve">, </w:t>
      </w:r>
      <w:r>
        <w:t>he</w:t>
      </w:r>
      <w:r w:rsidRPr="0021550A">
        <w:t xml:space="preserve"> traced the orthography of these words through printed copies of </w:t>
      </w:r>
      <w:r w:rsidRPr="0021550A">
        <w:rPr>
          <w:i/>
        </w:rPr>
        <w:t>Reynard the Fox</w:t>
      </w:r>
      <w:r>
        <w:t xml:space="preserve"> and found the &lt;gh&gt; spellings in many later texts. </w:t>
      </w:r>
      <w:r w:rsidR="0001735B">
        <w:t xml:space="preserve">Additionally, Lotte Hellinga (1997) has </w:t>
      </w:r>
      <w:r w:rsidR="00EF4CAD">
        <w:t xml:space="preserve">shown that in early prints of Nicholas Love’s </w:t>
      </w:r>
      <w:r w:rsidR="00EF4CAD">
        <w:rPr>
          <w:i/>
        </w:rPr>
        <w:t>Mirror of the Blessed Life of Jesus Christ</w:t>
      </w:r>
      <w:r w:rsidR="00EF4CAD">
        <w:t xml:space="preserve"> </w:t>
      </w:r>
      <w:r w:rsidR="00A43FE8">
        <w:t xml:space="preserve">older, regional spellings are sometimes retained in the text after apparent modernisation. For example, Hellinga lists </w:t>
      </w:r>
      <w:r w:rsidR="00A43FE8">
        <w:rPr>
          <w:i/>
        </w:rPr>
        <w:t xml:space="preserve">clepe </w:t>
      </w:r>
      <w:r w:rsidR="00A43FE8">
        <w:t xml:space="preserve">for </w:t>
      </w:r>
      <w:r w:rsidR="00A43FE8">
        <w:rPr>
          <w:smallCaps/>
        </w:rPr>
        <w:t>call</w:t>
      </w:r>
      <w:r w:rsidR="00A43FE8">
        <w:t xml:space="preserve"> and </w:t>
      </w:r>
      <w:r w:rsidR="00A43FE8">
        <w:rPr>
          <w:i/>
        </w:rPr>
        <w:t>mykel</w:t>
      </w:r>
      <w:r w:rsidR="00A43FE8">
        <w:t xml:space="preserve"> for </w:t>
      </w:r>
      <w:r w:rsidR="00A43FE8">
        <w:rPr>
          <w:smallCaps/>
        </w:rPr>
        <w:t>much</w:t>
      </w:r>
      <w:r w:rsidR="00A43FE8">
        <w:t xml:space="preserve"> as having been retained in Caxton’s two editions of the text.</w:t>
      </w:r>
    </w:p>
    <w:p w14:paraId="1055EE28" w14:textId="568D2652" w:rsidR="00FB2974" w:rsidRDefault="00E93933" w:rsidP="00044C0C">
      <w:r>
        <w:t xml:space="preserve">The second way in which spellings are introduced into Caxton’s texts is when more than one person was involved in the creation of a book </w:t>
      </w:r>
      <w:r w:rsidR="00FF6BAC">
        <w:t>at one time, whether that</w:t>
      </w:r>
      <w:r w:rsidR="006D3A99">
        <w:t xml:space="preserve"> was more than one compositor concurrently typesetting the new text or more than one scribe having written the copy text. </w:t>
      </w:r>
      <w:r w:rsidR="00415D9E">
        <w:t>Many extant manuscripts include the work of more than one scribe</w:t>
      </w:r>
      <w:r w:rsidR="00CC3283">
        <w:t xml:space="preserve">. </w:t>
      </w:r>
      <w:r w:rsidR="00415D9E">
        <w:t xml:space="preserve">Studies into the scribes of the Auchinleck manuscript have shown that six scribes were involved in its creation </w:t>
      </w:r>
      <w:r w:rsidR="00E7468F">
        <w:t>(Shonk</w:t>
      </w:r>
      <w:r w:rsidR="00077B56">
        <w:t xml:space="preserve"> 1985</w:t>
      </w:r>
      <w:r w:rsidR="00E7468F">
        <w:t>, Wiggins 2004</w:t>
      </w:r>
      <w:r w:rsidR="000E7D4E">
        <w:t>), and</w:t>
      </w:r>
      <w:r w:rsidR="00606CCF">
        <w:t xml:space="preserve"> </w:t>
      </w:r>
      <w:r w:rsidR="00CC3283" w:rsidRPr="0021550A">
        <w:t xml:space="preserve">Doyle </w:t>
      </w:r>
      <w:r w:rsidR="00017369">
        <w:t>and</w:t>
      </w:r>
      <w:r w:rsidR="00CC3283" w:rsidRPr="0021550A">
        <w:t xml:space="preserve"> Parkes </w:t>
      </w:r>
      <w:r w:rsidR="00E91D64">
        <w:t>(</w:t>
      </w:r>
      <w:r w:rsidR="00E91D64" w:rsidRPr="00CC3283">
        <w:t>1978)</w:t>
      </w:r>
      <w:r w:rsidR="00E91D64">
        <w:t xml:space="preserve"> </w:t>
      </w:r>
      <w:r w:rsidR="00CC3283" w:rsidRPr="0021550A">
        <w:t xml:space="preserve">in their landmark study of the </w:t>
      </w:r>
      <w:r w:rsidR="00CC3283" w:rsidRPr="0021550A">
        <w:rPr>
          <w:i/>
        </w:rPr>
        <w:t>Confessio Amantis</w:t>
      </w:r>
      <w:r w:rsidR="00CC3283" w:rsidRPr="0021550A">
        <w:t xml:space="preserve"> in Trinity College, Cambridge MS R.3.2 </w:t>
      </w:r>
      <w:r w:rsidR="00CC3283" w:rsidRPr="0021550A">
        <w:lastRenderedPageBreak/>
        <w:t>showed that five different scribes each worked remotely on their own section of text before the sections were put together to form a whole.</w:t>
      </w:r>
      <w:r w:rsidR="00CC3283">
        <w:t xml:space="preserve"> </w:t>
      </w:r>
      <w:r w:rsidR="00361A40">
        <w:t xml:space="preserve">It has since been </w:t>
      </w:r>
      <w:r w:rsidR="00C6313B">
        <w:t>found</w:t>
      </w:r>
      <w:r w:rsidR="00361A40">
        <w:t xml:space="preserve"> that some of the scribes who worked on MS R.3.2 worked as </w:t>
      </w:r>
      <w:r w:rsidR="002F017B">
        <w:t>scriveners</w:t>
      </w:r>
      <w:r w:rsidR="00361A40">
        <w:t xml:space="preserve"> during the day and copied literary texts in their spare time, such as Adam Pinkhurst, </w:t>
      </w:r>
      <w:r w:rsidR="004B5837">
        <w:t>Thomas Hoccleve, and the scribe known as Scribe D (</w:t>
      </w:r>
      <w:r w:rsidR="00E7468F">
        <w:t>Kerby-Fulton &amp; Justice 2001,</w:t>
      </w:r>
      <w:r w:rsidR="004B5837" w:rsidRPr="004B5837">
        <w:t xml:space="preserve"> Stubbs 2007</w:t>
      </w:r>
      <w:r w:rsidR="00E7468F">
        <w:t>,</w:t>
      </w:r>
      <w:r w:rsidR="004B5837">
        <w:t xml:space="preserve"> Horobin 2010, Horobin 2013). </w:t>
      </w:r>
    </w:p>
    <w:p w14:paraId="5939A7F3" w14:textId="4B9E2CF4" w:rsidR="00CC204E" w:rsidRDefault="004B5837" w:rsidP="00044C0C">
      <w:r>
        <w:t>The collaboration between scribes on one larger text does not appear to have been an infrequent occurrence</w:t>
      </w:r>
      <w:r w:rsidR="00E45C71">
        <w:t xml:space="preserve"> (Parkes 1995)</w:t>
      </w:r>
      <w:r w:rsidR="00B35CC1">
        <w:t>, and the collaboration between scribes has implications for the spellings in the text</w:t>
      </w:r>
      <w:r>
        <w:t>.</w:t>
      </w:r>
      <w:r w:rsidR="00984FEF">
        <w:t xml:space="preserve"> </w:t>
      </w:r>
      <w:r w:rsidR="009C3362">
        <w:t xml:space="preserve">According to Benskin </w:t>
      </w:r>
      <w:r w:rsidR="008925C7">
        <w:t>and</w:t>
      </w:r>
      <w:r w:rsidR="009C3362">
        <w:t xml:space="preserve"> Laing’s account of scribal behaviour, each scribe working on the creation of a new text would have introduced some of their own spellings into the text whilst retaining some spellings from the copy text. </w:t>
      </w:r>
      <w:r w:rsidR="00FA4230">
        <w:t>In the case of a text that was written by six scribes, each scribe introduces some of th</w:t>
      </w:r>
      <w:r w:rsidR="008925C7">
        <w:t>eir own spellings into the text. The</w:t>
      </w:r>
      <w:r w:rsidR="00FA4230">
        <w:t xml:space="preserve"> completed manuscript </w:t>
      </w:r>
      <w:r w:rsidR="008925C7">
        <w:t xml:space="preserve">then </w:t>
      </w:r>
      <w:r w:rsidR="00FA4230">
        <w:t xml:space="preserve">contains </w:t>
      </w:r>
      <w:r w:rsidR="008925C7">
        <w:t>six discrete sections, where each section includes spellings from the scribe that copied that part of the text</w:t>
      </w:r>
      <w:r w:rsidR="00FA4230">
        <w:t xml:space="preserve"> and the spellings that </w:t>
      </w:r>
      <w:r w:rsidR="008925C7">
        <w:t>the</w:t>
      </w:r>
      <w:r w:rsidR="00FA4230">
        <w:t xml:space="preserve"> scribe</w:t>
      </w:r>
      <w:r w:rsidR="00C36E31">
        <w:t xml:space="preserve"> copied</w:t>
      </w:r>
      <w:r w:rsidR="00FA4230">
        <w:t xml:space="preserve"> from the copy text. </w:t>
      </w:r>
      <w:r w:rsidR="00CC204E">
        <w:t>Of course, in the event that the copy text used by the scribes was itself created by more than one scribe then the layers of spellings are complicated</w:t>
      </w:r>
      <w:r w:rsidR="002F2BEB" w:rsidRPr="002F2BEB">
        <w:t xml:space="preserve"> </w:t>
      </w:r>
      <w:r w:rsidR="002F2BEB">
        <w:t>further</w:t>
      </w:r>
      <w:r w:rsidR="00CC204E">
        <w:t xml:space="preserve">. </w:t>
      </w:r>
    </w:p>
    <w:p w14:paraId="104363C0" w14:textId="6884333E" w:rsidR="00637234" w:rsidRDefault="002F2BEB" w:rsidP="00CC204E">
      <w:r>
        <w:t xml:space="preserve">Many of Caxton’s texts may have used a </w:t>
      </w:r>
      <w:r w:rsidR="00BA5102">
        <w:t xml:space="preserve">manuscript </w:t>
      </w:r>
      <w:r>
        <w:t>copy text that was created by multiple scribes</w:t>
      </w:r>
      <w:r w:rsidR="0047257F">
        <w:t xml:space="preserve">. </w:t>
      </w:r>
      <w:r w:rsidR="00FB2974">
        <w:t xml:space="preserve">Because the compositor also includes some of their own spellings in the text as well as those from the copy text, if the compositors used a copy text that was written by </w:t>
      </w:r>
      <w:r w:rsidR="00637234">
        <w:t xml:space="preserve">six scribes, the layer of spellings from the copy text will include the </w:t>
      </w:r>
      <w:r w:rsidR="00FB2974">
        <w:t xml:space="preserve">same </w:t>
      </w:r>
      <w:r w:rsidR="00637234">
        <w:t>six discrete sections of spellings from the manuscript</w:t>
      </w:r>
      <w:r w:rsidR="00FB2974">
        <w:t>. T</w:t>
      </w:r>
      <w:r w:rsidR="0010129C">
        <w:t xml:space="preserve">he spellings in this layer </w:t>
      </w:r>
      <w:r w:rsidR="0047257F">
        <w:t xml:space="preserve">will change at each point </w:t>
      </w:r>
      <w:r w:rsidR="00FF0F11">
        <w:t xml:space="preserve">in the text </w:t>
      </w:r>
      <w:r w:rsidR="0047257F">
        <w:t xml:space="preserve">where a change in the scribe took place. </w:t>
      </w:r>
    </w:p>
    <w:p w14:paraId="3B67A59E" w14:textId="4BDCD255" w:rsidR="00632EC1" w:rsidRDefault="0010129C" w:rsidP="001C328E">
      <w:r>
        <w:t xml:space="preserve">The spellings in printed texts </w:t>
      </w:r>
      <w:r w:rsidR="00FF0F11">
        <w:t>are</w:t>
      </w:r>
      <w:r>
        <w:t xml:space="preserve"> complicated further </w:t>
      </w:r>
      <w:r w:rsidR="00637234">
        <w:t>when</w:t>
      </w:r>
      <w:r>
        <w:t xml:space="preserve"> more than one </w:t>
      </w:r>
      <w:r w:rsidR="00FF0C51">
        <w:t xml:space="preserve">compositor </w:t>
      </w:r>
      <w:r w:rsidR="00637234">
        <w:t>typeset a new text</w:t>
      </w:r>
      <w:r w:rsidR="00FF0C51">
        <w:t xml:space="preserve"> (see Section </w:t>
      </w:r>
      <w:r w:rsidR="00BA5457">
        <w:fldChar w:fldCharType="begin"/>
      </w:r>
      <w:r w:rsidR="00BA5457">
        <w:instrText xml:space="preserve"> REF _Ref496620019 \r \h </w:instrText>
      </w:r>
      <w:r w:rsidR="00BA5457">
        <w:fldChar w:fldCharType="separate"/>
      </w:r>
      <w:r w:rsidR="00D11844">
        <w:t>2.4</w:t>
      </w:r>
      <w:r w:rsidR="00BA5457">
        <w:fldChar w:fldCharType="end"/>
      </w:r>
      <w:r w:rsidR="00BA5457">
        <w:t xml:space="preserve"> for further discussion on the compositors of Caxton’s texts</w:t>
      </w:r>
      <w:r w:rsidR="00FF0C51">
        <w:t xml:space="preserve">). </w:t>
      </w:r>
      <w:r w:rsidR="00D42425">
        <w:t>While a change in the scribe who wrote a text can usually be detected by a change in handwriting, a change in the compositor is often</w:t>
      </w:r>
      <w:r w:rsidR="00854AD8">
        <w:t xml:space="preserve"> obscured by the typeface. </w:t>
      </w:r>
      <w:r w:rsidR="00632EC1">
        <w:t xml:space="preserve">In his research into the spellings of Cambridge University Library, MS Gg.4.27, part 1, </w:t>
      </w:r>
      <w:r w:rsidR="00756174">
        <w:t xml:space="preserve">a manuscript </w:t>
      </w:r>
      <w:r w:rsidR="00632EC1">
        <w:t xml:space="preserve">of the </w:t>
      </w:r>
      <w:r w:rsidR="00632EC1">
        <w:rPr>
          <w:i/>
        </w:rPr>
        <w:t>Canterbury Tales</w:t>
      </w:r>
      <w:r w:rsidR="00632EC1">
        <w:t xml:space="preserve">, Jacob Thaisen </w:t>
      </w:r>
      <w:r w:rsidR="00854AD8">
        <w:t xml:space="preserve">(2012a) </w:t>
      </w:r>
      <w:r w:rsidR="00632EC1">
        <w:t xml:space="preserve">concluded that the change in spellings that took place part way through the manuscript was a result of a change in the copy text and not a change in scribe. He drew this conclusion </w:t>
      </w:r>
      <w:r w:rsidR="00FB2974">
        <w:t>because</w:t>
      </w:r>
      <w:r w:rsidR="00632EC1">
        <w:t xml:space="preserve"> a change in scribe would have been detectable by a change in the handwriting used in the manuscript, and as he found no such change, the change in spellings must be due to a change at the level of the copy text. Such an argument is not possible in the case of early print, where a change in compositors cannot be detected visibly through a change in the appearance of the text, though in the event of an unskilful join between sections typeset by different compositors, other tell-tale features sometimes emerge (</w:t>
      </w:r>
      <w:r w:rsidR="00194241">
        <w:t>these</w:t>
      </w:r>
      <w:r w:rsidR="00632EC1">
        <w:t xml:space="preserve"> features are </w:t>
      </w:r>
      <w:r w:rsidR="00194241">
        <w:t xml:space="preserve">discussed in detail in Section </w:t>
      </w:r>
      <w:r w:rsidR="00194241">
        <w:fldChar w:fldCharType="begin"/>
      </w:r>
      <w:r w:rsidR="00194241">
        <w:instrText xml:space="preserve"> REF _Ref499552819 \r </w:instrText>
      </w:r>
      <w:r w:rsidR="00194241">
        <w:fldChar w:fldCharType="separate"/>
      </w:r>
      <w:r w:rsidR="00D11844">
        <w:t>2.4.1</w:t>
      </w:r>
      <w:r w:rsidR="00194241">
        <w:fldChar w:fldCharType="end"/>
      </w:r>
      <w:r w:rsidR="00632EC1">
        <w:t xml:space="preserve">). </w:t>
      </w:r>
    </w:p>
    <w:p w14:paraId="478FCBB8" w14:textId="3540FBF6" w:rsidR="00C91B66" w:rsidRDefault="006D3A99" w:rsidP="0094506B">
      <w:r>
        <w:lastRenderedPageBreak/>
        <w:t xml:space="preserve">Of the two ways in which the spellings from different people are introduced into Caxton’s texts, the </w:t>
      </w:r>
      <w:r w:rsidR="00E93933">
        <w:t xml:space="preserve">layers introduced into the text through successive copying are present in all of Caxton’s texts, because compositors always worked from a copy text. </w:t>
      </w:r>
      <w:r w:rsidR="0094506B">
        <w:t>In this case the text</w:t>
      </w:r>
      <w:r w:rsidR="00E93933">
        <w:t xml:space="preserve"> include</w:t>
      </w:r>
      <w:r w:rsidR="0094506B">
        <w:t>s</w:t>
      </w:r>
      <w:r w:rsidR="00E93933">
        <w:t xml:space="preserve"> spellings from the compositor and the copy text</w:t>
      </w:r>
      <w:r w:rsidR="0094506B">
        <w:t>, and both layers of spellings are intermingled throughout the whole text</w:t>
      </w:r>
      <w:r w:rsidR="00E93933">
        <w:t xml:space="preserve">. In contrast, </w:t>
      </w:r>
      <w:r w:rsidR="0094506B">
        <w:t>not all of Caxton’s texts include</w:t>
      </w:r>
      <w:r>
        <w:t xml:space="preserve"> </w:t>
      </w:r>
      <w:r w:rsidR="0094506B">
        <w:t>discrete sections of different spellings from multiple people concurrently working on the text. These sections are</w:t>
      </w:r>
      <w:r w:rsidR="00E93933">
        <w:t xml:space="preserve"> not present in texts where the copy text was written by one scribe and the text was then typeset by one compositor. </w:t>
      </w:r>
      <w:r w:rsidR="0094506B">
        <w:t xml:space="preserve">This thesis focuses on Caxton’s texts that include sections of different spellings where multiple people worked on the text simultaneously. In </w:t>
      </w:r>
      <w:r w:rsidR="00D65188">
        <w:t>focusing on this particular subset of Caxton’s texts</w:t>
      </w:r>
      <w:r w:rsidR="0094506B">
        <w:t xml:space="preserve">, I present </w:t>
      </w:r>
      <w:r w:rsidR="000348FC">
        <w:t xml:space="preserve">new methods to </w:t>
      </w:r>
      <w:r w:rsidR="0050311F">
        <w:t xml:space="preserve">determine how many people were involved in creating a text, to </w:t>
      </w:r>
      <w:r w:rsidR="000348FC">
        <w:t xml:space="preserve">pin point where in the text </w:t>
      </w:r>
      <w:r w:rsidR="0050311F">
        <w:t>the work of different people begins</w:t>
      </w:r>
      <w:r w:rsidR="000348FC">
        <w:t xml:space="preserve">, and to quantify the extent to which </w:t>
      </w:r>
      <w:r w:rsidR="009D1C6B">
        <w:t>spellings differ</w:t>
      </w:r>
      <w:r w:rsidR="006C620A">
        <w:t xml:space="preserve"> when changes in compositor or scribe</w:t>
      </w:r>
      <w:r w:rsidR="000348FC">
        <w:t xml:space="preserve"> occur. </w:t>
      </w:r>
      <w:r w:rsidR="006C620A">
        <w:t xml:space="preserve">In order to </w:t>
      </w:r>
      <w:r w:rsidR="0021486C">
        <w:t>explore</w:t>
      </w:r>
      <w:r w:rsidR="006C620A">
        <w:t xml:space="preserve"> the changes in spellings caused by changes in the individuals working on the text, it is necessary to </w:t>
      </w:r>
      <w:r w:rsidR="0021486C">
        <w:t xml:space="preserve">focus on the spellings that differentiate these individuals from one another. </w:t>
      </w:r>
    </w:p>
    <w:p w14:paraId="4713DC35" w14:textId="77777777" w:rsidR="00C91B66" w:rsidRDefault="00C91B66" w:rsidP="00170899"/>
    <w:p w14:paraId="4FD1F497" w14:textId="7A609ED8" w:rsidR="003C1594" w:rsidRPr="007258AA" w:rsidRDefault="00933A3D" w:rsidP="00933A3D">
      <w:pPr>
        <w:pStyle w:val="Heading2"/>
      </w:pPr>
      <w:bookmarkStart w:id="8" w:name="_Ref497481545"/>
      <w:bookmarkStart w:id="9" w:name="_Toc497899849"/>
      <w:bookmarkEnd w:id="8"/>
      <w:bookmarkEnd w:id="9"/>
      <w:r w:rsidRPr="007258AA">
        <w:t xml:space="preserve">Fifteenth-century spelling variation </w:t>
      </w:r>
    </w:p>
    <w:p w14:paraId="7C31A9D3" w14:textId="4B237C7F" w:rsidR="00933A3D" w:rsidRDefault="00885A07" w:rsidP="00933A3D">
      <w:r>
        <w:t xml:space="preserve">The spelling </w:t>
      </w:r>
      <w:r w:rsidR="00B47D3D">
        <w:t xml:space="preserve">variation in the late fifteenth </w:t>
      </w:r>
      <w:r>
        <w:t xml:space="preserve">century is rarely explored because it is considered too late for the dialect variation that </w:t>
      </w:r>
      <w:r w:rsidR="00212782">
        <w:t>has been noted</w:t>
      </w:r>
      <w:r>
        <w:t xml:space="preserve"> in books </w:t>
      </w:r>
      <w:r w:rsidRPr="00885A07">
        <w:t>(McIntosh, Samuels &amp; Benskin 1986)</w:t>
      </w:r>
      <w:r>
        <w:t>, but too early to evidence the spelling</w:t>
      </w:r>
      <w:r w:rsidR="00B47D3D">
        <w:t xml:space="preserve"> variation that takes place in early m</w:t>
      </w:r>
      <w:r>
        <w:t xml:space="preserve">odern </w:t>
      </w:r>
      <w:r w:rsidR="00B47D3D">
        <w:t xml:space="preserve">English </w:t>
      </w:r>
      <w:r>
        <w:t xml:space="preserve">private writing </w:t>
      </w:r>
      <w:r w:rsidRPr="00885A07">
        <w:t>(Nevalainen 2006)</w:t>
      </w:r>
      <w:r>
        <w:t xml:space="preserve">. </w:t>
      </w:r>
      <w:r w:rsidR="00933A3D">
        <w:t>Most of the existing research into fifteenth-century spelling focuses on dialect spellings that are used in manuscripts</w:t>
      </w:r>
      <w:r>
        <w:t xml:space="preserve"> rather than print</w:t>
      </w:r>
      <w:r w:rsidR="00933A3D">
        <w:t xml:space="preserve">. Perhaps the most notable study into </w:t>
      </w:r>
      <w:r w:rsidR="00933A3D" w:rsidRPr="0021550A">
        <w:t xml:space="preserve">historical spelling variation </w:t>
      </w:r>
      <w:r w:rsidR="00933A3D">
        <w:t xml:space="preserve">is the </w:t>
      </w:r>
      <w:r w:rsidR="00933A3D" w:rsidRPr="0021550A">
        <w:rPr>
          <w:i/>
        </w:rPr>
        <w:t>Linguistic Atlas of Late Mediaeval English</w:t>
      </w:r>
      <w:r w:rsidR="00933A3D">
        <w:t xml:space="preserve"> (McIntosh, Samuels &amp; Benskin 1986), which </w:t>
      </w:r>
      <w:r w:rsidR="00933A3D" w:rsidRPr="0021550A">
        <w:t>looked at combinations of spelling variants</w:t>
      </w:r>
      <w:r w:rsidR="00933A3D">
        <w:t xml:space="preserve"> as an indicator of provenance. </w:t>
      </w:r>
      <w:r w:rsidR="00933A3D" w:rsidRPr="0021550A">
        <w:t xml:space="preserve">The </w:t>
      </w:r>
      <w:r w:rsidR="00933A3D" w:rsidRPr="0021550A">
        <w:rPr>
          <w:i/>
        </w:rPr>
        <w:t>Linguistic Atlas of Late Mediaeval English</w:t>
      </w:r>
      <w:r w:rsidR="00933A3D" w:rsidRPr="0021550A">
        <w:t xml:space="preserve"> (</w:t>
      </w:r>
      <w:r w:rsidR="00212782">
        <w:t>or</w:t>
      </w:r>
      <w:r w:rsidR="00933A3D" w:rsidRPr="0021550A">
        <w:t xml:space="preserve"> </w:t>
      </w:r>
      <w:r w:rsidR="00933A3D" w:rsidRPr="0021550A">
        <w:rPr>
          <w:i/>
        </w:rPr>
        <w:t>LALME</w:t>
      </w:r>
      <w:r w:rsidR="00933A3D" w:rsidRPr="0021550A">
        <w:t xml:space="preserve">) is the end result of a decades-long project to </w:t>
      </w:r>
      <w:r w:rsidR="00933A3D">
        <w:t>map</w:t>
      </w:r>
      <w:r w:rsidR="00933A3D" w:rsidRPr="0021550A">
        <w:t xml:space="preserve"> hundreds of manuscripts from 1350 to 1450 based on their provenance. For each manuscript in the </w:t>
      </w:r>
      <w:r w:rsidR="00933A3D" w:rsidRPr="0021550A">
        <w:rPr>
          <w:i/>
        </w:rPr>
        <w:t>Atlas</w:t>
      </w:r>
      <w:r w:rsidR="00F34472">
        <w:t xml:space="preserve">, the compilers filled out what they describe as a </w:t>
      </w:r>
      <w:r w:rsidR="00933A3D" w:rsidRPr="0021550A">
        <w:t>questionnaire</w:t>
      </w:r>
      <w:r w:rsidR="00F34472">
        <w:t>,</w:t>
      </w:r>
      <w:r w:rsidR="00933A3D" w:rsidRPr="0021550A">
        <w:t xml:space="preserve"> </w:t>
      </w:r>
      <w:r w:rsidR="004A67CE">
        <w:t>documenting</w:t>
      </w:r>
      <w:r w:rsidR="00933A3D" w:rsidRPr="0021550A">
        <w:t xml:space="preserve"> the spelling variants that appeared in the text; the manuscripts were located geographically within a series of ever-narrowing isoglosses—or perhaps more accurately orthoglosses—based on the spellings that were used in the manuscript. Through mapping manuscripts based on their spellings, the </w:t>
      </w:r>
      <w:r w:rsidR="00933A3D" w:rsidRPr="0021550A">
        <w:rPr>
          <w:i/>
        </w:rPr>
        <w:t>LALME</w:t>
      </w:r>
      <w:r w:rsidR="00933A3D" w:rsidRPr="0021550A">
        <w:t xml:space="preserve"> project identified the spelling variants that were most commonly used in different geographic regions in the period c. 1350 to 1450. </w:t>
      </w:r>
    </w:p>
    <w:p w14:paraId="639B5936" w14:textId="57D09819" w:rsidR="003F1F30" w:rsidRDefault="00933A3D" w:rsidP="000A25E2">
      <w:r w:rsidRPr="0021550A">
        <w:rPr>
          <w:i/>
        </w:rPr>
        <w:t>LALME</w:t>
      </w:r>
      <w:r w:rsidRPr="0021550A">
        <w:t xml:space="preserve"> is not the only research to have looked at combinations of spellings as a marker for provenance or dialect. Michael Samuels</w:t>
      </w:r>
      <w:r>
        <w:t>’</w:t>
      </w:r>
      <w:r w:rsidRPr="0021550A">
        <w:t xml:space="preserve"> four medieval orthographic </w:t>
      </w:r>
      <w:r w:rsidR="00F53725">
        <w:t xml:space="preserve">incipient </w:t>
      </w:r>
      <w:r w:rsidRPr="0021550A">
        <w:lastRenderedPageBreak/>
        <w:t xml:space="preserve">standards are defined by the presence (or absence) of a number of specific spellings </w:t>
      </w:r>
      <w:r>
        <w:t>(1963)</w:t>
      </w:r>
      <w:r w:rsidRPr="0021550A">
        <w:t xml:space="preserve">. Of particular prominence is Samuels’ Type IV, known otherwise as “Chancery Standard”, which was characterised by the presence of </w:t>
      </w:r>
      <w:r w:rsidR="00F53725">
        <w:t>particular</w:t>
      </w:r>
      <w:r w:rsidRPr="0021550A">
        <w:t xml:space="preserve"> spellings, severa</w:t>
      </w:r>
      <w:r w:rsidR="00C118FB">
        <w:t xml:space="preserve">l of which are found in Present </w:t>
      </w:r>
      <w:r w:rsidRPr="0021550A">
        <w:t xml:space="preserve">Day English—such as </w:t>
      </w:r>
      <w:r w:rsidRPr="0021550A">
        <w:rPr>
          <w:i/>
        </w:rPr>
        <w:t>not</w:t>
      </w:r>
      <w:r w:rsidRPr="0021550A">
        <w:t xml:space="preserve">, </w:t>
      </w:r>
      <w:r w:rsidRPr="0021550A">
        <w:rPr>
          <w:i/>
        </w:rPr>
        <w:t>such</w:t>
      </w:r>
      <w:r w:rsidRPr="0021550A">
        <w:t xml:space="preserve">, and </w:t>
      </w:r>
      <w:r w:rsidRPr="0021550A">
        <w:rPr>
          <w:i/>
        </w:rPr>
        <w:t>any</w:t>
      </w:r>
      <w:r w:rsidRPr="0021550A">
        <w:t xml:space="preserve">. </w:t>
      </w:r>
      <w:r>
        <w:t>Of Samuels’ four standards, Chancery Standard occurs the latest, characterised as “</w:t>
      </w:r>
      <w:r w:rsidRPr="008C5A64">
        <w:t>that flood of</w:t>
      </w:r>
      <w:r>
        <w:t xml:space="preserve"> </w:t>
      </w:r>
      <w:r w:rsidRPr="008C5A64">
        <w:t>government documents that</w:t>
      </w:r>
      <w:r>
        <w:t xml:space="preserve"> starts in the years following </w:t>
      </w:r>
      <w:r w:rsidRPr="008C5A64">
        <w:t>1430</w:t>
      </w:r>
      <w:r>
        <w:t xml:space="preserve">” (1963: 71). </w:t>
      </w:r>
      <w:r w:rsidR="003F1F30">
        <w:t xml:space="preserve">Samuels’ discussion of Chancery Standard has since been extended. Of note is John Fisher’s </w:t>
      </w:r>
      <w:r w:rsidR="00193413">
        <w:t xml:space="preserve">(1996) </w:t>
      </w:r>
      <w:r w:rsidR="003F1F30">
        <w:t xml:space="preserve">attempt to expand Samuels’ original typology of spellings </w:t>
      </w:r>
      <w:r w:rsidR="00193413">
        <w:t xml:space="preserve">to encompass a wider range of spellings, which was subsequently strongly refuted by Michael Benskin (2004: 50), on the grounds that the standard language used in the Chancery and Signet offices was Latin. </w:t>
      </w:r>
    </w:p>
    <w:p w14:paraId="54600131" w14:textId="7FD43F7D" w:rsidR="006911A4" w:rsidRDefault="00136362" w:rsidP="000A25E2">
      <w:r w:rsidRPr="0021550A">
        <w:t xml:space="preserve">Both </w:t>
      </w:r>
      <w:r w:rsidRPr="0021550A">
        <w:rPr>
          <w:i/>
        </w:rPr>
        <w:t>LALME</w:t>
      </w:r>
      <w:r w:rsidRPr="0021550A">
        <w:t xml:space="preserve"> and Samuels’ medieval types created a typology of spellings that can be used to identify a written dialect</w:t>
      </w:r>
      <w:r w:rsidR="001E49D8">
        <w:t xml:space="preserve"> (or an incipient standard, in the case of Chancery Standard)</w:t>
      </w:r>
      <w:r w:rsidRPr="0021550A">
        <w:t xml:space="preserve">. By matching spellings in a manuscript to the questionnaire of spellings in </w:t>
      </w:r>
      <w:r w:rsidRPr="0021550A">
        <w:rPr>
          <w:i/>
        </w:rPr>
        <w:t>LALME</w:t>
      </w:r>
      <w:r w:rsidRPr="0021550A">
        <w:t xml:space="preserve"> or the eight spellings linked to Chancery Standard</w:t>
      </w:r>
      <w:r w:rsidR="004A67CE">
        <w:t>,</w:t>
      </w:r>
      <w:r w:rsidRPr="0021550A">
        <w:t xml:space="preserve"> anyone can find out where </w:t>
      </w:r>
      <w:r w:rsidRPr="0021550A">
        <w:rPr>
          <w:i/>
        </w:rPr>
        <w:t>LALME</w:t>
      </w:r>
      <w:r w:rsidR="004A67CE">
        <w:t xml:space="preserve"> localises their manuscript</w:t>
      </w:r>
      <w:r w:rsidRPr="0021550A">
        <w:t xml:space="preserve"> or whether their manuscript contains Chancery Standard spellings.</w:t>
      </w:r>
      <w:r>
        <w:t xml:space="preserve"> Other studies into late medieval spelling practices have also focused on the retention o</w:t>
      </w:r>
      <w:r w:rsidR="00352C05">
        <w:t xml:space="preserve">f dialect features in the text: </w:t>
      </w:r>
      <w:r w:rsidR="009D6D50" w:rsidRPr="009D6D50">
        <w:t xml:space="preserve">Michael Samuels (1985) discusses the preservation of written Suffolk dialect features in successive copies of </w:t>
      </w:r>
      <w:r w:rsidR="009D6D50" w:rsidRPr="009D6D50">
        <w:rPr>
          <w:i/>
        </w:rPr>
        <w:t>Piers Plowman</w:t>
      </w:r>
      <w:r w:rsidR="009D6D50" w:rsidRPr="009D6D50">
        <w:t xml:space="preserve">, and Smith </w:t>
      </w:r>
      <w:r w:rsidR="004A67CE">
        <w:t>and</w:t>
      </w:r>
      <w:r w:rsidR="009D6D50">
        <w:t xml:space="preserve"> Samuels </w:t>
      </w:r>
      <w:r w:rsidR="009D6D50" w:rsidRPr="009D6D50">
        <w:t xml:space="preserve">(1981) investigate the retention of the Kentish dialect in the </w:t>
      </w:r>
      <w:r w:rsidR="009D6D50" w:rsidRPr="009D6D50">
        <w:rPr>
          <w:i/>
        </w:rPr>
        <w:t>Confessio Amantis</w:t>
      </w:r>
      <w:r w:rsidR="009D6D50">
        <w:t>. Further</w:t>
      </w:r>
      <w:r w:rsidR="009D6D50" w:rsidRPr="009D6D50">
        <w:t xml:space="preserve"> notable studies into the language of manuscript copies include</w:t>
      </w:r>
      <w:r w:rsidR="009D6D50">
        <w:t xml:space="preserve"> those undertaken by</w:t>
      </w:r>
      <w:r w:rsidR="009D6D50" w:rsidRPr="009D6D50">
        <w:t xml:space="preserve"> </w:t>
      </w:r>
      <w:r w:rsidR="009D6D50">
        <w:t xml:space="preserve">Benskin </w:t>
      </w:r>
      <w:r w:rsidR="00E40DCC">
        <w:t>and</w:t>
      </w:r>
      <w:r w:rsidR="009D6D50">
        <w:t xml:space="preserve"> Laing </w:t>
      </w:r>
      <w:r w:rsidR="00C118FB">
        <w:t>(</w:t>
      </w:r>
      <w:r w:rsidR="009D6D50">
        <w:t>1981</w:t>
      </w:r>
      <w:r w:rsidR="00C118FB">
        <w:t>)</w:t>
      </w:r>
      <w:r w:rsidR="009D6D50">
        <w:t>,</w:t>
      </w:r>
      <w:r w:rsidR="009D6D50" w:rsidRPr="009D6D50">
        <w:t xml:space="preserve"> </w:t>
      </w:r>
      <w:r w:rsidR="00E40DCC">
        <w:t xml:space="preserve">Samuels </w:t>
      </w:r>
      <w:r w:rsidR="00C118FB">
        <w:t>(</w:t>
      </w:r>
      <w:r w:rsidR="00E40DCC">
        <w:t>1988</w:t>
      </w:r>
      <w:r w:rsidR="00C118FB">
        <w:t>)</w:t>
      </w:r>
      <w:r w:rsidR="00E40DCC">
        <w:t>,</w:t>
      </w:r>
      <w:r w:rsidR="009D6D50">
        <w:t xml:space="preserve"> Smith </w:t>
      </w:r>
      <w:r w:rsidR="00C118FB">
        <w:t>(</w:t>
      </w:r>
      <w:r w:rsidR="009D6D50">
        <w:t>1988</w:t>
      </w:r>
      <w:r w:rsidR="00C118FB">
        <w:t>)</w:t>
      </w:r>
      <w:r w:rsidR="009D6D50">
        <w:t xml:space="preserve">, </w:t>
      </w:r>
      <w:r w:rsidR="00E40DCC">
        <w:t xml:space="preserve">and </w:t>
      </w:r>
      <w:r w:rsidR="009D6D50">
        <w:t xml:space="preserve">Gillespie </w:t>
      </w:r>
      <w:r w:rsidR="00C118FB">
        <w:t>(</w:t>
      </w:r>
      <w:r w:rsidR="009D6D50">
        <w:t>1989</w:t>
      </w:r>
      <w:r w:rsidR="00C118FB">
        <w:t>)</w:t>
      </w:r>
      <w:r w:rsidR="009D6D50" w:rsidRPr="009D6D50">
        <w:t>.</w:t>
      </w:r>
      <w:r w:rsidR="004A4DC8">
        <w:t xml:space="preserve"> </w:t>
      </w:r>
    </w:p>
    <w:p w14:paraId="4DE43E39" w14:textId="7CC58F5E" w:rsidR="006911A4" w:rsidRDefault="004A4DC8" w:rsidP="006911A4">
      <w:r>
        <w:t xml:space="preserve">While the majority of studies into spelling variation in fifteenth-century texts </w:t>
      </w:r>
      <w:r w:rsidR="00352C05">
        <w:t>focus on</w:t>
      </w:r>
      <w:r>
        <w:t xml:space="preserve"> dialect spellings, </w:t>
      </w:r>
      <w:r w:rsidR="004A67CE">
        <w:t>the use of</w:t>
      </w:r>
      <w:r w:rsidR="008700CB">
        <w:t xml:space="preserve"> </w:t>
      </w:r>
      <w:r>
        <w:t xml:space="preserve">dialect spellings </w:t>
      </w:r>
      <w:r w:rsidR="008700CB">
        <w:t xml:space="preserve">as data </w:t>
      </w:r>
      <w:r>
        <w:t>will not work for the present study.</w:t>
      </w:r>
      <w:r w:rsidR="006911A4">
        <w:t xml:space="preserve"> By the time that Caxton was printing, dialect spellings had begun to decline in use, and </w:t>
      </w:r>
      <w:r w:rsidR="004A67CE">
        <w:t xml:space="preserve">were </w:t>
      </w:r>
      <w:r w:rsidR="006911A4">
        <w:t>replaced instead by spellings that are often described as being dialectally colourless (Smith 1988, Blake 1996, Horobin 2007, Lange 2012), that is, the spellings are not linked to any geographical area.</w:t>
      </w:r>
      <w:r w:rsidR="001450D0">
        <w:t xml:space="preserve"> S</w:t>
      </w:r>
      <w:r w:rsidR="006911A4">
        <w:t>ome dialect spellings do remain in Caxton’s texts but these</w:t>
      </w:r>
      <w:r w:rsidR="001450D0">
        <w:t xml:space="preserve"> spellings are infrequent and limited in number</w:t>
      </w:r>
      <w:r w:rsidR="009525A5">
        <w:t>.</w:t>
      </w:r>
      <w:r w:rsidR="007C6170">
        <w:t xml:space="preserve"> </w:t>
      </w:r>
    </w:p>
    <w:p w14:paraId="6C8FFF8D" w14:textId="3F3DAC0E" w:rsidR="008700CB" w:rsidRDefault="00E35367" w:rsidP="007F5E7B">
      <w:r>
        <w:t xml:space="preserve">Dialect spellings are </w:t>
      </w:r>
      <w:r w:rsidR="004A67CE">
        <w:t xml:space="preserve">also </w:t>
      </w:r>
      <w:r>
        <w:t xml:space="preserve">unsuitable for this study, because </w:t>
      </w:r>
      <w:r w:rsidR="008700CB">
        <w:t xml:space="preserve">dialect spellings are by definition used by more than one person. </w:t>
      </w:r>
      <w:r w:rsidR="007F5E7B">
        <w:t xml:space="preserve">More precisely, dialect spellings are spellings that have been linked to a specific geographic area. </w:t>
      </w:r>
      <w:r w:rsidR="00322130">
        <w:t xml:space="preserve">One of the aims of this study is to </w:t>
      </w:r>
      <w:r w:rsidR="007F5E7B">
        <w:t>differentiate between parts of a text that were created by different people, but it is possible that the people working for Caxton may have used the same dialect spellings.</w:t>
      </w:r>
      <w:r w:rsidR="00322130">
        <w:t xml:space="preserve"> </w:t>
      </w:r>
      <w:r w:rsidR="00640BB8">
        <w:t xml:space="preserve">Circumstantial evidence suggests that Caxton may have brought the Flemish compositor Wynkyn de Worde to Westminster with him when he set up his printing house </w:t>
      </w:r>
      <w:r w:rsidR="00C10960" w:rsidRPr="00C10960">
        <w:t>(Blake 2004c)</w:t>
      </w:r>
      <w:r w:rsidR="00640BB8">
        <w:t xml:space="preserve">. Over the next twenty years Caxton </w:t>
      </w:r>
      <w:r w:rsidR="00C01220">
        <w:t>had to hire more staff;</w:t>
      </w:r>
      <w:r w:rsidR="00640BB8">
        <w:t xml:space="preserve"> </w:t>
      </w:r>
      <w:r w:rsidR="00444E46">
        <w:t xml:space="preserve">we know that by the </w:t>
      </w:r>
      <w:r w:rsidR="00444E46">
        <w:lastRenderedPageBreak/>
        <w:t xml:space="preserve">time he printed his first edition of the </w:t>
      </w:r>
      <w:r w:rsidR="00444E46">
        <w:rPr>
          <w:i/>
        </w:rPr>
        <w:t>Canterbury Tales</w:t>
      </w:r>
      <w:r w:rsidR="00444E46">
        <w:t xml:space="preserve"> in 1477</w:t>
      </w:r>
      <w:r w:rsidR="00C01220">
        <w:t xml:space="preserve"> </w:t>
      </w:r>
      <w:r w:rsidR="00CE3029">
        <w:t xml:space="preserve">that </w:t>
      </w:r>
      <w:r w:rsidR="00C01220">
        <w:t xml:space="preserve">his printing house contained enough staff and enough machinery for two compositors and two presses to work concurrently (Hellinga </w:t>
      </w:r>
      <w:r w:rsidR="00BC2828">
        <w:t>&amp;</w:t>
      </w:r>
      <w:r w:rsidR="00C01220">
        <w:t xml:space="preserve"> Painter 2007). It</w:t>
      </w:r>
      <w:r w:rsidR="00640BB8">
        <w:t xml:space="preserve"> is likely that Caxton recruited more compositors locally, and these local compositors may have used the same dialect spellings</w:t>
      </w:r>
      <w:r w:rsidR="00CE3029">
        <w:t xml:space="preserve"> as one another</w:t>
      </w:r>
      <w:r w:rsidR="00640BB8">
        <w:t>. For this reason</w:t>
      </w:r>
      <w:r>
        <w:t>,</w:t>
      </w:r>
      <w:r w:rsidR="00640BB8">
        <w:t xml:space="preserve"> focusing on dialect spellings </w:t>
      </w:r>
      <w:r w:rsidR="00C10960">
        <w:t>is too broad an approach for</w:t>
      </w:r>
      <w:r w:rsidR="00640BB8">
        <w:t xml:space="preserve"> this study: I aim to</w:t>
      </w:r>
      <w:r w:rsidR="000A25E2">
        <w:t xml:space="preserve"> distinguish between individuals who worked on a printed edition of the text (or its copy</w:t>
      </w:r>
      <w:r w:rsidR="00640BB8">
        <w:t xml:space="preserve"> text) based on spellings alone, and if Caxton’s compositors </w:t>
      </w:r>
      <w:r w:rsidR="00CE3029">
        <w:t>did use</w:t>
      </w:r>
      <w:r w:rsidR="00640BB8">
        <w:t xml:space="preserve"> the same dialect spellings it </w:t>
      </w:r>
      <w:r w:rsidR="00C10960">
        <w:t>would</w:t>
      </w:r>
      <w:r w:rsidR="00640BB8">
        <w:t xml:space="preserve"> be difficult to distinguish between them. </w:t>
      </w:r>
      <w:r w:rsidR="007C6170">
        <w:t xml:space="preserve">In order to focus this research on isolating the spellings used by individuals it is necessary to look at spelling variation at the level of idiolect. </w:t>
      </w:r>
    </w:p>
    <w:p w14:paraId="1005E0F0" w14:textId="77777777" w:rsidR="007C6170" w:rsidRDefault="007C6170" w:rsidP="004A4DC8"/>
    <w:p w14:paraId="4C930BB6" w14:textId="52D738D2" w:rsidR="007C6170" w:rsidRDefault="007C6170" w:rsidP="007C6170">
      <w:pPr>
        <w:pStyle w:val="Heading3"/>
      </w:pPr>
      <w:r>
        <w:t>Orthographic idiolects</w:t>
      </w:r>
    </w:p>
    <w:p w14:paraId="707B0830" w14:textId="359DCC27" w:rsidR="002D4BF5" w:rsidRDefault="00E42B42" w:rsidP="002D4BF5">
      <w:r>
        <w:t xml:space="preserve">This thesis focuses on the use of spellings at the level of idiolect, where an individual uses a set of spellings that is specific to </w:t>
      </w:r>
      <w:r w:rsidR="00E35367">
        <w:t>that individual</w:t>
      </w:r>
      <w:r>
        <w:t xml:space="preserve">, as opposed to the members of a language community using the same set of spellings. </w:t>
      </w:r>
      <w:r w:rsidR="00B60451">
        <w:t xml:space="preserve">The concept of an orthographic idiolect in historical writing is not new. In the letters of the </w:t>
      </w:r>
      <w:r w:rsidR="00B60451" w:rsidRPr="00F26DAC">
        <w:rPr>
          <w:i/>
        </w:rPr>
        <w:t>Corpus of Early English Correspondence</w:t>
      </w:r>
      <w:r w:rsidR="00B60451">
        <w:t xml:space="preserve"> (</w:t>
      </w:r>
      <w:r w:rsidR="00B60451" w:rsidRPr="007B3AE0">
        <w:rPr>
          <w:i/>
        </w:rPr>
        <w:t>CEEC</w:t>
      </w:r>
      <w:r w:rsidR="00A36A4B">
        <w:t>), Kaislaniemi, Evans, Juvonen, and</w:t>
      </w:r>
      <w:r w:rsidR="00B60451">
        <w:t xml:space="preserve"> Sairio </w:t>
      </w:r>
      <w:r w:rsidR="00DA5315">
        <w:t xml:space="preserve">(2017) </w:t>
      </w:r>
      <w:r w:rsidR="00B60451">
        <w:t xml:space="preserve">show that idiolectal variation dominates in fifteenth-century letters, and Norman Davis </w:t>
      </w:r>
      <w:r w:rsidR="00AC261D">
        <w:t xml:space="preserve">(1983) </w:t>
      </w:r>
      <w:r w:rsidR="00B60451">
        <w:t xml:space="preserve">undertook an exploration of the development of the idiolects of the two Paston brothers, </w:t>
      </w:r>
      <w:r w:rsidR="005D6CEA">
        <w:t>John II and John III</w:t>
      </w:r>
      <w:r w:rsidR="00B60451">
        <w:t xml:space="preserve">. </w:t>
      </w:r>
      <w:r w:rsidR="00DE0B1F">
        <w:t>T</w:t>
      </w:r>
      <w:r w:rsidR="00B60451">
        <w:t xml:space="preserve">he spelling systems of professional scribes have </w:t>
      </w:r>
      <w:r w:rsidR="00DE0B1F">
        <w:t xml:space="preserve">also </w:t>
      </w:r>
      <w:r w:rsidR="00B60451">
        <w:t>been described as orthographic idiolects</w:t>
      </w:r>
      <w:r w:rsidR="00DA5315">
        <w:t xml:space="preserve"> </w:t>
      </w:r>
      <w:r w:rsidR="00DA5315" w:rsidRPr="00DA5315">
        <w:t>(Neva</w:t>
      </w:r>
      <w:r w:rsidR="00DA5315">
        <w:t xml:space="preserve">lainen &amp; Raumolin-Brunberg 1989, Machan 1997, Horobin 2000, </w:t>
      </w:r>
      <w:r w:rsidR="00DA5315" w:rsidRPr="00DA5315">
        <w:t>Horobin 2016)</w:t>
      </w:r>
      <w:r w:rsidR="00855E54">
        <w:t>.</w:t>
      </w:r>
      <w:r w:rsidR="00DE0B1F">
        <w:t xml:space="preserve"> </w:t>
      </w:r>
      <w:r w:rsidR="002D4BF5">
        <w:t xml:space="preserve">In this study I use idiolect spellings to differentiate between individuals working on Caxton’s texts. In doing so </w:t>
      </w:r>
      <w:r w:rsidR="00E35367">
        <w:t xml:space="preserve">I </w:t>
      </w:r>
      <w:r w:rsidR="002D4BF5">
        <w:t xml:space="preserve">demonstrate that the idiolectal variation </w:t>
      </w:r>
      <w:r w:rsidR="00AC261D">
        <w:t xml:space="preserve">present in these texts </w:t>
      </w:r>
      <w:r w:rsidR="002D4BF5">
        <w:t xml:space="preserve">is sufficiently varied to distinguish between individual writers and compositors based on spelling alone. </w:t>
      </w:r>
    </w:p>
    <w:p w14:paraId="66FA76FE" w14:textId="383E1754" w:rsidR="00420F66" w:rsidRDefault="002D4BF5" w:rsidP="007B3AE0">
      <w:r>
        <w:t xml:space="preserve">For the purposes of this study I define orthographic idiolect as </w:t>
      </w:r>
      <w:r w:rsidR="00083717">
        <w:t>the s</w:t>
      </w:r>
      <w:r w:rsidR="008113B0">
        <w:t>pellings used by one individual, which includes all the spellings for every word th</w:t>
      </w:r>
      <w:r w:rsidR="00420F66">
        <w:t xml:space="preserve">at person has ever written and the extent to which each spelling is used relative to the other spellings used to represent the same word. </w:t>
      </w:r>
      <w:r w:rsidR="00FE6288">
        <w:t>The number of spellings represents a key difference between</w:t>
      </w:r>
      <w:r w:rsidR="00C2074E">
        <w:t xml:space="preserve"> the study of</w:t>
      </w:r>
      <w:r w:rsidR="00FE6288">
        <w:t xml:space="preserve"> idiolect and dialect spellings, because while idiolect spellings include all the spellings used by an individual, not all spellings can be linked to a dialect. </w:t>
      </w:r>
      <w:r w:rsidR="00C2074E">
        <w:t xml:space="preserve">For example, neither the </w:t>
      </w:r>
      <w:r w:rsidR="00C2074E">
        <w:rPr>
          <w:i/>
        </w:rPr>
        <w:t>i</w:t>
      </w:r>
      <w:r w:rsidR="00C2074E">
        <w:t>/</w:t>
      </w:r>
      <w:r w:rsidR="00C2074E">
        <w:rPr>
          <w:i/>
        </w:rPr>
        <w:t xml:space="preserve">y </w:t>
      </w:r>
      <w:r w:rsidR="00C2074E">
        <w:t xml:space="preserve">variation in </w:t>
      </w:r>
      <w:r w:rsidR="00FC3971">
        <w:t>spellings</w:t>
      </w:r>
      <w:r w:rsidR="00C2074E">
        <w:t xml:space="preserve"> such as </w:t>
      </w:r>
      <w:r w:rsidR="00C2074E">
        <w:rPr>
          <w:i/>
        </w:rPr>
        <w:t>which/whych</w:t>
      </w:r>
      <w:r w:rsidR="00C2074E">
        <w:t xml:space="preserve"> nor the use of final –</w:t>
      </w:r>
      <w:r w:rsidR="00C2074E">
        <w:rPr>
          <w:i/>
        </w:rPr>
        <w:t>e</w:t>
      </w:r>
      <w:r w:rsidR="00C2074E">
        <w:t xml:space="preserve"> </w:t>
      </w:r>
      <w:r w:rsidR="00D92619">
        <w:t xml:space="preserve">(e.g. in </w:t>
      </w:r>
      <w:r w:rsidR="00D92619">
        <w:rPr>
          <w:i/>
        </w:rPr>
        <w:t>all</w:t>
      </w:r>
      <w:r w:rsidR="00D92619">
        <w:t>/</w:t>
      </w:r>
      <w:r w:rsidR="00D92619">
        <w:rPr>
          <w:i/>
        </w:rPr>
        <w:t>alle</w:t>
      </w:r>
      <w:r w:rsidR="00D92619">
        <w:t xml:space="preserve">) </w:t>
      </w:r>
      <w:r w:rsidR="00C2074E">
        <w:t>is linked to a dialect. Instead, these variations have been viewed as unimportant, presumably because they are not associated with a wider dialectal ten</w:t>
      </w:r>
      <w:r w:rsidR="00FC3971">
        <w:t>dency</w:t>
      </w:r>
      <w:r w:rsidR="00C2074E">
        <w:t xml:space="preserve"> and </w:t>
      </w:r>
      <w:r w:rsidR="00FC3971">
        <w:t xml:space="preserve">because </w:t>
      </w:r>
      <w:r w:rsidR="00C2074E">
        <w:t xml:space="preserve">use of these variables differs between writers: John Fisher </w:t>
      </w:r>
      <w:r w:rsidR="00ED092E">
        <w:t xml:space="preserve">(1996: 50) </w:t>
      </w:r>
      <w:r w:rsidR="00C01220">
        <w:t>describes</w:t>
      </w:r>
      <w:r w:rsidR="00C2074E">
        <w:t xml:space="preserve"> such variations in spelling as “non-distinctive”</w:t>
      </w:r>
      <w:r w:rsidR="00F309BA">
        <w:t xml:space="preserve">, </w:t>
      </w:r>
      <w:r w:rsidR="00C2074E">
        <w:t xml:space="preserve">and Donald Scragg </w:t>
      </w:r>
      <w:r w:rsidR="00ED092E">
        <w:t xml:space="preserve">(1974: 21) </w:t>
      </w:r>
      <w:r w:rsidR="00C2074E">
        <w:t xml:space="preserve">dismisses the </w:t>
      </w:r>
      <w:r w:rsidR="00C2074E">
        <w:lastRenderedPageBreak/>
        <w:t>variations as being interchangeable throughout Middle English</w:t>
      </w:r>
      <w:r w:rsidR="00F309BA">
        <w:t xml:space="preserve">. </w:t>
      </w:r>
      <w:r w:rsidR="00420F66">
        <w:t>As such, o</w:t>
      </w:r>
      <w:r w:rsidR="00B60451">
        <w:t xml:space="preserve">rthographic idiolects are not incompatible with </w:t>
      </w:r>
      <w:r w:rsidR="00890D01">
        <w:t xml:space="preserve">spelling practices used by a larger language community, such as dialect or </w:t>
      </w:r>
      <w:r w:rsidR="00B60451">
        <w:t xml:space="preserve">early medieval standards. For example, it is possible for a scribe to adhere to the Chancery Standard spellings, whilst also using their own preferred spellings for other words that do not have a Chancery spelling. </w:t>
      </w:r>
    </w:p>
    <w:p w14:paraId="0E80E96E" w14:textId="77777777" w:rsidR="00995799" w:rsidRDefault="007E35B0" w:rsidP="008471B5">
      <w:r>
        <w:t>The value of including idiolect spellings as well as dialect spellings lies in the</w:t>
      </w:r>
      <w:r w:rsidR="00194425">
        <w:t xml:space="preserve"> greater</w:t>
      </w:r>
      <w:r>
        <w:t xml:space="preserve"> number of spellings that are subsequently </w:t>
      </w:r>
      <w:r w:rsidR="008471B5">
        <w:t>available for analysis</w:t>
      </w:r>
      <w:r>
        <w:t>.</w:t>
      </w:r>
      <w:r w:rsidR="008471B5">
        <w:t xml:space="preserve"> Idiolect spellings inclu</w:t>
      </w:r>
      <w:r w:rsidR="000B6F35">
        <w:t xml:space="preserve">de all the spellings </w:t>
      </w:r>
      <w:r w:rsidR="00EB0A79">
        <w:t xml:space="preserve">in </w:t>
      </w:r>
      <w:r w:rsidR="000B6F35">
        <w:t xml:space="preserve">any given text, whereas not all words are represented by a dialect spelling and so dialect spellings form a subset of the total. Using as many spellings in the analysis as possible gives us a greater chance of locating where a change in the individual undertaking the work takes place while exploring the layers of spellings in the text. While there is likely to be a great deal of overlap between individuals’ orthographic representations for the word </w:t>
      </w:r>
      <w:r w:rsidR="000B6F35">
        <w:rPr>
          <w:smallCaps/>
        </w:rPr>
        <w:t>which</w:t>
      </w:r>
      <w:r w:rsidR="000B6F35">
        <w:t xml:space="preserve">, for example, the overlap is likely to </w:t>
      </w:r>
      <w:r w:rsidR="00EB0A79">
        <w:t>diminish</w:t>
      </w:r>
      <w:r w:rsidR="000B6F35">
        <w:t xml:space="preserve"> as more and more words are considered: a high proportion of writers in the fifteenth century might use the same spellings for </w:t>
      </w:r>
      <w:r w:rsidR="000B6F35">
        <w:rPr>
          <w:smallCaps/>
        </w:rPr>
        <w:t>which</w:t>
      </w:r>
      <w:r w:rsidR="000B6F35">
        <w:t xml:space="preserve">, but </w:t>
      </w:r>
      <w:r w:rsidR="001B55CF">
        <w:t>the number of writers that use exactly the same spellings will decrease with each additional word incorporated into the analysis. F</w:t>
      </w:r>
      <w:r w:rsidR="000B6F35">
        <w:t xml:space="preserve">ewer writers will use the same spellings for all function words because there are more combinations of acceptable spellings for all the function words than there are for just the word </w:t>
      </w:r>
      <w:r w:rsidR="000B6F35">
        <w:rPr>
          <w:smallCaps/>
        </w:rPr>
        <w:t>which</w:t>
      </w:r>
      <w:r w:rsidR="000B6F35">
        <w:t>.</w:t>
      </w:r>
      <w:r w:rsidR="001B55CF">
        <w:t xml:space="preserve"> </w:t>
      </w:r>
      <w:r w:rsidR="00ED3238">
        <w:t xml:space="preserve">When we consider all the words used in Caxton’s texts and all the spelling variants used to represent these words, the likelihood that any two people will use the same spellings for every word is small. </w:t>
      </w:r>
    </w:p>
    <w:p w14:paraId="288F79EA" w14:textId="0287E47A" w:rsidR="008471B5" w:rsidRDefault="00ED3238" w:rsidP="008471B5">
      <w:r>
        <w:t>Compositors and scribes also use more than one spelling to rep</w:t>
      </w:r>
      <w:r w:rsidR="00D00A88">
        <w:t>resent many words, and the rate</w:t>
      </w:r>
      <w:r>
        <w:t xml:space="preserve"> that each spelling is used relative to other spellings used for the same words differs by individual. For example, where Compositor 1 of o</w:t>
      </w:r>
      <w:r w:rsidR="00EB0A79">
        <w:t>ne of Caxton’s texts may prefer</w:t>
      </w:r>
      <w:r>
        <w:t xml:space="preserve"> to represent </w:t>
      </w:r>
      <w:r>
        <w:rPr>
          <w:smallCaps/>
        </w:rPr>
        <w:t>which</w:t>
      </w:r>
      <w:r>
        <w:t xml:space="preserve"> by </w:t>
      </w:r>
      <w:r>
        <w:rPr>
          <w:i/>
        </w:rPr>
        <w:t>which</w:t>
      </w:r>
      <w:r>
        <w:t xml:space="preserve"> ninety per cent of the time and </w:t>
      </w:r>
      <w:r>
        <w:rPr>
          <w:i/>
        </w:rPr>
        <w:t>whych</w:t>
      </w:r>
      <w:r>
        <w:t xml:space="preserve"> the remaining ten per cent of the time, Compositor 2 may tend to write </w:t>
      </w:r>
      <w:r>
        <w:rPr>
          <w:i/>
        </w:rPr>
        <w:t>which</w:t>
      </w:r>
      <w:r>
        <w:t xml:space="preserve"> forty per cent of the time and </w:t>
      </w:r>
      <w:r>
        <w:rPr>
          <w:i/>
        </w:rPr>
        <w:t>whych</w:t>
      </w:r>
      <w:r>
        <w:t xml:space="preserve"> sixty per cent of the time. As such, a total overlap of idiolects between two writers is extremely unlikely, because each of Caxton’s texts contains thousands of words, and in the late fifteenth century a high proportion of words permitted a variable spelling. The probability that two scribes/compositors/writers used exactly the same spellings for the same words and those spellings were used an equal proportion of the time is minute, because there are innumerable combinations of spellings (and ratios of spellings) possible in the fifteenth century. Therefore b</w:t>
      </w:r>
      <w:r w:rsidR="004708CF">
        <w:t>y including the rates at which spellings are used by individuals in the definition of orthographic idiolect</w:t>
      </w:r>
      <w:r w:rsidR="00FF796D">
        <w:t xml:space="preserve"> used by this study</w:t>
      </w:r>
      <w:r w:rsidR="004708CF">
        <w:t>, the likelihood that any one person writing in the fifteenth century had the same idiolect as another</w:t>
      </w:r>
      <w:r w:rsidR="00A56A58">
        <w:t xml:space="preserve"> is further reduced</w:t>
      </w:r>
      <w:r w:rsidR="004708CF">
        <w:t xml:space="preserve">. </w:t>
      </w:r>
      <w:r w:rsidR="00ED121D">
        <w:t xml:space="preserve">Only through the use of quantitative methods </w:t>
      </w:r>
      <w:r w:rsidR="00834F03">
        <w:t>is</w:t>
      </w:r>
      <w:r w:rsidR="00ED121D">
        <w:t xml:space="preserve"> it</w:t>
      </w:r>
      <w:r w:rsidR="00834F03">
        <w:t xml:space="preserve"> possible to </w:t>
      </w:r>
      <w:r w:rsidR="00A245C6">
        <w:t>analyse all the spellings used by the people involved in printing at once</w:t>
      </w:r>
      <w:r w:rsidR="00ED121D">
        <w:t>.</w:t>
      </w:r>
    </w:p>
    <w:p w14:paraId="2EC53FF5" w14:textId="3EEF3DF6" w:rsidR="00600E10" w:rsidRDefault="00917D60" w:rsidP="00F76C49">
      <w:r>
        <w:lastRenderedPageBreak/>
        <w:t xml:space="preserve">It is beyond the scope of this thesis to </w:t>
      </w:r>
      <w:r w:rsidR="00F76C49">
        <w:t xml:space="preserve">create spelling profiles for </w:t>
      </w:r>
      <w:r w:rsidR="00FA67DA">
        <w:t xml:space="preserve">all </w:t>
      </w:r>
      <w:r w:rsidR="00F76C49">
        <w:t xml:space="preserve">the individuals involved in the printing process. </w:t>
      </w:r>
      <w:r w:rsidR="004A723D">
        <w:t>The layers</w:t>
      </w:r>
      <w:r>
        <w:t xml:space="preserve"> of spellings</w:t>
      </w:r>
      <w:r w:rsidR="004A723D">
        <w:t xml:space="preserve"> that are</w:t>
      </w:r>
      <w:r>
        <w:t xml:space="preserve"> </w:t>
      </w:r>
      <w:r w:rsidR="00F53D27">
        <w:t xml:space="preserve">introduced into the texts as a result of successive copying </w:t>
      </w:r>
      <w:r w:rsidR="00696750">
        <w:t xml:space="preserve">make it difficult to separate the spellings introduced by compositors from the spellings that the compositors copied from their copy texts. </w:t>
      </w:r>
      <w:r w:rsidR="00C173B1">
        <w:t xml:space="preserve">Instead, this study uses quantitative methods to determine where </w:t>
      </w:r>
      <w:r w:rsidR="00600E10">
        <w:t xml:space="preserve">there are changes in lots of spellings and thus a change in the orthographic idiolects. In this way, I use spelling variation to find out where there is a change in the person creating the text, without linking that person to a profile of spellings. </w:t>
      </w:r>
    </w:p>
    <w:p w14:paraId="7B28EE70" w14:textId="77777777" w:rsidR="00436653" w:rsidRDefault="00436653" w:rsidP="00F76C49"/>
    <w:p w14:paraId="3128DD25" w14:textId="77777777" w:rsidR="009343A4" w:rsidRDefault="009343A4" w:rsidP="009343A4">
      <w:pPr>
        <w:pStyle w:val="Heading3"/>
        <w:numPr>
          <w:ilvl w:val="2"/>
          <w:numId w:val="18"/>
        </w:numPr>
      </w:pPr>
      <w:r>
        <w:t xml:space="preserve">Theoretical approach to spelling data </w:t>
      </w:r>
    </w:p>
    <w:p w14:paraId="4E7C65F2" w14:textId="78B5D7BD" w:rsidR="009343A4" w:rsidRDefault="009343A4" w:rsidP="000E7252">
      <w:r>
        <w:t xml:space="preserve">The distinction between dialect and idiolect spellings and the simultaneous analysis of all the spellings within Caxton’s texts requires a change in the theoretical approach taken to the data. Previous studies have prioritised dialect spellings, particularly those that could imply a dialectal phonetic realisation, as being more salient than others, for example the presence of spellings for </w:t>
      </w:r>
      <w:r>
        <w:rPr>
          <w:smallCaps/>
        </w:rPr>
        <w:t>shall</w:t>
      </w:r>
      <w:r>
        <w:t xml:space="preserve"> such as </w:t>
      </w:r>
      <w:r>
        <w:rPr>
          <w:i/>
        </w:rPr>
        <w:t>xal</w:t>
      </w:r>
      <w:r>
        <w:t xml:space="preserve"> (as opposed to </w:t>
      </w:r>
      <w:r>
        <w:rPr>
          <w:i/>
        </w:rPr>
        <w:t>s</w:t>
      </w:r>
      <w:r>
        <w:t xml:space="preserve">- spellings such as </w:t>
      </w:r>
      <w:r>
        <w:rPr>
          <w:i/>
        </w:rPr>
        <w:t>shal, schal</w:t>
      </w:r>
      <w:r>
        <w:t xml:space="preserve">, </w:t>
      </w:r>
      <w:r w:rsidRPr="00406FA7">
        <w:rPr>
          <w:i/>
        </w:rPr>
        <w:t>shall</w:t>
      </w:r>
      <w:r>
        <w:t xml:space="preserve"> etc.). The perceived super-salience of dialect spellings in dialect studies is not controversial. However the present study is not a dialect study, but a study into spelling at the level of idiolect. As such I consider idiolect spellings to be the most important spellings for this research. This difference between taking dialect spellings or idiolect spellings as the focus has a direct impact on the number of spellings analysed and the approach taken to the spellings in question. Dialect studies focus on the limited set of spellings that are linked to the dialect under investigation, and in these studies all spellings associated with the dialect are of equal importance for the analysis, and non-dialect spellings are of lesser interest. In this study I focus on the spellings that comprise the idiolects of the individuals who wo</w:t>
      </w:r>
      <w:r w:rsidR="00EB0A79">
        <w:t>rked on the text, which include</w:t>
      </w:r>
      <w:r>
        <w:t xml:space="preserve"> all the spellings used in the text. I argue that all the spellings used in the text are of equal importance in exploring the layers of spelling used by the compositors and scribes. The approach taken is to analyse all the spellings in the text and to weight them all equally. The inclusion of a maximal number of spellings at any stage in the research is one of the founding principles of this thesis. </w:t>
      </w:r>
    </w:p>
    <w:p w14:paraId="34A5CBB1" w14:textId="5946E512" w:rsidR="0086129B" w:rsidRDefault="009343A4" w:rsidP="009343A4">
      <w:r>
        <w:t xml:space="preserve">The inclusion and equal weighting of all the spellings in a given text is grounded in theoretical concerns, but has implications for the quantitative analysis. The use of as many spellings as possible maximises the likelihood of locating a change in idiolect, because it is not clear from the outset which spellings will distinguish between compositors or the scribes who wrote the copy text. The more spellings that can be included in the analysis, the greater the confidence interval for the data. That is, the more </w:t>
      </w:r>
      <w:r>
        <w:lastRenderedPageBreak/>
        <w:t xml:space="preserve">spellings we include, the more confident we can be that the patterns that are </w:t>
      </w:r>
      <w:r w:rsidR="00EB0A79">
        <w:t>discernible</w:t>
      </w:r>
      <w:r>
        <w:t xml:space="preserve"> in the data are </w:t>
      </w:r>
      <w:r w:rsidR="00097625">
        <w:t>representative of the wider dataset</w:t>
      </w:r>
      <w:r>
        <w:t xml:space="preserve">. The inclusion of as many spellings as possible requires a different approach to the analysis compared with using just a particular set of dialect spellings. In order to use as many spellings as possible, it is necessary to take a bottom-up approach to the data, which takes the data first and the analysis that comes out is driven by the data. One of the key contributions of this thesis is the development of quantitative methods for exploring the variation in spellings within historical texts. </w:t>
      </w:r>
    </w:p>
    <w:p w14:paraId="292717BB" w14:textId="77777777" w:rsidR="00C07BCA" w:rsidRDefault="00C07BCA" w:rsidP="006113EF">
      <w:pPr>
        <w:ind w:firstLine="0"/>
      </w:pPr>
    </w:p>
    <w:p w14:paraId="01A5B7B0" w14:textId="113D4A8D" w:rsidR="00F07F6F" w:rsidRDefault="00F07F6F" w:rsidP="00CF4BBF">
      <w:pPr>
        <w:pStyle w:val="Heading2"/>
        <w:jc w:val="left"/>
      </w:pPr>
      <w:bookmarkStart w:id="10" w:name="_Toc497899833"/>
      <w:r>
        <w:t>Using quantitative methods to explore historical spelling variation</w:t>
      </w:r>
      <w:bookmarkEnd w:id="10"/>
    </w:p>
    <w:p w14:paraId="684F5123" w14:textId="30F3EAA3" w:rsidR="00041D2E" w:rsidRDefault="00BE4D36" w:rsidP="00041D2E">
      <w:r>
        <w:t xml:space="preserve">Previous approaches </w:t>
      </w:r>
      <w:r w:rsidR="00041D2E">
        <w:t xml:space="preserve">to spelling variation </w:t>
      </w:r>
      <w:r w:rsidR="00102DB9">
        <w:t xml:space="preserve">have mostly </w:t>
      </w:r>
      <w:r w:rsidR="00C32A03">
        <w:t>focused on locating</w:t>
      </w:r>
      <w:r w:rsidR="00041D2E">
        <w:t xml:space="preserve"> a set of pre-defined spellings within a text, and these spellings are often dialect spellings. For example, </w:t>
      </w:r>
      <w:r w:rsidR="00041D2E">
        <w:rPr>
          <w:i/>
        </w:rPr>
        <w:t>LALME</w:t>
      </w:r>
      <w:r w:rsidR="00041D2E">
        <w:t xml:space="preserve"> is itself a quantitative project, in that it uses the frequencies of different dialect spellings to show which forms are found in which geographical areas. </w:t>
      </w:r>
      <w:r w:rsidR="0062730A">
        <w:t xml:space="preserve">The </w:t>
      </w:r>
      <w:r w:rsidR="00041D2E">
        <w:rPr>
          <w:i/>
        </w:rPr>
        <w:t>LALME</w:t>
      </w:r>
      <w:r w:rsidR="00041D2E">
        <w:t xml:space="preserve"> </w:t>
      </w:r>
      <w:r w:rsidR="0062730A">
        <w:t xml:space="preserve">team </w:t>
      </w:r>
      <w:r w:rsidR="00041D2E">
        <w:t xml:space="preserve">used </w:t>
      </w:r>
      <w:r w:rsidR="0062730A">
        <w:t xml:space="preserve">what they described as </w:t>
      </w:r>
      <w:r w:rsidR="00041D2E">
        <w:t xml:space="preserve">a questionnaire </w:t>
      </w:r>
      <w:r w:rsidR="0062730A">
        <w:t xml:space="preserve">to collect their data. </w:t>
      </w:r>
      <w:r w:rsidR="002739C0">
        <w:t xml:space="preserve">The questionnaire contained all the spellings that the researchers were looking for as part of the data collection process. </w:t>
      </w:r>
      <w:r w:rsidR="00041D2E">
        <w:t xml:space="preserve">Other studies have approached historical spelling in a similar way. For example, Jeremy Smith’s exploration of the Kentish forms that remain in copies of Gower’s </w:t>
      </w:r>
      <w:r w:rsidR="00041D2E">
        <w:rPr>
          <w:i/>
        </w:rPr>
        <w:t>Confessio Amantis</w:t>
      </w:r>
      <w:r w:rsidR="00041D2E">
        <w:t xml:space="preserve"> </w:t>
      </w:r>
      <w:r w:rsidR="002739C0">
        <w:t>(1988)</w:t>
      </w:r>
      <w:r w:rsidR="00041D2E">
        <w:t xml:space="preserve">, Anneli Meurman-Solin’s research into the use of Scots dialect features in a range of text types </w:t>
      </w:r>
      <w:r w:rsidR="002739C0">
        <w:t xml:space="preserve">(2000), </w:t>
      </w:r>
      <w:r w:rsidR="00041D2E">
        <w:t xml:space="preserve">and Simon Horobin and Daniel Mosser’s </w:t>
      </w:r>
      <w:r w:rsidR="00DF17EE">
        <w:t xml:space="preserve">(2005) </w:t>
      </w:r>
      <w:r w:rsidR="002739C0">
        <w:t xml:space="preserve">study of the </w:t>
      </w:r>
      <w:r w:rsidR="00041D2E">
        <w:t>South-West Midland spellin</w:t>
      </w:r>
      <w:r w:rsidR="002739C0">
        <w:t>gs used by Scribe D</w:t>
      </w:r>
      <w:r w:rsidR="00041D2E">
        <w:t xml:space="preserve">. These studies were all undertaken with a similar approach to </w:t>
      </w:r>
      <w:r w:rsidR="00041D2E">
        <w:rPr>
          <w:i/>
        </w:rPr>
        <w:t>LALME</w:t>
      </w:r>
      <w:r w:rsidR="00041D2E">
        <w:t xml:space="preserve">, in that all these studies are concerned with </w:t>
      </w:r>
      <w:r w:rsidR="002739C0">
        <w:t xml:space="preserve">looking for </w:t>
      </w:r>
      <w:r w:rsidR="00041D2E">
        <w:t xml:space="preserve">a particular set of spellings, where that set of spellings comprises the set of Kentish, Scots, or South-West Midland dialect spellings respectively. </w:t>
      </w:r>
    </w:p>
    <w:p w14:paraId="6EE86DA2" w14:textId="528A1EBB" w:rsidR="004C1583" w:rsidRDefault="004C1583" w:rsidP="004C1583">
      <w:r>
        <w:t xml:space="preserve">Because of their focus on a pre-defined set of spellings, these studies are all undertaken </w:t>
      </w:r>
      <w:r w:rsidR="00C32A03">
        <w:t>using</w:t>
      </w:r>
      <w:r>
        <w:t xml:space="preserve"> a top-down </w:t>
      </w:r>
      <w:r w:rsidR="00C32A03">
        <w:t>approach</w:t>
      </w:r>
      <w:r>
        <w:t xml:space="preserve">; that is, these studies have begun by selecting the spellings and words that are of interest (i.e. the spellings that have been linked to the dialect in question), and then examined the relevant texts for evidence of these spellings. </w:t>
      </w:r>
      <w:r w:rsidR="006E62A5">
        <w:t xml:space="preserve">It was possible for Samuels to look for Suffolk dialect features in </w:t>
      </w:r>
      <w:r w:rsidR="006E62A5">
        <w:rPr>
          <w:i/>
        </w:rPr>
        <w:t>Piers Plowman</w:t>
      </w:r>
      <w:r w:rsidR="006E62A5">
        <w:t xml:space="preserve"> because he already knew which spellings were the marker of a Suffolk dialect. </w:t>
      </w:r>
      <w:r>
        <w:t xml:space="preserve">Studies into the use of Chancery Standard are </w:t>
      </w:r>
      <w:r w:rsidR="002739C0">
        <w:t>also</w:t>
      </w:r>
      <w:r>
        <w:t xml:space="preserve"> top-down studies, because they begin </w:t>
      </w:r>
      <w:r w:rsidR="002739C0">
        <w:t>with a known set of</w:t>
      </w:r>
      <w:r>
        <w:t xml:space="preserve"> spellings that characterise Chancery Standard, and then search for these spellings in the relevant texts. This top-down approach works well in these studies, because the focus of the research is dialect and in all cases the researchers were trying to </w:t>
      </w:r>
      <w:r w:rsidR="00EB0A79">
        <w:t xml:space="preserve">find </w:t>
      </w:r>
      <w:r>
        <w:t xml:space="preserve">evidence of </w:t>
      </w:r>
      <w:r w:rsidR="002739C0">
        <w:t>particular dialect</w:t>
      </w:r>
      <w:r>
        <w:t xml:space="preserve"> forms in the text. </w:t>
      </w:r>
    </w:p>
    <w:p w14:paraId="707C03CF" w14:textId="6DA1ADCC" w:rsidR="00EB0A79" w:rsidRDefault="00C32A03" w:rsidP="0063688A">
      <w:r>
        <w:lastRenderedPageBreak/>
        <w:t>For the present study, a top-down approach is not the best approach to the data because my focus is not on</w:t>
      </w:r>
      <w:r w:rsidR="0063688A">
        <w:t xml:space="preserve"> a limited set of spellings such as</w:t>
      </w:r>
      <w:r>
        <w:t xml:space="preserve"> dialect spellings</w:t>
      </w:r>
      <w:r w:rsidR="0063688A">
        <w:t>, but on all the spellings used by an individual—their idiolect</w:t>
      </w:r>
      <w:r>
        <w:t>.</w:t>
      </w:r>
      <w:r w:rsidR="0063688A">
        <w:t xml:space="preserve"> Unlike many of the previous studies into spelling and dialect, this thesis does not </w:t>
      </w:r>
      <w:r w:rsidR="0063688A" w:rsidRPr="0021550A">
        <w:t>aim to create a typology of spelli</w:t>
      </w:r>
      <w:r w:rsidR="0062730A">
        <w:t>ngs to represent Caxton’s texts</w:t>
      </w:r>
      <w:r w:rsidR="0063688A" w:rsidRPr="0021550A">
        <w:t xml:space="preserve">. </w:t>
      </w:r>
      <w:r w:rsidR="00595403">
        <w:t xml:space="preserve">Instead, I use quantitative methods to locate areas of unstable spelling use, that is, where one orthographic idiolect changes into another when more than one person worked on the text at once. </w:t>
      </w:r>
      <w:r w:rsidR="0063688A" w:rsidRPr="0021550A">
        <w:t>T</w:t>
      </w:r>
      <w:r w:rsidR="0063688A">
        <w:t>he shift in focus is mirrored by</w:t>
      </w:r>
      <w:r w:rsidR="0063688A" w:rsidRPr="0021550A">
        <w:t xml:space="preserve"> a </w:t>
      </w:r>
      <w:r w:rsidR="0063688A">
        <w:t>shift</w:t>
      </w:r>
      <w:r w:rsidR="0063688A" w:rsidRPr="0021550A">
        <w:t xml:space="preserve"> in the input data </w:t>
      </w:r>
      <w:r w:rsidR="00EB7BCA">
        <w:t>used in this study</w:t>
      </w:r>
      <w:r w:rsidR="0063688A" w:rsidRPr="0021550A">
        <w:t xml:space="preserve">. </w:t>
      </w:r>
      <w:r w:rsidR="00EB0A79" w:rsidRPr="0021550A">
        <w:t>Instead of limiting the study to a set of sp</w:t>
      </w:r>
      <w:r w:rsidR="00EB0A79">
        <w:t xml:space="preserve">ellings, such as the spellings linked to the dialects explored in </w:t>
      </w:r>
      <w:r w:rsidR="00EB0A79">
        <w:rPr>
          <w:i/>
        </w:rPr>
        <w:t>LALME</w:t>
      </w:r>
      <w:r w:rsidR="00EB0A79">
        <w:t xml:space="preserve"> or Samuels’ Types, this study takes all the spellings in the text into account.</w:t>
      </w:r>
    </w:p>
    <w:p w14:paraId="6E956B29" w14:textId="3DE76F4B" w:rsidR="00225A4C" w:rsidRPr="0099038F" w:rsidRDefault="00225A4C" w:rsidP="0063688A">
      <w:r>
        <w:t xml:space="preserve">By analysing all the spellings that are used in each text, this study also avoids the problems introduced by irregular changes to the spellings used in the text, such as the changes made by the typists working on the </w:t>
      </w:r>
      <w:r>
        <w:rPr>
          <w:i/>
        </w:rPr>
        <w:t>EEBO</w:t>
      </w:r>
      <w:r>
        <w:t xml:space="preserve">-TCP editions of the text and relict </w:t>
      </w:r>
      <w:r w:rsidR="00F529C2">
        <w:t>spelling forms</w:t>
      </w:r>
      <w:r>
        <w:t xml:space="preserve"> </w:t>
      </w:r>
      <w:r w:rsidR="00F529C2">
        <w:t xml:space="preserve">being copied into the later editions (Hellinga 1997). These changes are rare (in Section 4.2.1 I discuss the rate of spelling change as a result of </w:t>
      </w:r>
      <w:r w:rsidR="00F529C2">
        <w:rPr>
          <w:i/>
        </w:rPr>
        <w:t>EEBO</w:t>
      </w:r>
      <w:r w:rsidR="00F529C2">
        <w:t>-TCP transcription</w:t>
      </w:r>
      <w:r w:rsidR="0099038F">
        <w:t>) and</w:t>
      </w:r>
      <w:r w:rsidR="00F529C2">
        <w:t xml:space="preserve"> form a low proportion of </w:t>
      </w:r>
      <w:r w:rsidR="007A1D3A">
        <w:t xml:space="preserve">the spellings </w:t>
      </w:r>
      <w:r w:rsidR="0099038F">
        <w:t xml:space="preserve">that form the text overall. For this reason, I argue that both the changes made to the spellings in the text by </w:t>
      </w:r>
      <w:r w:rsidR="0099038F">
        <w:rPr>
          <w:i/>
        </w:rPr>
        <w:t>EEBO</w:t>
      </w:r>
      <w:r w:rsidR="0099038F">
        <w:t>-TCP transcribers and the inclusion of relict spelling forms does not have an effect on the results presented in this thesis.</w:t>
      </w:r>
    </w:p>
    <w:p w14:paraId="3BDFA50F" w14:textId="0185984A" w:rsidR="00123D4F" w:rsidRPr="00960920" w:rsidRDefault="00EB0A79" w:rsidP="00123D4F">
      <w:r>
        <w:t>L</w:t>
      </w:r>
      <w:r w:rsidR="00123D4F">
        <w:t>ocating changes in orthographic idiolects requires more processing power t</w:t>
      </w:r>
      <w:r w:rsidR="008F14FA">
        <w:t>han locating changes in dialect</w:t>
      </w:r>
      <w:r w:rsidR="00123D4F">
        <w:t xml:space="preserve"> because there are likely to be more spellings involved in a change of idiolect </w:t>
      </w:r>
      <w:r w:rsidR="00ED3238">
        <w:t>and</w:t>
      </w:r>
      <w:r w:rsidR="00123D4F">
        <w:t xml:space="preserve"> it is not clear from the outset </w:t>
      </w:r>
      <w:r w:rsidR="00ED3238">
        <w:t>which</w:t>
      </w:r>
      <w:r w:rsidR="00123D4F">
        <w:t xml:space="preserve"> spellings </w:t>
      </w:r>
      <w:r w:rsidR="008F14FA">
        <w:t>differ between idiolects</w:t>
      </w:r>
      <w:r w:rsidR="00123D4F">
        <w:t xml:space="preserve">. For example, if a book has been typeset by two compositors, </w:t>
      </w:r>
      <w:r w:rsidR="00764521">
        <w:t>we</w:t>
      </w:r>
      <w:r w:rsidR="00123D4F">
        <w:t xml:space="preserve"> do not know without prior study which spellings are used by both compositors, and which spellings are unique to Compositor 1 and which spellings are unique to Compositor 2. Additionally, there may be no spellings unique to either compositor (though this is improbable), but instead the ratios that each spelling is used may differ. </w:t>
      </w:r>
      <w:r w:rsidR="00AB5F7A">
        <w:t xml:space="preserve">In order to find out where in a text a change in compositors takes place based on a change in spelling variation, it is necessary to simultaneously analyse the spellings present in the text. The simultaneous analysis of thousands of spellings requires the use of quantitative methods. </w:t>
      </w:r>
    </w:p>
    <w:p w14:paraId="69C84F00" w14:textId="4BEF1E00" w:rsidR="00071A2A" w:rsidRDefault="00AB5F7A" w:rsidP="00AB5F7A">
      <w:r>
        <w:t xml:space="preserve">Quantitative methods are used extensively in many sub-disciplines of linguistics, often alongside corpus-based methods. Corpus linguistics is a prime example of a field (and a method) within linguistics that makes use of quantitative methods to make sense of sometimes overwhelmingly large </w:t>
      </w:r>
      <w:r w:rsidR="00097625">
        <w:t>datasets</w:t>
      </w:r>
      <w:r>
        <w:t>. In variationist sociolinguistics analysis is often supplemented with regression modelling, and work has also been undertaken to quantify differences between dialects, through comparisons of sounds</w:t>
      </w:r>
      <w:r w:rsidR="005C4851">
        <w:t xml:space="preserve"> </w:t>
      </w:r>
      <w:r w:rsidR="005C4851" w:rsidRPr="005C4851">
        <w:t>(Nerbonne &amp; Heeringa 2001</w:t>
      </w:r>
      <w:r w:rsidR="005C4851">
        <w:t>,</w:t>
      </w:r>
      <w:r w:rsidR="005C4851" w:rsidRPr="005C4851">
        <w:t xml:space="preserve"> Kessler 2005</w:t>
      </w:r>
      <w:r w:rsidR="005C4851">
        <w:t>,</w:t>
      </w:r>
      <w:r w:rsidR="005C4851" w:rsidRPr="005C4851">
        <w:t xml:space="preserve"> Nerbonne &amp; Kleiweg 2007</w:t>
      </w:r>
      <w:r w:rsidR="005C4851">
        <w:t>,</w:t>
      </w:r>
      <w:r w:rsidR="005C4851" w:rsidRPr="005C4851">
        <w:t xml:space="preserve"> Maguire </w:t>
      </w:r>
      <w:r w:rsidR="005C4851" w:rsidRPr="00D766E5">
        <w:t>et al</w:t>
      </w:r>
      <w:r w:rsidR="005C4851" w:rsidRPr="005C4851">
        <w:t>. 2010</w:t>
      </w:r>
      <w:r w:rsidR="005C4851">
        <w:t>,</w:t>
      </w:r>
      <w:r w:rsidR="005C4851" w:rsidRPr="005C4851">
        <w:t xml:space="preserve"> Maguire &amp; McMahon </w:t>
      </w:r>
      <w:r w:rsidR="005C4851" w:rsidRPr="005C4851">
        <w:lastRenderedPageBreak/>
        <w:t>2011)</w:t>
      </w:r>
      <w:r>
        <w:t xml:space="preserve">. Quantitative methods are also prominent within the field of semantics, where quantitative methods have been used to analyse typological naming systems for colour across the languages of the world </w:t>
      </w:r>
      <w:r w:rsidR="00072FBD" w:rsidRPr="00072FBD">
        <w:t>(Jäger 2012)</w:t>
      </w:r>
      <w:r>
        <w:t xml:space="preserve">, and to explore grammatical synonymy through multifactorial corpus analysis </w:t>
      </w:r>
      <w:r w:rsidR="0086159C" w:rsidRPr="0086159C">
        <w:t>(Klavan 2014)</w:t>
      </w:r>
      <w:r>
        <w:t>. In the field of cognitive linguistics, quantitative methods have recently been used to great effect</w:t>
      </w:r>
      <w:r w:rsidR="0086159C">
        <w:t xml:space="preserve"> (Th. Gries 2017)</w:t>
      </w:r>
      <w:r>
        <w:t>. Quantitative methods including the use of corpora have been used to explore people’s mental imagery and metaphorical discourse for paths and roa</w:t>
      </w:r>
      <w:r w:rsidR="0086159C">
        <w:t>ds</w:t>
      </w:r>
      <w:r w:rsidR="004C7EF5">
        <w:t xml:space="preserve"> </w:t>
      </w:r>
      <w:r w:rsidR="0031230B" w:rsidRPr="0031230B">
        <w:t>(Johansson Falck &amp; Gibbs Jr. 2013)</w:t>
      </w:r>
      <w:r>
        <w:t>, and to show that strategies for schematisati</w:t>
      </w:r>
      <w:r w:rsidR="00664898">
        <w:t>on for the same concepts differ</w:t>
      </w:r>
      <w:r>
        <w:t xml:space="preserve"> between English, German, and Russian </w:t>
      </w:r>
      <w:r w:rsidR="002238CE" w:rsidRPr="00EE7E33">
        <w:t>(Schönefeld 2008)</w:t>
      </w:r>
      <w:r>
        <w:t xml:space="preserve">. Through the application of corpus methods to construction grammar, Martin Hilpert </w:t>
      </w:r>
      <w:r w:rsidR="005714E2">
        <w:t xml:space="preserve">(2010) </w:t>
      </w:r>
      <w:r>
        <w:t>has</w:t>
      </w:r>
      <w:r w:rsidR="00D922ED">
        <w:t xml:space="preserve"> shown that quantitative corpus </w:t>
      </w:r>
      <w:r>
        <w:t xml:space="preserve">approaches can predict whether a sentence including a gerund with a </w:t>
      </w:r>
      <w:r>
        <w:rPr>
          <w:i/>
        </w:rPr>
        <w:t>to-</w:t>
      </w:r>
      <w:r>
        <w:t xml:space="preserve">infinitive is grammatically acceptable to native speakers. </w:t>
      </w:r>
    </w:p>
    <w:p w14:paraId="4BB9F560" w14:textId="3685F619" w:rsidR="00AB5F7A" w:rsidRPr="00901294" w:rsidRDefault="00AB5F7A" w:rsidP="00882BBD">
      <w:r>
        <w:t>Within historical linguistics, quantitative methods are being used to investigate the stability of style in medieval texts</w:t>
      </w:r>
      <w:r w:rsidR="005714E2">
        <w:t xml:space="preserve"> </w:t>
      </w:r>
      <w:r w:rsidR="005714E2" w:rsidRPr="005714E2">
        <w:t>(Kestemont, Daelemans &amp; Sandra 2012)</w:t>
      </w:r>
      <w:r>
        <w:t xml:space="preserve">, explore conceptual change in Early Modern discourse </w:t>
      </w:r>
      <w:r w:rsidR="005714E2" w:rsidRPr="005714E2">
        <w:t>(Fitzmaurice et al. 2017)</w:t>
      </w:r>
      <w:r>
        <w:t>, and to identify stages within diachronic data</w:t>
      </w:r>
      <w:r w:rsidR="005714E2">
        <w:t xml:space="preserve"> (Th. Gries &amp; Hilpert 2008)</w:t>
      </w:r>
      <w:r>
        <w:t xml:space="preserve">. </w:t>
      </w:r>
      <w:r w:rsidR="00EB7CF7">
        <w:t xml:space="preserve">Quantitative methods are used heavily in </w:t>
      </w:r>
      <w:r w:rsidR="0031224A">
        <w:t>attribution studies, such as those focused on Early Modern literature and William Shakespeare in particular</w:t>
      </w:r>
      <w:r w:rsidR="00882BBD">
        <w:t xml:space="preserve"> (Craig 2004, Vickers 2013)</w:t>
      </w:r>
      <w:r w:rsidR="0031224A">
        <w:t xml:space="preserve">. </w:t>
      </w:r>
      <w:r w:rsidR="008855E0">
        <w:t xml:space="preserve">Michael Witmore </w:t>
      </w:r>
      <w:r w:rsidR="00390801">
        <w:t>and</w:t>
      </w:r>
      <w:r w:rsidR="008855E0">
        <w:t xml:space="preserve"> Jonathan Hope have made use of quantitative methods to explore the language of Shakespeare, by using factor analysis and analysis of variance</w:t>
      </w:r>
      <w:r w:rsidR="004373CA">
        <w:t xml:space="preserve"> (Witmore &amp; Hope 2007)</w:t>
      </w:r>
      <w:r w:rsidR="008855E0">
        <w:t xml:space="preserve">, </w:t>
      </w:r>
      <w:r w:rsidR="004C7EF5">
        <w:t xml:space="preserve">and exploring visual methods </w:t>
      </w:r>
      <w:r w:rsidR="00B71343">
        <w:t xml:space="preserve">such as heatmaps </w:t>
      </w:r>
      <w:r w:rsidR="00AB0D86">
        <w:t>to explore the development of Shakespeare’s style</w:t>
      </w:r>
      <w:r w:rsidR="004373CA">
        <w:t xml:space="preserve"> of writing (Hope &amp; Witmore 2014</w:t>
      </w:r>
      <w:r w:rsidR="00AB0D86">
        <w:t xml:space="preserve">). </w:t>
      </w:r>
      <w:r>
        <w:t>With respect to historical spelling variation, quantitative methods are rarely used</w:t>
      </w:r>
      <w:r w:rsidR="00E85D9D">
        <w:t xml:space="preserve"> with the exception of work undertaken by Jacob Thaisen</w:t>
      </w:r>
      <w:r>
        <w:t xml:space="preserve">. Thaisen has used </w:t>
      </w:r>
      <w:r>
        <w:rPr>
          <w:i/>
        </w:rPr>
        <w:t>n</w:t>
      </w:r>
      <w:r>
        <w:t xml:space="preserve">-grams of spelling variants drawn from the </w:t>
      </w:r>
      <w:r>
        <w:rPr>
          <w:i/>
        </w:rPr>
        <w:t>LALME</w:t>
      </w:r>
      <w:r>
        <w:t xml:space="preserve"> questionnaire to explore spellings in manuscripts </w:t>
      </w:r>
      <w:r w:rsidR="005714E2" w:rsidRPr="005714E2">
        <w:t>(</w:t>
      </w:r>
      <w:r w:rsidR="005714E2">
        <w:t>2012b,</w:t>
      </w:r>
      <w:r w:rsidR="005714E2" w:rsidRPr="005714E2">
        <w:t xml:space="preserve"> 2014)</w:t>
      </w:r>
      <w:r>
        <w:t xml:space="preserve">, and has undertaken a probabilistic analysis of spellings in one manuscript of the </w:t>
      </w:r>
      <w:r>
        <w:rPr>
          <w:i/>
        </w:rPr>
        <w:t>Canterbury Tales</w:t>
      </w:r>
      <w:r>
        <w:t xml:space="preserve"> </w:t>
      </w:r>
      <w:r w:rsidR="005714E2" w:rsidRPr="005714E2">
        <w:t>(Thaisen 2012a)</w:t>
      </w:r>
      <w:r>
        <w:t>.</w:t>
      </w:r>
      <w:r w:rsidR="00E77133">
        <w:t xml:space="preserve"> Similarly, research into the history of the book is usually undertaken by a qualitative approach </w:t>
      </w:r>
      <w:r w:rsidR="00B46F6F">
        <w:t>(Bode &amp; Osbourne</w:t>
      </w:r>
      <w:r w:rsidR="00635710">
        <w:t xml:space="preserve"> 2014)</w:t>
      </w:r>
      <w:r w:rsidR="00B46F6F">
        <w:t>,</w:t>
      </w:r>
      <w:r w:rsidR="00635710">
        <w:t xml:space="preserve"> through exploring evidence from sources such as bibliographies and archival records (</w:t>
      </w:r>
      <w:r w:rsidR="00B46F6F">
        <w:t>Suarez</w:t>
      </w:r>
      <w:r w:rsidR="00635710">
        <w:t xml:space="preserve"> 2014</w:t>
      </w:r>
      <w:r w:rsidR="00B46F6F">
        <w:t xml:space="preserve">). </w:t>
      </w:r>
      <w:r>
        <w:t xml:space="preserve">My research draws on these studies and expands the quantitative analysis of historical linguistics into the area of orthographic idiolects that are present in Caxton’s printed texts. </w:t>
      </w:r>
    </w:p>
    <w:p w14:paraId="24C391FA" w14:textId="33185AC7" w:rsidR="0063688A" w:rsidRDefault="00FD0279" w:rsidP="00C32A03">
      <w:r>
        <w:t xml:space="preserve">The approach I take to this research is a bottom-up quantitative approach. </w:t>
      </w:r>
      <w:r w:rsidR="007D5F5E">
        <w:t xml:space="preserve">While the top-down explorations such as </w:t>
      </w:r>
      <w:r w:rsidR="007D5F5E">
        <w:rPr>
          <w:i/>
        </w:rPr>
        <w:t>LALME</w:t>
      </w:r>
      <w:r w:rsidR="007D5F5E">
        <w:t xml:space="preserve"> and the Chancery Standard </w:t>
      </w:r>
      <w:r w:rsidR="00026CB2">
        <w:t>studies begin with a known set of spellings that are of interest, this study takes all the spellings</w:t>
      </w:r>
      <w:r w:rsidR="00201C94">
        <w:t xml:space="preserve"> used in Caxton’s texts</w:t>
      </w:r>
      <w:r w:rsidR="00D2716E">
        <w:t xml:space="preserve"> and uses quantitative </w:t>
      </w:r>
      <w:r w:rsidR="000A6EB5">
        <w:t>methods to look for patterns within the data. In this way the research is driven by the data, though</w:t>
      </w:r>
      <w:r w:rsidR="00DF77BA">
        <w:t xml:space="preserve"> it is possible to add top-down additions to the method, such as the use of a query vector to test for similarity to a known dataset </w:t>
      </w:r>
      <w:r w:rsidR="00DF77BA">
        <w:lastRenderedPageBreak/>
        <w:t xml:space="preserve">(discussed in Section </w:t>
      </w:r>
      <w:r w:rsidR="00DF77BA">
        <w:fldChar w:fldCharType="begin"/>
      </w:r>
      <w:r w:rsidR="00DF77BA">
        <w:instrText xml:space="preserve"> REF _Ref498410767 \r \h </w:instrText>
      </w:r>
      <w:r w:rsidR="00DF77BA">
        <w:fldChar w:fldCharType="separate"/>
      </w:r>
      <w:r w:rsidR="00D11844">
        <w:t>6.2.1</w:t>
      </w:r>
      <w:r w:rsidR="00DF77BA">
        <w:fldChar w:fldCharType="end"/>
      </w:r>
      <w:r w:rsidR="00DF77BA">
        <w:t>).</w:t>
      </w:r>
      <w:r w:rsidR="00C9180A">
        <w:t xml:space="preserve"> This thesis could also be considered research using big data. The number of words in the full dataset is not large</w:t>
      </w:r>
      <w:r w:rsidR="00ED58EF">
        <w:t xml:space="preserve"> relative to recent corpus studies</w:t>
      </w:r>
      <w:r w:rsidR="00C9180A">
        <w:t>—</w:t>
      </w:r>
      <w:r w:rsidR="00ED58EF">
        <w:t>the texts I selected for use in this thesis total 2.2 million words.</w:t>
      </w:r>
      <w:r w:rsidR="00C9180A">
        <w:t xml:space="preserve"> </w:t>
      </w:r>
      <w:r w:rsidR="00B04267">
        <w:t xml:space="preserve">However, </w:t>
      </w:r>
      <w:r w:rsidR="00D922ED">
        <w:t xml:space="preserve">it is </w:t>
      </w:r>
      <w:r w:rsidR="00374BD0">
        <w:t xml:space="preserve">the </w:t>
      </w:r>
      <w:r w:rsidR="00B04267">
        <w:t>use of spelling data</w:t>
      </w:r>
      <w:r w:rsidR="00374BD0">
        <w:t xml:space="preserve"> that makes this study a big-data study, because for each idiolect, there is a unique combinati</w:t>
      </w:r>
      <w:r w:rsidR="00B04267">
        <w:t>on of spellings that is involve</w:t>
      </w:r>
      <w:r w:rsidR="00D922ED">
        <w:t>d</w:t>
      </w:r>
      <w:r w:rsidR="00374BD0">
        <w:t xml:space="preserve">. When we begin to cluster the spelling data for each quire in a large text, the data runs to many thousands of dimensions, which is computationally (and theoretically) complex. The difficulties of using thousands of dimensions of data for this study </w:t>
      </w:r>
      <w:r w:rsidR="00D922ED">
        <w:t>are</w:t>
      </w:r>
      <w:r w:rsidR="00374BD0">
        <w:t xml:space="preserve"> discussed in Section</w:t>
      </w:r>
      <w:r w:rsidR="005B24D6">
        <w:t xml:space="preserve"> </w:t>
      </w:r>
      <w:r w:rsidR="005B24D6">
        <w:fldChar w:fldCharType="begin"/>
      </w:r>
      <w:r w:rsidR="005B24D6">
        <w:instrText xml:space="preserve"> REF _Ref498704164 \r </w:instrText>
      </w:r>
      <w:r w:rsidR="005B24D6">
        <w:fldChar w:fldCharType="separate"/>
      </w:r>
      <w:r w:rsidR="00D11844">
        <w:t>4.4</w:t>
      </w:r>
      <w:r w:rsidR="005B24D6">
        <w:fldChar w:fldCharType="end"/>
      </w:r>
      <w:r w:rsidR="00374BD0">
        <w:t>.</w:t>
      </w:r>
    </w:p>
    <w:p w14:paraId="20BCB485" w14:textId="571DD5D1" w:rsidR="00A0773B" w:rsidRDefault="00A0773B" w:rsidP="00C32A03">
      <w:r>
        <w:t xml:space="preserve">This thesis </w:t>
      </w:r>
      <w:r w:rsidR="00D922ED">
        <w:t xml:space="preserve">also </w:t>
      </w:r>
      <w:r>
        <w:t xml:space="preserve">presents the first use of spellings as data for the exploration of early printing processes and Caxton’s editorial approach to the texts that he published. This study uses the concept of orthographic idiolects to explore the layers of spelling variation present in early printed texts. Though this study makes use of orthographic idiolects, this is not an authorship attribution study (though in Chapter 9, I extend my analysis </w:t>
      </w:r>
      <w:r w:rsidR="00670862">
        <w:t>to</w:t>
      </w:r>
      <w:r>
        <w:t xml:space="preserve"> Caxton’s own editorial and translation practices). This study takes the idiolectal variation present in the spellings of the compositors working for Caxton and in the copy texts that the compositors were using, and isolates these layers of spelling variants using quantitative methods, which may include several compositors, more than one copy text, and in the case of Caxton’s edition of the </w:t>
      </w:r>
      <w:r>
        <w:rPr>
          <w:i/>
        </w:rPr>
        <w:t>Golden Legend</w:t>
      </w:r>
      <w:r>
        <w:t xml:space="preserve">, more than one print run. These methods are supported by bibliographical information wherever possible, and Chapter 2 provides further contextual background to what we currently know about the processes of print and the way in which early printed books were made. This information is provided on a case by case base for each text within each of the analysis chapters in this thesis. </w:t>
      </w:r>
    </w:p>
    <w:p w14:paraId="22AA3013" w14:textId="782D4CF8" w:rsidR="00F07F6F" w:rsidRDefault="00F07F6F" w:rsidP="009343A4"/>
    <w:p w14:paraId="49E5A98F" w14:textId="05A2EB0E" w:rsidR="00927AC5" w:rsidRDefault="00927AC5" w:rsidP="00927AC5">
      <w:pPr>
        <w:pStyle w:val="Heading2"/>
      </w:pPr>
      <w:bookmarkStart w:id="11" w:name="_Toc497899834"/>
      <w:r>
        <w:t>Thesis outline</w:t>
      </w:r>
      <w:bookmarkEnd w:id="11"/>
    </w:p>
    <w:p w14:paraId="553843BA" w14:textId="77777777" w:rsidR="00C1757A" w:rsidRDefault="00515855" w:rsidP="001F2F0D">
      <w:r>
        <w:t xml:space="preserve">This thesis is divided into three sections. </w:t>
      </w:r>
      <w:r w:rsidR="00710CB6">
        <w:t>Section One focuses on the hi</w:t>
      </w:r>
      <w:r w:rsidR="00B4315E">
        <w:t>story of the early printed book.</w:t>
      </w:r>
      <w:r w:rsidR="00710CB6">
        <w:t xml:space="preserve"> Chapter 2 provides a background </w:t>
      </w:r>
      <w:r w:rsidR="00B4315E">
        <w:t xml:space="preserve">to the introduction of printing in fifteenth-century England and discusses the processes involved in printing and the language of printed texts. After Chapter 2 provides the bibliographical background that underpins the analysis undertaken throughout this thesis, Chapter 3 </w:t>
      </w:r>
      <w:r w:rsidR="001F2F0D">
        <w:t xml:space="preserve">contains a study into the effect of printing processes on the spellings used in printed texts by focusing on the process of justification. </w:t>
      </w:r>
      <w:r w:rsidR="00C1757A">
        <w:t xml:space="preserve">Through the quantitative analysis conducted in Section One, this thesis shows that the printing process has little influence over the orthography of the printed text, and from that point onwards this thesis focuses on the spellings used by the individuals whose language can be found in the printed texts. </w:t>
      </w:r>
    </w:p>
    <w:p w14:paraId="13D26BD8" w14:textId="7A409A10" w:rsidR="00515855" w:rsidRDefault="00C1757A" w:rsidP="001F2F0D">
      <w:r>
        <w:t xml:space="preserve">Section Two develops and tests methods for the exploration of the orthographic idiolects that are used throughout printed texts. </w:t>
      </w:r>
      <w:r w:rsidR="00203062">
        <w:t xml:space="preserve">Chapter 4 provides a broad methodological </w:t>
      </w:r>
      <w:r w:rsidR="00203062">
        <w:lastRenderedPageBreak/>
        <w:t xml:space="preserve">background to the use of quantitative methods, and the processes of selecting and preparing the data for analysis, and the rest of Section Two develops the quantitative methods used throughout the rest of this thesis. Chapter 5 introduces cluster analysis as a method for locating where changes </w:t>
      </w:r>
      <w:r w:rsidR="004479D3">
        <w:t xml:space="preserve">in spelling take place within Caxton’s texts using quires as a unit for clustering, and Chapter 6 introduces similarity testing as a method for quantifying the extent to which spellings differ between sections of text. </w:t>
      </w:r>
      <w:r w:rsidR="00201333">
        <w:t xml:space="preserve">Both Chapter 5 and Chapter 6 provide background to the method developed, and the considerations and adjustments that are necessary to optimise the method for use on spelling data, before showing how the method can be used on a case study. </w:t>
      </w:r>
    </w:p>
    <w:p w14:paraId="7E6CC98E" w14:textId="0D28693E" w:rsidR="008D22B0" w:rsidRDefault="00201333" w:rsidP="001F2F0D">
      <w:pPr>
        <w:sectPr w:rsidR="008D22B0" w:rsidSect="00BB5184">
          <w:footerReference w:type="first" r:id="rId12"/>
          <w:pgSz w:w="11900" w:h="16840"/>
          <w:pgMar w:top="1440" w:right="1440" w:bottom="1440" w:left="1440" w:header="720" w:footer="1008" w:gutter="1152"/>
          <w:pgNumType w:start="1"/>
          <w:cols w:space="720"/>
          <w:docGrid w:linePitch="360"/>
        </w:sectPr>
      </w:pPr>
      <w:r>
        <w:t xml:space="preserve">Finally, Section Three applies the methods developed in Section Two </w:t>
      </w:r>
      <w:r w:rsidR="002676D4">
        <w:t>to</w:t>
      </w:r>
      <w:r>
        <w:t xml:space="preserve"> Caxton’s texts. Chapter 7 applies cluster analysis </w:t>
      </w:r>
      <w:r w:rsidR="002676D4">
        <w:t>to</w:t>
      </w:r>
      <w:r>
        <w:t xml:space="preserve"> Caxton’s texts, and demonstrates that the texts produced by Caxton’s printing house are not uniform in their use of spellings. Instead, changes in spelling take place where a change in the individual working on the text (or the copy text) took place.</w:t>
      </w:r>
      <w:r w:rsidR="00C4179B">
        <w:t xml:space="preserve"> Chapter 8 applies similarity testing </w:t>
      </w:r>
      <w:r w:rsidR="002676D4">
        <w:t>to</w:t>
      </w:r>
      <w:r w:rsidR="00C4179B">
        <w:t xml:space="preserve"> Caxton’s texts, and demonstrates that the spellings used by individual compositors and scribes working on the copy text were stable throughout the text that they worked on. Chapter 9 combines the two methods to look at trends in spelling variation across Caxton’s texts more widely, and moves the focus away from changes of spelling within individual texts. </w:t>
      </w:r>
      <w:r w:rsidR="005940A1">
        <w:t xml:space="preserve">In doing so, Chapter 9 </w:t>
      </w:r>
      <w:r w:rsidR="00817A40">
        <w:t xml:space="preserve">furthers our understanding of the printing processes undertaken in Caxton’s printing house and of Caxton’s practices as an editor and a translator. Finally, Chapter 10 concludes by discussing the contributions made by this thesis to our knowledge of spelling variation, the quantitative study of spelling variation, and the history of the early printed book. </w:t>
      </w:r>
    </w:p>
    <w:p w14:paraId="353DB2B5" w14:textId="5D6ECAF4" w:rsidR="00201333" w:rsidRDefault="00201333" w:rsidP="001F2F0D"/>
    <w:p w14:paraId="1003D970" w14:textId="77777777" w:rsidR="00AE57DA" w:rsidRDefault="00AE57DA" w:rsidP="001F2F0D"/>
    <w:p w14:paraId="7EB9574E" w14:textId="77777777" w:rsidR="00AE57DA" w:rsidRDefault="00AE57DA" w:rsidP="001F2F0D"/>
    <w:p w14:paraId="27573F54" w14:textId="77777777" w:rsidR="00AE57DA" w:rsidRDefault="00AE57DA" w:rsidP="001F2F0D"/>
    <w:p w14:paraId="592533E2" w14:textId="77777777" w:rsidR="00AE57DA" w:rsidRDefault="00AE57DA" w:rsidP="001F2F0D"/>
    <w:p w14:paraId="0344520D" w14:textId="77777777" w:rsidR="00AE57DA" w:rsidRDefault="00AE57DA" w:rsidP="001F2F0D"/>
    <w:p w14:paraId="6F0C743E" w14:textId="77777777" w:rsidR="00AE57DA" w:rsidRDefault="00AE57DA" w:rsidP="001F2F0D"/>
    <w:p w14:paraId="4BD45F38" w14:textId="77777777" w:rsidR="00AE57DA" w:rsidRDefault="00AE57DA" w:rsidP="001F2F0D"/>
    <w:p w14:paraId="2D55B918" w14:textId="77777777" w:rsidR="00AE57DA" w:rsidRDefault="00AE57DA" w:rsidP="001F2F0D"/>
    <w:p w14:paraId="4CAA87B6" w14:textId="77777777" w:rsidR="00AE57DA" w:rsidRDefault="00AE57DA" w:rsidP="001F2F0D"/>
    <w:p w14:paraId="45254196" w14:textId="77777777" w:rsidR="00AE57DA" w:rsidRDefault="00AE57DA" w:rsidP="001F2F0D"/>
    <w:p w14:paraId="4151E39F" w14:textId="77777777" w:rsidR="00AE57DA" w:rsidRDefault="00AE57DA" w:rsidP="001F2F0D"/>
    <w:p w14:paraId="7D961337" w14:textId="77777777" w:rsidR="00AE57DA" w:rsidRDefault="00AE57DA" w:rsidP="001F2F0D"/>
    <w:p w14:paraId="016C17A0" w14:textId="77777777" w:rsidR="00AE57DA" w:rsidRDefault="00AE57DA" w:rsidP="001F2F0D"/>
    <w:p w14:paraId="2AD3054E" w14:textId="77777777" w:rsidR="00AE57DA" w:rsidRDefault="00AE57DA" w:rsidP="001F2F0D"/>
    <w:p w14:paraId="7C7F534E" w14:textId="77777777" w:rsidR="00AE57DA" w:rsidRDefault="00AE57DA" w:rsidP="001F2F0D"/>
    <w:p w14:paraId="3BABD81A" w14:textId="77777777" w:rsidR="00AE57DA" w:rsidRDefault="00AE57DA" w:rsidP="001F2F0D"/>
    <w:p w14:paraId="4A8E29F2" w14:textId="77777777" w:rsidR="00AE57DA" w:rsidRDefault="00AE57DA" w:rsidP="001F2F0D"/>
    <w:p w14:paraId="4AEC1436" w14:textId="77777777" w:rsidR="00AE57DA" w:rsidRDefault="00AE57DA" w:rsidP="001F2F0D"/>
    <w:p w14:paraId="5DD039A7" w14:textId="77777777" w:rsidR="00AE57DA" w:rsidRDefault="00AE57DA" w:rsidP="001F2F0D"/>
    <w:p w14:paraId="184093F0" w14:textId="77777777" w:rsidR="00AE57DA" w:rsidRDefault="00AE57DA" w:rsidP="001F2F0D"/>
    <w:p w14:paraId="0078109E" w14:textId="77777777" w:rsidR="00AE57DA" w:rsidRDefault="00AE57DA" w:rsidP="001F2F0D"/>
    <w:p w14:paraId="19223A3E" w14:textId="77777777" w:rsidR="00AE57DA" w:rsidRDefault="00AE57DA" w:rsidP="001F2F0D"/>
    <w:p w14:paraId="512122E2" w14:textId="77777777" w:rsidR="00AE57DA" w:rsidRDefault="00AE57DA" w:rsidP="001F2F0D"/>
    <w:p w14:paraId="7F440C94" w14:textId="77777777" w:rsidR="00AE57DA" w:rsidRDefault="00AE57DA" w:rsidP="001F2F0D"/>
    <w:p w14:paraId="70A3956E" w14:textId="77777777" w:rsidR="00AE57DA" w:rsidRDefault="00AE57DA" w:rsidP="001F2F0D"/>
    <w:p w14:paraId="2C724522" w14:textId="77777777" w:rsidR="00B4315E" w:rsidRDefault="00B4315E" w:rsidP="000737CB"/>
    <w:p w14:paraId="2217E0C7" w14:textId="77777777" w:rsidR="00B4315E" w:rsidRDefault="00B4315E" w:rsidP="000737CB"/>
    <w:p w14:paraId="75B8D747" w14:textId="0927CF55" w:rsidR="00173DDA" w:rsidRDefault="00173DDA" w:rsidP="000737CB"/>
    <w:p w14:paraId="3C61E458" w14:textId="77777777" w:rsidR="00B63E59" w:rsidRDefault="00B63E59" w:rsidP="000737CB"/>
    <w:p w14:paraId="133A5C6F" w14:textId="77777777" w:rsidR="00B63E59" w:rsidRDefault="00B63E59" w:rsidP="000737CB"/>
    <w:p w14:paraId="2C9B66BC" w14:textId="5B3EF5F8" w:rsidR="00136716" w:rsidRDefault="00E12FB7" w:rsidP="00E12FB7">
      <w:r w:rsidRPr="00E12FB7">
        <w:t xml:space="preserve"> </w:t>
      </w:r>
      <w:r w:rsidR="00136716">
        <w:br w:type="page"/>
      </w:r>
    </w:p>
    <w:p w14:paraId="573FB0AA" w14:textId="77777777" w:rsidR="000567C8" w:rsidRDefault="000567C8" w:rsidP="000737CB">
      <w:pPr>
        <w:sectPr w:rsidR="000567C8" w:rsidSect="008D22B0">
          <w:footerReference w:type="default" r:id="rId13"/>
          <w:type w:val="continuous"/>
          <w:pgSz w:w="11900" w:h="16840"/>
          <w:pgMar w:top="1440" w:right="1440" w:bottom="1440" w:left="1440" w:header="720" w:footer="720" w:gutter="1152"/>
          <w:cols w:space="720"/>
          <w:titlePg/>
          <w:docGrid w:linePitch="360"/>
        </w:sectPr>
      </w:pPr>
    </w:p>
    <w:p w14:paraId="10EA3918" w14:textId="02AD8E7B" w:rsidR="005634F7" w:rsidRDefault="005634F7" w:rsidP="000737CB"/>
    <w:p w14:paraId="049D1A00" w14:textId="77777777" w:rsidR="005634F7" w:rsidRDefault="005634F7" w:rsidP="000737CB"/>
    <w:p w14:paraId="19FB2208" w14:textId="77777777" w:rsidR="005634F7" w:rsidRDefault="005634F7" w:rsidP="00382BAC">
      <w:pPr>
        <w:pStyle w:val="Title"/>
      </w:pPr>
    </w:p>
    <w:p w14:paraId="252C9E8F" w14:textId="77777777" w:rsidR="000567C8" w:rsidRDefault="007D3676" w:rsidP="007D3676">
      <w:pPr>
        <w:pStyle w:val="Title"/>
        <w:jc w:val="center"/>
        <w:rPr>
          <w:smallCaps/>
        </w:rPr>
      </w:pPr>
      <w:bookmarkStart w:id="12" w:name="_Toc497899835"/>
      <w:r w:rsidRPr="007D3676">
        <w:rPr>
          <w:smallCaps/>
        </w:rPr>
        <w:t>Section O</w:t>
      </w:r>
      <w:r w:rsidR="005634F7" w:rsidRPr="007D3676">
        <w:rPr>
          <w:smallCaps/>
        </w:rPr>
        <w:t>ne – History of the printed book</w:t>
      </w:r>
      <w:bookmarkEnd w:id="12"/>
      <w:r w:rsidR="005634F7" w:rsidRPr="007D3676">
        <w:rPr>
          <w:smallCaps/>
        </w:rPr>
        <w:t xml:space="preserve"> </w:t>
      </w:r>
    </w:p>
    <w:p w14:paraId="4DA0B4A1" w14:textId="77777777" w:rsidR="000567C8" w:rsidRDefault="000567C8" w:rsidP="000567C8"/>
    <w:p w14:paraId="293E50FE" w14:textId="77777777" w:rsidR="000567C8" w:rsidRDefault="000567C8" w:rsidP="000567C8"/>
    <w:p w14:paraId="56B5E535" w14:textId="77777777" w:rsidR="000567C8" w:rsidRDefault="000567C8" w:rsidP="000567C8"/>
    <w:p w14:paraId="1B27004B" w14:textId="77777777" w:rsidR="000567C8" w:rsidRDefault="000567C8" w:rsidP="000567C8"/>
    <w:p w14:paraId="4242EF26" w14:textId="77777777" w:rsidR="000567C8" w:rsidRDefault="000567C8" w:rsidP="000567C8"/>
    <w:p w14:paraId="1CDD5D99" w14:textId="77777777" w:rsidR="000567C8" w:rsidRDefault="000567C8" w:rsidP="000567C8"/>
    <w:p w14:paraId="735C736C" w14:textId="77777777" w:rsidR="000567C8" w:rsidRDefault="000567C8" w:rsidP="000567C8"/>
    <w:p w14:paraId="3CC4E2F5" w14:textId="77777777" w:rsidR="000567C8" w:rsidRDefault="000567C8" w:rsidP="000567C8"/>
    <w:p w14:paraId="68439A0F" w14:textId="77777777" w:rsidR="000567C8" w:rsidRDefault="000567C8" w:rsidP="000567C8"/>
    <w:p w14:paraId="047A0F1D" w14:textId="77777777" w:rsidR="000567C8" w:rsidRDefault="000567C8" w:rsidP="000567C8"/>
    <w:p w14:paraId="59A280F5" w14:textId="77777777" w:rsidR="000567C8" w:rsidRDefault="000567C8" w:rsidP="000567C8"/>
    <w:p w14:paraId="4A3A2466" w14:textId="77777777" w:rsidR="000567C8" w:rsidRDefault="000567C8" w:rsidP="000567C8"/>
    <w:p w14:paraId="33933E63" w14:textId="77777777" w:rsidR="000567C8" w:rsidRDefault="000567C8" w:rsidP="000567C8"/>
    <w:p w14:paraId="32CD33EF" w14:textId="77777777" w:rsidR="000567C8" w:rsidRDefault="000567C8" w:rsidP="000567C8"/>
    <w:p w14:paraId="054E14BF" w14:textId="77777777" w:rsidR="000567C8" w:rsidRDefault="000567C8" w:rsidP="000567C8"/>
    <w:p w14:paraId="1F7E8A5A" w14:textId="77777777" w:rsidR="000567C8" w:rsidRDefault="000567C8" w:rsidP="000567C8"/>
    <w:p w14:paraId="548E638E" w14:textId="77777777" w:rsidR="000567C8" w:rsidRDefault="000567C8" w:rsidP="000567C8"/>
    <w:p w14:paraId="758E15A6" w14:textId="77777777" w:rsidR="000567C8" w:rsidRDefault="000567C8" w:rsidP="000567C8"/>
    <w:p w14:paraId="66E1840D" w14:textId="77777777" w:rsidR="000567C8" w:rsidRDefault="000567C8" w:rsidP="000567C8"/>
    <w:p w14:paraId="7493E593" w14:textId="77777777" w:rsidR="000567C8" w:rsidRDefault="000567C8" w:rsidP="000567C8"/>
    <w:p w14:paraId="68DB2618" w14:textId="77777777" w:rsidR="000567C8" w:rsidRDefault="000567C8" w:rsidP="000567C8"/>
    <w:p w14:paraId="3A5163ED" w14:textId="77777777" w:rsidR="000567C8" w:rsidRDefault="000567C8" w:rsidP="000567C8"/>
    <w:p w14:paraId="5F734294" w14:textId="77777777" w:rsidR="000567C8" w:rsidRDefault="000567C8" w:rsidP="000567C8"/>
    <w:p w14:paraId="63CE0C8B" w14:textId="77777777" w:rsidR="000567C8" w:rsidRDefault="000567C8" w:rsidP="000567C8"/>
    <w:p w14:paraId="72C41619" w14:textId="77777777" w:rsidR="000567C8" w:rsidRDefault="000567C8" w:rsidP="000567C8"/>
    <w:p w14:paraId="6790A29C" w14:textId="77777777" w:rsidR="000567C8" w:rsidRDefault="000567C8" w:rsidP="000567C8"/>
    <w:p w14:paraId="32BB194F" w14:textId="77777777" w:rsidR="000567C8" w:rsidRDefault="000567C8" w:rsidP="000567C8"/>
    <w:p w14:paraId="4EC6AEFC" w14:textId="77777777" w:rsidR="000567C8" w:rsidRDefault="000567C8" w:rsidP="000567C8"/>
    <w:p w14:paraId="3733D7BC" w14:textId="77777777" w:rsidR="000567C8" w:rsidRDefault="000567C8" w:rsidP="000567C8"/>
    <w:p w14:paraId="12669A44" w14:textId="77777777" w:rsidR="000567C8" w:rsidRDefault="000567C8" w:rsidP="000567C8"/>
    <w:p w14:paraId="5DACFA89" w14:textId="77777777" w:rsidR="008D22B0" w:rsidRDefault="008D22B0" w:rsidP="000567C8"/>
    <w:p w14:paraId="501449DD" w14:textId="77777777" w:rsidR="008D22B0" w:rsidRDefault="008D22B0" w:rsidP="000567C8"/>
    <w:p w14:paraId="356272EF" w14:textId="77777777" w:rsidR="008D22B0" w:rsidRDefault="008D22B0" w:rsidP="000567C8"/>
    <w:p w14:paraId="52D9C05A" w14:textId="77777777" w:rsidR="008D22B0" w:rsidRDefault="008D22B0" w:rsidP="000567C8">
      <w:pPr>
        <w:sectPr w:rsidR="008D22B0" w:rsidSect="000567C8">
          <w:footerReference w:type="default" r:id="rId14"/>
          <w:type w:val="continuous"/>
          <w:pgSz w:w="11900" w:h="16840"/>
          <w:pgMar w:top="1440" w:right="1440" w:bottom="1440" w:left="1440" w:header="720" w:footer="720" w:gutter="1152"/>
          <w:cols w:space="720"/>
          <w:docGrid w:linePitch="360"/>
        </w:sectPr>
      </w:pPr>
    </w:p>
    <w:p w14:paraId="1CE017E3" w14:textId="04A1EBA5" w:rsidR="008D22B0" w:rsidRDefault="008D22B0" w:rsidP="000567C8"/>
    <w:p w14:paraId="0DCB4A54" w14:textId="3797DFC0" w:rsidR="005634F7" w:rsidRDefault="005634F7" w:rsidP="000567C8">
      <w:pPr>
        <w:pStyle w:val="Heading1"/>
      </w:pPr>
      <w:r w:rsidRPr="007D3676">
        <w:br w:type="page"/>
      </w:r>
      <w:bookmarkStart w:id="13" w:name="_Toc497899836"/>
      <w:r w:rsidRPr="00173DDA">
        <w:lastRenderedPageBreak/>
        <w:t>Fifteenth</w:t>
      </w:r>
      <w:r>
        <w:t>-century printing history</w:t>
      </w:r>
      <w:bookmarkEnd w:id="13"/>
      <w:r w:rsidR="00282C1C">
        <w:rPr>
          <w:rStyle w:val="FootnoteReference"/>
        </w:rPr>
        <w:footnoteReference w:id="1"/>
      </w:r>
    </w:p>
    <w:p w14:paraId="576753C3" w14:textId="002B32FF" w:rsidR="00D40E63" w:rsidRPr="00D40E63" w:rsidRDefault="00F25FEF" w:rsidP="00C53234">
      <w:r>
        <w:t xml:space="preserve">This thesis explores </w:t>
      </w:r>
      <w:r w:rsidR="00C6422A">
        <w:t xml:space="preserve">spelling variation within </w:t>
      </w:r>
      <w:r>
        <w:t xml:space="preserve">the context of early printing in fifteenth-century England, and </w:t>
      </w:r>
      <w:r w:rsidR="005A3981">
        <w:t>seeks to further our knowledge of the printing processes and editorial and translation practices undertaken in W</w:t>
      </w:r>
      <w:r w:rsidR="006F5F6C">
        <w:t>illiam Caxton’s printing house.</w:t>
      </w:r>
      <w:r w:rsidR="00182F41">
        <w:t xml:space="preserve"> Through the application of new quantitative methods onto Caxton’s printed texts, this study </w:t>
      </w:r>
      <w:r w:rsidR="0043661D">
        <w:t xml:space="preserve">investigates the layers of spellings present in early print. Before we can explore the spellings in early printed texts, it is necessary to provide the bibliographical background which underpins the analysis and informs the development of the methods in Section Two. </w:t>
      </w:r>
      <w:r w:rsidR="00162389">
        <w:t xml:space="preserve">The present section provides background information </w:t>
      </w:r>
      <w:r w:rsidR="00670862">
        <w:t xml:space="preserve">on </w:t>
      </w:r>
      <w:r w:rsidR="00162389">
        <w:t xml:space="preserve">the processes of printing, and demonstrates through a study of Caxton’s texts that printing does not itself cause a change in the spellings used by typesetters. </w:t>
      </w:r>
      <w:r w:rsidR="005A3981">
        <w:t xml:space="preserve">This section is divided into two chapters: the present chapter, Chapter 2, provides background information on the </w:t>
      </w:r>
      <w:r w:rsidR="00B36D91">
        <w:t xml:space="preserve">introduction of printing into England, the </w:t>
      </w:r>
      <w:r w:rsidR="005A3981">
        <w:t>processes involved in printing</w:t>
      </w:r>
      <w:r w:rsidR="00B36D91">
        <w:t>,</w:t>
      </w:r>
      <w:r w:rsidR="005A3981">
        <w:t xml:space="preserve"> and then progresses to discuss the language of printed texts. Following the introduction of the printing processes, Chapter 3 is a study into the effect of printing processes—the process of justification in particular—on </w:t>
      </w:r>
      <w:r w:rsidR="00562FFE">
        <w:t>the spellings that are used</w:t>
      </w:r>
      <w:r w:rsidR="00162389">
        <w:t xml:space="preserve"> in printed texts. These two chapters provide the background </w:t>
      </w:r>
      <w:r w:rsidR="00B36D91">
        <w:t>to</w:t>
      </w:r>
      <w:r w:rsidR="00162389">
        <w:t xml:space="preserve"> the book history of early printing required for </w:t>
      </w:r>
      <w:r w:rsidR="00B36D91">
        <w:t xml:space="preserve">the rest of this thesis. </w:t>
      </w:r>
    </w:p>
    <w:p w14:paraId="766EEC03" w14:textId="77777777" w:rsidR="006916F3" w:rsidRDefault="006916F3" w:rsidP="00B36D91">
      <w:pPr>
        <w:ind w:firstLine="0"/>
      </w:pPr>
    </w:p>
    <w:p w14:paraId="19622F8E" w14:textId="012CACFE" w:rsidR="00B36D91" w:rsidRDefault="00B36D91" w:rsidP="00B36D91">
      <w:pPr>
        <w:pStyle w:val="Heading2"/>
      </w:pPr>
      <w:bookmarkStart w:id="14" w:name="_Ref496619836"/>
      <w:bookmarkStart w:id="15" w:name="_Toc497899837"/>
      <w:r>
        <w:t>The introduction of printing to England</w:t>
      </w:r>
      <w:bookmarkEnd w:id="14"/>
      <w:bookmarkEnd w:id="15"/>
    </w:p>
    <w:p w14:paraId="6C8212F5" w14:textId="03927E3F" w:rsidR="008F6771" w:rsidRDefault="008F6771" w:rsidP="008F6771">
      <w:r>
        <w:t>There is no documentary evidence of William Caxton until 1437/8, when Caxton is enrolled as an apprentice to the London wool merchant Robert Large who later became Lord Mayor, and as a result much of our knowledge of Caxton’s early years has to be pieced together</w:t>
      </w:r>
      <w:r w:rsidR="008A6095">
        <w:t>. Based on the</w:t>
      </w:r>
      <w:r>
        <w:t xml:space="preserve"> record</w:t>
      </w:r>
      <w:r w:rsidR="008A6095">
        <w:t xml:space="preserve"> of Caxton’s enrolment fee</w:t>
      </w:r>
      <w:r>
        <w:t xml:space="preserve"> in the Warden’s Account of the Mercers’ Company</w:t>
      </w:r>
      <w:r w:rsidR="007F3AA2">
        <w:t xml:space="preserve"> for the year 1437-1438</w:t>
      </w:r>
      <w:r>
        <w:t xml:space="preserve">, Caxton’s year of birth has been estimated at 1421/2 </w:t>
      </w:r>
      <w:r w:rsidR="008D0FFD" w:rsidRPr="008D0FFD">
        <w:t>(Hellinga 1982)</w:t>
      </w:r>
      <w:r>
        <w:t xml:space="preserve">, and Caxton tells us himself in his prologue to the </w:t>
      </w:r>
      <w:r>
        <w:rPr>
          <w:i/>
        </w:rPr>
        <w:t>Recuyell of the Histories of Troye</w:t>
      </w:r>
      <w:r>
        <w:t xml:space="preserve"> that he was born in Kent. In the late 1430s Caxton moved to Bruges—the location of the headquarters of the Guild of Merchant Adventurers—and worked as a cloth merchant </w:t>
      </w:r>
      <w:r w:rsidR="00B278D9" w:rsidRPr="00B278D9">
        <w:t>(Needham 1986)</w:t>
      </w:r>
      <w:r>
        <w:t xml:space="preserve">. According to the information that Caxton provides in the prologues and epilogues to his texts, Caxton spent the next thirty years as a merchant adventurer in the Low Countries. During this time, his wealth and influence increased; by 1462 Caxton was Governor of the settlement of English merchants in Bruges. As governor of the </w:t>
      </w:r>
      <w:r w:rsidR="00641621">
        <w:t>Bruges English merchant community</w:t>
      </w:r>
      <w:r>
        <w:t xml:space="preserve">, Caxton was involved in diplomatic services to the English crown and he begins to appear as an arbitrator and </w:t>
      </w:r>
      <w:r>
        <w:lastRenderedPageBreak/>
        <w:t xml:space="preserve">negotiator in local mercantile disputes </w:t>
      </w:r>
      <w:r w:rsidR="00B278D9" w:rsidRPr="00B278D9">
        <w:t>(Hellinga 1982)</w:t>
      </w:r>
      <w:r>
        <w:t xml:space="preserve">. Political forces appear to have turned against Caxton in 1471, and </w:t>
      </w:r>
      <w:r w:rsidR="00D3764C">
        <w:t>on</w:t>
      </w:r>
      <w:r>
        <w:t xml:space="preserve"> 17 July 1471 Caxton </w:t>
      </w:r>
      <w:r w:rsidR="002538F4">
        <w:t xml:space="preserve">left Bruges and </w:t>
      </w:r>
      <w:r>
        <w:t xml:space="preserve">was registered as living in Cologne </w:t>
      </w:r>
      <w:r w:rsidR="00D3764C">
        <w:t xml:space="preserve">until Christmas 1472 </w:t>
      </w:r>
      <w:r w:rsidR="00B278D9" w:rsidRPr="00B278D9">
        <w:t>(Hellinga 1982:</w:t>
      </w:r>
      <w:r w:rsidR="00B278D9">
        <w:t xml:space="preserve"> </w:t>
      </w:r>
      <w:r w:rsidR="00B278D9" w:rsidRPr="00B278D9">
        <w:t>47).</w:t>
      </w:r>
      <w:r>
        <w:t xml:space="preserve"> </w:t>
      </w:r>
    </w:p>
    <w:p w14:paraId="551E3597" w14:textId="537311FD" w:rsidR="008F6771" w:rsidRDefault="008F6771" w:rsidP="008F6771">
      <w:r>
        <w:t xml:space="preserve">Whilst Caxton was working as a merchant adventurer, Johann Gutenberg completed his first print of a Latin bible in 1455 after having spent many years experimenting with methods of printing, and fragments from this exploratory period still survive </w:t>
      </w:r>
      <w:r w:rsidR="00B278D9" w:rsidRPr="00B278D9">
        <w:t>(</w:t>
      </w:r>
      <w:r w:rsidR="000E0EB8">
        <w:t>Eisenstein</w:t>
      </w:r>
      <w:r w:rsidR="00494389">
        <w:t xml:space="preserve"> 1979, </w:t>
      </w:r>
      <w:r w:rsidR="00B278D9" w:rsidRPr="00B278D9">
        <w:t>Hellinga 2010)</w:t>
      </w:r>
      <w:r>
        <w:t>. The one hundred and eighty copies of Gutenberg’s bible were disseminated widely throughout Europe within the decade</w:t>
      </w:r>
      <w:r w:rsidR="005732F1">
        <w:t xml:space="preserve"> it was printed, and</w:t>
      </w:r>
      <w:r>
        <w:t xml:space="preserve"> at least two copies </w:t>
      </w:r>
      <w:r w:rsidR="005732F1">
        <w:t>were</w:t>
      </w:r>
      <w:r>
        <w:t xml:space="preserve"> recorded in London</w:t>
      </w:r>
      <w:r w:rsidR="005732F1">
        <w:t xml:space="preserve"> in this period</w:t>
      </w:r>
      <w:r w:rsidR="00F4777D">
        <w:t xml:space="preserve"> </w:t>
      </w:r>
      <w:r w:rsidR="00F4777D" w:rsidRPr="00B278D9">
        <w:t>(Hellinga 2010)</w:t>
      </w:r>
      <w:r w:rsidR="00F4777D">
        <w:t>.</w:t>
      </w:r>
      <w:r>
        <w:t xml:space="preserve"> In Mainz, Gutenberg did not open a print shop himself, but his collaborators, Johann Fust (Gutenberg’s financier) and Peter Schoeffer founded a publishing firm that remained in Mainz for several generations. Within the next fifteen years, printing houses opened throughout Europe</w:t>
      </w:r>
      <w:r w:rsidR="00AB5C00">
        <w:t xml:space="preserve"> (Steinberg 1996 [1955])</w:t>
      </w:r>
      <w:r>
        <w:t>, in Strasbourg (1460), Bamberg (1461), Cologne (1465), at the Benedictine Abbey of Subiaco</w:t>
      </w:r>
      <w:r w:rsidR="000A2CF1">
        <w:t xml:space="preserve"> near Rome</w:t>
      </w:r>
      <w:r>
        <w:t xml:space="preserve"> (1465), Basel (1468), Augsburg (1468), Venice (1469), Nuremberg (1469), Milan (1470</w:t>
      </w:r>
      <w:r w:rsidR="00762959">
        <w:t xml:space="preserve">), Naples (1470), and Sorbonne </w:t>
      </w:r>
      <w:r w:rsidR="00AB5C00">
        <w:t>(</w:t>
      </w:r>
      <w:r w:rsidR="00762959">
        <w:t>1470</w:t>
      </w:r>
      <w:r w:rsidR="00AB5C00">
        <w:t>)</w:t>
      </w:r>
      <w:r>
        <w:t xml:space="preserve">. It was in this context </w:t>
      </w:r>
      <w:r w:rsidR="005732F1">
        <w:t>of</w:t>
      </w:r>
      <w:r>
        <w:t xml:space="preserve"> the beginning of the early spread of printing in Europe that William Caxton </w:t>
      </w:r>
      <w:r w:rsidR="002538F4">
        <w:t>was exiled</w:t>
      </w:r>
      <w:r>
        <w:t xml:space="preserve"> to Cologne, and there he learned to print. </w:t>
      </w:r>
    </w:p>
    <w:p w14:paraId="17D2590C" w14:textId="5074FCE3" w:rsidR="00264E43" w:rsidRDefault="0017436E" w:rsidP="008F6771">
      <w:r>
        <w:t>I</w:t>
      </w:r>
      <w:r w:rsidR="008A6095">
        <w:t xml:space="preserve">t is likely that the printer Johann Veldener taught </w:t>
      </w:r>
      <w:r>
        <w:t>Caxton</w:t>
      </w:r>
      <w:r w:rsidR="008A6095">
        <w:t xml:space="preserve"> how </w:t>
      </w:r>
      <w:r>
        <w:t xml:space="preserve">to print </w:t>
      </w:r>
      <w:r w:rsidR="008A6095">
        <w:t xml:space="preserve">and provided a press and a </w:t>
      </w:r>
      <w:r w:rsidR="00C0458B">
        <w:t>fount of type</w:t>
      </w:r>
      <w:r>
        <w:t xml:space="preserve"> during Caxton’s time in Cologne</w:t>
      </w:r>
      <w:r w:rsidR="008A6095">
        <w:t>.</w:t>
      </w:r>
      <w:r w:rsidR="000B0BB8">
        <w:t xml:space="preserve"> The link between Veldener and Caxton is not made explicit </w:t>
      </w:r>
      <w:r w:rsidR="00C6422A">
        <w:t xml:space="preserve">in work </w:t>
      </w:r>
      <w:r>
        <w:t xml:space="preserve">by either printer, </w:t>
      </w:r>
      <w:r w:rsidR="000F64F5">
        <w:t>but</w:t>
      </w:r>
      <w:r w:rsidR="008A6095">
        <w:t xml:space="preserve"> </w:t>
      </w:r>
      <w:r w:rsidR="00F3504D">
        <w:t xml:space="preserve">Veldener has been linked to Caxton through the text of </w:t>
      </w:r>
      <w:r w:rsidR="00F3504D">
        <w:rPr>
          <w:i/>
        </w:rPr>
        <w:t xml:space="preserve">De Proprietatibus Rerum </w:t>
      </w:r>
      <w:r w:rsidR="008C197B">
        <w:t>printed by Caxton’s successor, Wynkyn de Worde. In de Worde’s edition of the text, he writes that Caxton was</w:t>
      </w:r>
      <w:r w:rsidR="00D00FA4">
        <w:t xml:space="preserve"> the</w:t>
      </w:r>
      <w:r w:rsidR="008C197B">
        <w:t xml:space="preserve"> “first prynter of this boke” and that the book was printed in Cologne: “in laten tonge at Coleyn”</w:t>
      </w:r>
      <w:r w:rsidR="00B47006" w:rsidRPr="00B47006">
        <w:t xml:space="preserve"> (1495:</w:t>
      </w:r>
      <w:r w:rsidR="00AB5C00">
        <w:t xml:space="preserve"> </w:t>
      </w:r>
      <w:r w:rsidR="00B47006" w:rsidRPr="00B47006">
        <w:t>5</w:t>
      </w:r>
      <w:r w:rsidR="00B47006" w:rsidRPr="00B47006">
        <w:rPr>
          <w:vertAlign w:val="superscript"/>
        </w:rPr>
        <w:t>a</w:t>
      </w:r>
      <w:r w:rsidR="00B47006" w:rsidRPr="00B47006">
        <w:t>)</w:t>
      </w:r>
      <w:r w:rsidR="008C7F0A">
        <w:t xml:space="preserve">. </w:t>
      </w:r>
      <w:r w:rsidR="00D00FA4">
        <w:t>Despite de Worde’s statement, t</w:t>
      </w:r>
      <w:r w:rsidR="00AA7145">
        <w:t xml:space="preserve">here is no </w:t>
      </w:r>
      <w:r w:rsidR="00A36553">
        <w:t xml:space="preserve">known edition of </w:t>
      </w:r>
      <w:r w:rsidR="00A36553">
        <w:rPr>
          <w:i/>
        </w:rPr>
        <w:t>De Proprietatibus Rerum</w:t>
      </w:r>
      <w:r w:rsidR="00D00FA4">
        <w:t xml:space="preserve"> printed by Caxton. However,</w:t>
      </w:r>
      <w:r w:rsidR="00A36553">
        <w:t xml:space="preserve"> Johannes Veldener printed a copy of the text</w:t>
      </w:r>
      <w:r w:rsidR="000B0BB8" w:rsidRPr="000B0BB8">
        <w:t xml:space="preserve"> </w:t>
      </w:r>
      <w:r w:rsidR="000B0BB8">
        <w:t xml:space="preserve">in </w:t>
      </w:r>
      <w:r w:rsidR="0092661C">
        <w:t xml:space="preserve">Cologne in </w:t>
      </w:r>
      <w:r w:rsidR="000B0BB8">
        <w:t>1472—during the time that Caxton was</w:t>
      </w:r>
      <w:r w:rsidR="0092661C">
        <w:t xml:space="preserve"> living</w:t>
      </w:r>
      <w:r w:rsidR="000B0BB8">
        <w:t xml:space="preserve"> </w:t>
      </w:r>
      <w:r w:rsidR="0092661C">
        <w:t>in the city</w:t>
      </w:r>
      <w:r w:rsidR="00E21DF0">
        <w:t xml:space="preserve">. </w:t>
      </w:r>
      <w:r w:rsidR="00F17F96">
        <w:t xml:space="preserve">Veldener printing the text that de Worde attributed to Caxton is not evidence enough to link Caxton to the publication of the text. </w:t>
      </w:r>
      <w:r w:rsidR="000F64F5">
        <w:t>However, t</w:t>
      </w:r>
      <w:r w:rsidR="00FC05EB">
        <w:t xml:space="preserve">he edition printed by Veldener was unusually large, relative to the other books he produced both in the size of the paper and the length of the text. Veldener’s other texts until 1472 were small quartos, but </w:t>
      </w:r>
      <w:r w:rsidR="00FC05EB">
        <w:rPr>
          <w:i/>
        </w:rPr>
        <w:t>De Proprietatibus Rerum</w:t>
      </w:r>
      <w:r w:rsidR="00FC05EB">
        <w:t xml:space="preserve"> was a larger text printed in folio and was the biggest book produced in Cologne by this date </w:t>
      </w:r>
      <w:r w:rsidR="00FC05EB" w:rsidRPr="00F17F96">
        <w:t>(Blake 1991a:</w:t>
      </w:r>
      <w:r w:rsidR="00225B62">
        <w:t xml:space="preserve"> </w:t>
      </w:r>
      <w:r w:rsidR="00FC05EB" w:rsidRPr="00F17F96">
        <w:t>3)</w:t>
      </w:r>
      <w:r w:rsidR="00FC05EB">
        <w:t xml:space="preserve">. </w:t>
      </w:r>
      <w:r w:rsidR="00F17F96">
        <w:t xml:space="preserve">The scale of the printing efforts required for Veldener to print </w:t>
      </w:r>
      <w:r w:rsidR="00F17F96">
        <w:rPr>
          <w:i/>
        </w:rPr>
        <w:t>De Proprietatibus Rerum</w:t>
      </w:r>
      <w:r w:rsidR="007B5C8A">
        <w:t xml:space="preserve"> has</w:t>
      </w:r>
      <w:r w:rsidR="00F17F96">
        <w:t xml:space="preserve"> led many scholars to believe that the additional funds needed to print the text came from Caxton</w:t>
      </w:r>
      <w:r w:rsidR="003D4F03">
        <w:t xml:space="preserve"> in return for training and the provision of a printing press</w:t>
      </w:r>
      <w:r w:rsidR="00B063F9">
        <w:t>,</w:t>
      </w:r>
      <w:r w:rsidR="003D4F03">
        <w:t xml:space="preserve"> a fount of type</w:t>
      </w:r>
      <w:r w:rsidR="00B063F9">
        <w:t>, and compositors and pressmen</w:t>
      </w:r>
      <w:r w:rsidR="00C12BCC">
        <w:t xml:space="preserve"> (Hellinga 1982, Needham 1986,</w:t>
      </w:r>
      <w:r w:rsidR="00C12BCC" w:rsidRPr="00C12BCC">
        <w:t xml:space="preserve"> Blake 1991a)</w:t>
      </w:r>
      <w:r w:rsidR="00C0458B">
        <w:t xml:space="preserve">. </w:t>
      </w:r>
    </w:p>
    <w:p w14:paraId="62D7A96E" w14:textId="361075B9" w:rsidR="00B51058" w:rsidRDefault="00C0458B" w:rsidP="008F6771">
      <w:r>
        <w:lastRenderedPageBreak/>
        <w:t xml:space="preserve">In addition to the link through </w:t>
      </w:r>
      <w:r>
        <w:rPr>
          <w:i/>
        </w:rPr>
        <w:t>De Proprietatibus Rerum</w:t>
      </w:r>
      <w:r>
        <w:t xml:space="preserve">, Veldener has been linked to Caxton through typefaces. </w:t>
      </w:r>
      <w:r w:rsidR="00BD648E">
        <w:t xml:space="preserve">Veldener was known for supplying typefaces to a range of European printers, some of which he sold to more than one printer. </w:t>
      </w:r>
      <w:r>
        <w:t xml:space="preserve">When Veldener was working in Louvain in 1475, one of the typefaces </w:t>
      </w:r>
      <w:r w:rsidR="009707F4">
        <w:t>he used for titles and chapter headings was an early version of Caxton’s Type 2</w:t>
      </w:r>
      <w:r w:rsidR="005E3F39">
        <w:rPr>
          <w:rStyle w:val="FootnoteReference"/>
        </w:rPr>
        <w:footnoteReference w:id="2"/>
      </w:r>
      <w:r w:rsidR="009707F4">
        <w:t>, a typeface that Veldener provided to Caxton alone</w:t>
      </w:r>
      <w:r w:rsidR="00FC0737">
        <w:t xml:space="preserve"> </w:t>
      </w:r>
      <w:r w:rsidR="00B278D9" w:rsidRPr="00B278D9">
        <w:t>(Hellinga 1982)</w:t>
      </w:r>
      <w:r w:rsidR="009707F4">
        <w:t>.</w:t>
      </w:r>
      <w:r w:rsidR="00BD648E">
        <w:t xml:space="preserve"> </w:t>
      </w:r>
      <w:r w:rsidR="00FC0737">
        <w:t xml:space="preserve">When </w:t>
      </w:r>
      <w:r w:rsidR="00BD648E">
        <w:t>Caxton returned to Bruges in</w:t>
      </w:r>
      <w:r w:rsidR="00FC0737">
        <w:t xml:space="preserve"> early</w:t>
      </w:r>
      <w:r w:rsidR="00BD648E">
        <w:t xml:space="preserve"> 1473</w:t>
      </w:r>
      <w:r w:rsidR="00FC0737">
        <w:t>, he set up a press there</w:t>
      </w:r>
      <w:r w:rsidR="00BD648E">
        <w:t xml:space="preserve"> and </w:t>
      </w:r>
      <w:r w:rsidR="002D1931">
        <w:t xml:space="preserve">printed his first text in English: the </w:t>
      </w:r>
      <w:r w:rsidR="002D1931">
        <w:rPr>
          <w:i/>
        </w:rPr>
        <w:t>Recuyell of the Histories of Troy</w:t>
      </w:r>
      <w:r w:rsidR="002D1931">
        <w:t xml:space="preserve">. </w:t>
      </w:r>
      <w:r w:rsidR="00B51058">
        <w:t>In Bruges Caxton printed six other texts, some in collabo</w:t>
      </w:r>
      <w:r w:rsidR="00126962">
        <w:t xml:space="preserve">ration with Colard Mansion, a Flemish book dealer, who went on to print independently in Bruges after Caxton returned to England. Of the seven texts he printed in Bruges, Caxton used Type 2 to print two of them, the French </w:t>
      </w:r>
      <w:r w:rsidR="00126962">
        <w:rPr>
          <w:i/>
        </w:rPr>
        <w:t>Cordiale</w:t>
      </w:r>
      <w:r w:rsidR="00126962">
        <w:t xml:space="preserve"> and the </w:t>
      </w:r>
      <w:r w:rsidR="00126962">
        <w:rPr>
          <w:i/>
        </w:rPr>
        <w:t>Sarum Hours</w:t>
      </w:r>
      <w:r w:rsidR="00126962">
        <w:t xml:space="preserve"> which exists only in fragmentary form. In 1476, Caxton moved his printing press to England and set up his press and accompanying book shop in Westminster.</w:t>
      </w:r>
    </w:p>
    <w:p w14:paraId="5D9C60E9" w14:textId="17B0B838" w:rsidR="00095245" w:rsidRDefault="00AC13BB" w:rsidP="00AC13BB">
      <w:r>
        <w:t xml:space="preserve">It is Caxton’s choice of texts that has been attributed to his success as a printer, where other printers in fifteenth-century England went bankrupt. </w:t>
      </w:r>
      <w:r w:rsidR="004151A6">
        <w:t xml:space="preserve">As the first person to print in England, Caxton was also one of the first people to print books in the English language. </w:t>
      </w:r>
      <w:r w:rsidR="00290FCB">
        <w:t xml:space="preserve">There are over </w:t>
      </w:r>
      <w:r w:rsidR="00DB112B">
        <w:t xml:space="preserve">seventy </w:t>
      </w:r>
      <w:r w:rsidR="00225B62">
        <w:t>surviving books in</w:t>
      </w:r>
      <w:r w:rsidR="00DB112B">
        <w:t xml:space="preserve"> English </w:t>
      </w:r>
      <w:r w:rsidR="00290FCB">
        <w:t xml:space="preserve">that Caxton produced at his </w:t>
      </w:r>
      <w:r w:rsidR="00DB112B">
        <w:t>printing house in Westminster</w:t>
      </w:r>
      <w:r w:rsidR="00290FCB">
        <w:t>,</w:t>
      </w:r>
      <w:r w:rsidR="00DB112B">
        <w:t xml:space="preserve"> alongside twenty-five other texts in languages other than English. Caxton’s non-English texts comprise </w:t>
      </w:r>
      <w:r w:rsidR="00290FCB">
        <w:t>ten indulgences printed in Latin, and fifteen other religious texts that were likely produced to order</w:t>
      </w:r>
      <w:r w:rsidR="00BD420D">
        <w:t>,</w:t>
      </w:r>
      <w:r w:rsidR="00290FCB">
        <w:t xml:space="preserve"> such as Caxton’s edition of </w:t>
      </w:r>
      <w:r w:rsidR="00290FCB">
        <w:rPr>
          <w:i/>
        </w:rPr>
        <w:t>Nova Rhetori</w:t>
      </w:r>
      <w:r w:rsidR="00264E43">
        <w:rPr>
          <w:i/>
        </w:rPr>
        <w:t>ca</w:t>
      </w:r>
      <w:r w:rsidR="00264E43">
        <w:t xml:space="preserve">. </w:t>
      </w:r>
      <w:r w:rsidR="00B278D9">
        <w:t>The</w:t>
      </w:r>
      <w:r w:rsidR="00264E43">
        <w:t xml:space="preserve"> </w:t>
      </w:r>
      <w:r w:rsidR="00264E43">
        <w:rPr>
          <w:i/>
        </w:rPr>
        <w:t>Nova Rhetorica</w:t>
      </w:r>
      <w:r w:rsidR="00264E43">
        <w:t xml:space="preserve"> </w:t>
      </w:r>
      <w:r w:rsidR="00715E24">
        <w:t>used the author’s own manuscript as the copy text</w:t>
      </w:r>
      <w:r w:rsidR="00264E43">
        <w:t>, and Hellinga (1982: 68) argues that the text</w:t>
      </w:r>
      <w:r w:rsidR="00715E24">
        <w:t xml:space="preserve"> was likely printed at the request of the autho</w:t>
      </w:r>
      <w:r w:rsidR="00264E43">
        <w:t>r</w:t>
      </w:r>
      <w:r w:rsidR="00B278D9">
        <w:t xml:space="preserve"> based on this evidence</w:t>
      </w:r>
      <w:r w:rsidR="00264E43">
        <w:t xml:space="preserve">. </w:t>
      </w:r>
      <w:r w:rsidR="00715E24">
        <w:t xml:space="preserve">For the most part, Caxton’s output was comprised of canonical English literary texts from authors made popular in the previous century, such as Chaucer and Lydgate, and Caxton’s own translations of French-language courtly literature into English. </w:t>
      </w:r>
      <w:r w:rsidR="003B349F">
        <w:t xml:space="preserve">The texts that Caxton printed appear to have been popular with the nobility and the middle classes. </w:t>
      </w:r>
      <w:r w:rsidR="00A40F35">
        <w:t xml:space="preserve">For example, we know that </w:t>
      </w:r>
      <w:r w:rsidR="004A1131">
        <w:t xml:space="preserve">John Paston II was aware of </w:t>
      </w:r>
      <w:r w:rsidR="004B449B">
        <w:t xml:space="preserve">Caxton’s editions of Cicero’s </w:t>
      </w:r>
      <w:r w:rsidR="004B449B">
        <w:rPr>
          <w:i/>
        </w:rPr>
        <w:t xml:space="preserve">Of Old Age </w:t>
      </w:r>
      <w:r w:rsidR="004A1131">
        <w:t>a</w:t>
      </w:r>
      <w:r w:rsidR="004B449B" w:rsidRPr="004A1131">
        <w:t>nd</w:t>
      </w:r>
      <w:r w:rsidR="004B449B">
        <w:rPr>
          <w:i/>
        </w:rPr>
        <w:t xml:space="preserve"> Of Friendship</w:t>
      </w:r>
      <w:r w:rsidR="004B449B">
        <w:t xml:space="preserve">, </w:t>
      </w:r>
      <w:r w:rsidR="004B449B">
        <w:rPr>
          <w:i/>
        </w:rPr>
        <w:t>Troilus and Criseyde</w:t>
      </w:r>
      <w:r w:rsidR="004B449B">
        <w:t xml:space="preserve">, </w:t>
      </w:r>
      <w:r w:rsidR="004B449B">
        <w:rPr>
          <w:i/>
        </w:rPr>
        <w:t>Parliament of Fowls</w:t>
      </w:r>
      <w:r w:rsidR="004B449B">
        <w:t xml:space="preserve">, and </w:t>
      </w:r>
      <w:r w:rsidR="004B449B">
        <w:rPr>
          <w:i/>
        </w:rPr>
        <w:t>Game of Chess</w:t>
      </w:r>
      <w:r w:rsidR="004A1131">
        <w:t xml:space="preserve"> because they </w:t>
      </w:r>
      <w:r w:rsidR="004B449B">
        <w:t xml:space="preserve">are included in </w:t>
      </w:r>
      <w:r w:rsidR="004A1131">
        <w:t>his</w:t>
      </w:r>
      <w:r w:rsidR="004B449B">
        <w:t xml:space="preserve"> ‘List of Books’ </w:t>
      </w:r>
      <w:r w:rsidR="00B278D9" w:rsidRPr="00B278D9">
        <w:t>(Smith 2012).</w:t>
      </w:r>
      <w:r w:rsidR="004A1131">
        <w:t xml:space="preserve"> </w:t>
      </w:r>
    </w:p>
    <w:p w14:paraId="26975FDB" w14:textId="2DA53C04" w:rsidR="00B177C9" w:rsidRDefault="00A40F35" w:rsidP="00B177C9">
      <w:r>
        <w:t xml:space="preserve">In contrast, the other printers who were active in fifteenth-century England </w:t>
      </w:r>
      <w:r w:rsidR="000B0BB8">
        <w:t xml:space="preserve">tended to aim their texts at a scholarly and religious audience. </w:t>
      </w:r>
      <w:r w:rsidR="00BD420D">
        <w:t xml:space="preserve">Both the printing houses based at Oxford and St Albans specialised in religious and educational texts printed in Latin. Theodoric Rood </w:t>
      </w:r>
      <w:r w:rsidR="00264E43">
        <w:t>ran a small printing business</w:t>
      </w:r>
      <w:r w:rsidR="00BD420D">
        <w:t xml:space="preserve"> in Oxford from 1481</w:t>
      </w:r>
      <w:r w:rsidR="0024215F">
        <w:t>. Rood rented a tenement on High Street from Magdalen College</w:t>
      </w:r>
      <w:r w:rsidR="006C3E00">
        <w:t xml:space="preserve"> </w:t>
      </w:r>
      <w:r w:rsidR="006C3E00" w:rsidRPr="006C3E00">
        <w:t>(Jensen 2014)</w:t>
      </w:r>
      <w:r w:rsidR="0024215F">
        <w:t>,</w:t>
      </w:r>
      <w:r w:rsidR="00BD420D">
        <w:t xml:space="preserve"> </w:t>
      </w:r>
      <w:r w:rsidR="00BE5770">
        <w:t>aiming much of</w:t>
      </w:r>
      <w:r w:rsidR="00840A12">
        <w:t xml:space="preserve"> his material at students of the university. We know less about the printer based at St Albans. </w:t>
      </w:r>
      <w:r w:rsidR="00840A12">
        <w:lastRenderedPageBreak/>
        <w:t>K</w:t>
      </w:r>
      <w:r w:rsidR="00BD420D">
        <w:t>nown as the schoolmaster printer</w:t>
      </w:r>
      <w:r w:rsidR="00840A12">
        <w:t xml:space="preserve">, the </w:t>
      </w:r>
      <w:r w:rsidR="00264E43">
        <w:t xml:space="preserve">St Albans </w:t>
      </w:r>
      <w:r w:rsidR="00840A12">
        <w:t>printer</w:t>
      </w:r>
      <w:r w:rsidR="00BD420D">
        <w:t xml:space="preserve"> appears to have been linked to the Benedictine Abbey </w:t>
      </w:r>
      <w:r w:rsidR="00BE5770">
        <w:t>in the town. Both the Oxford and the St Albans printers went out of business</w:t>
      </w:r>
      <w:r w:rsidR="000E35C8">
        <w:t xml:space="preserve"> in the 1480s</w:t>
      </w:r>
      <w:r w:rsidR="006C3E00">
        <w:t xml:space="preserve"> </w:t>
      </w:r>
      <w:r w:rsidR="006C3E00" w:rsidRPr="006C3E00">
        <w:t>(Blake 1991a)</w:t>
      </w:r>
      <w:r w:rsidR="00840A12">
        <w:t xml:space="preserve">. Other printers followed Rood and the St Albans </w:t>
      </w:r>
      <w:r w:rsidR="007B5C8A">
        <w:t xml:space="preserve">‘schoolmaster’ </w:t>
      </w:r>
      <w:r w:rsidR="00840A12">
        <w:t>printer</w:t>
      </w:r>
      <w:r w:rsidR="00264E43">
        <w:t>, mainly based in London</w:t>
      </w:r>
      <w:r w:rsidR="00E85AB4">
        <w:t xml:space="preserve"> such as John Lettou, William de Machlinia, Julian Notary, Richard Pynson</w:t>
      </w:r>
      <w:r w:rsidR="00211B2D">
        <w:t>, and Wynkyn de Worde</w:t>
      </w:r>
      <w:r w:rsidR="00840A12">
        <w:t xml:space="preserve">. </w:t>
      </w:r>
      <w:r w:rsidR="009D5D7E">
        <w:t xml:space="preserve">Of the texts remaining that are attributed to </w:t>
      </w:r>
      <w:r w:rsidR="00840A12">
        <w:t>John Lettou (</w:t>
      </w:r>
      <w:r w:rsidR="00840A12">
        <w:rPr>
          <w:i/>
        </w:rPr>
        <w:t>fl</w:t>
      </w:r>
      <w:r w:rsidR="009D5D7E">
        <w:t xml:space="preserve">. 1475-1483), most of them are indulgences </w:t>
      </w:r>
      <w:r w:rsidR="001B3D06">
        <w:t xml:space="preserve">(and one psalterium), </w:t>
      </w:r>
      <w:r w:rsidR="009D5D7E">
        <w:t xml:space="preserve">though Lettou also collaborated with William </w:t>
      </w:r>
      <w:r w:rsidR="00225B62">
        <w:t>de Machlinia</w:t>
      </w:r>
      <w:r w:rsidR="001B3D06">
        <w:t xml:space="preserve"> on six other texts</w:t>
      </w:r>
      <w:r w:rsidR="006C3E00">
        <w:t xml:space="preserve"> </w:t>
      </w:r>
      <w:r w:rsidR="006C3E00" w:rsidRPr="006C3E00">
        <w:t>(Blake 2004a)</w:t>
      </w:r>
      <w:r w:rsidR="00083490">
        <w:t>.</w:t>
      </w:r>
      <w:r w:rsidR="003D1D20">
        <w:t xml:space="preserve"> </w:t>
      </w:r>
      <w:r w:rsidR="00225B62">
        <w:t>William de Machlinia was</w:t>
      </w:r>
      <w:r w:rsidR="003D1D20">
        <w:t xml:space="preserve"> </w:t>
      </w:r>
      <w:r w:rsidR="004C33AD">
        <w:t>mainly</w:t>
      </w:r>
      <w:r w:rsidR="003D1D20">
        <w:t xml:space="preserve"> known</w:t>
      </w:r>
      <w:r w:rsidR="004C33AD">
        <w:t xml:space="preserve"> in his texts</w:t>
      </w:r>
      <w:r w:rsidR="003D1D20">
        <w:t xml:space="preserve"> by the Latinate form </w:t>
      </w:r>
      <w:r w:rsidR="00225B62">
        <w:t>of his name, though elsewhere he is known as William Maclyn. De Machlinia</w:t>
      </w:r>
      <w:r w:rsidR="004C33AD">
        <w:t xml:space="preserve"> </w:t>
      </w:r>
      <w:r w:rsidR="001B3D06">
        <w:t>printed many of his twenty-two surviving texts in Law French, and much of his output is focused on yearbooks and law books</w:t>
      </w:r>
      <w:r w:rsidR="006C3E00">
        <w:t xml:space="preserve"> </w:t>
      </w:r>
      <w:r w:rsidR="006C3E00" w:rsidRPr="006C3E00">
        <w:t>(Blake 2004b)</w:t>
      </w:r>
      <w:r w:rsidR="00211B2D">
        <w:t xml:space="preserve">. </w:t>
      </w:r>
      <w:r w:rsidR="00095245">
        <w:t>Both Lettou and de Machlinia were active p</w:t>
      </w:r>
      <w:r w:rsidR="00302685">
        <w:t>rinters for less than ten years, though later printers had greater success.</w:t>
      </w:r>
      <w:r w:rsidR="00B177C9">
        <w:t xml:space="preserve"> The earliest book printed by Julian Notary dates from 1496, and from that date onwards there is at least one book a year still extant over the next twenty years (Tedder 2004). Richard Pynson’s first dated publication is from 1492, and Pynson subsequently became the King’s printer and specialised in legal printing until his death in 1529 (Neville-Sington 2008). </w:t>
      </w:r>
    </w:p>
    <w:p w14:paraId="0080D78F" w14:textId="5568BB34" w:rsidR="000B0BB8" w:rsidRDefault="00B177C9" w:rsidP="00B177C9">
      <w:r>
        <w:t>T</w:t>
      </w:r>
      <w:r w:rsidR="00095245">
        <w:t xml:space="preserve">he relative lack of success </w:t>
      </w:r>
      <w:r w:rsidR="007B5C8A">
        <w:t>of</w:t>
      </w:r>
      <w:r w:rsidR="00095245">
        <w:t xml:space="preserve"> Lettou, de Machlinia, Rood and the Schoolmaster printer has been attributed to their choice of texts, </w:t>
      </w:r>
      <w:r w:rsidR="007B5C8A">
        <w:t>along with</w:t>
      </w:r>
      <w:r w:rsidR="00095245">
        <w:t xml:space="preserve"> “a lack of sufficient market along established trade routes, and foreign competition”</w:t>
      </w:r>
      <w:r w:rsidR="004421E0" w:rsidRPr="004421E0">
        <w:t xml:space="preserve"> (Blake 1991a:</w:t>
      </w:r>
      <w:r w:rsidR="004421E0">
        <w:t xml:space="preserve"> </w:t>
      </w:r>
      <w:r w:rsidR="004421E0" w:rsidRPr="004421E0">
        <w:t>63)</w:t>
      </w:r>
      <w:r w:rsidR="001D4433">
        <w:t xml:space="preserve">. </w:t>
      </w:r>
      <w:r w:rsidR="00443DD6">
        <w:t xml:space="preserve">In the case of Caxton’s texts, Caxton ensured that there was no foreign competition—whether intentionally or otherwise—by </w:t>
      </w:r>
      <w:r w:rsidR="006F5DEE">
        <w:t xml:space="preserve">translating texts into English from French and Latin, and by printing texts that were already available in manuscript form in England at the time. Both in terms of the quantity of </w:t>
      </w:r>
      <w:r w:rsidR="00465090">
        <w:t xml:space="preserve">his </w:t>
      </w:r>
      <w:r w:rsidR="006F5DEE">
        <w:t>output and the</w:t>
      </w:r>
      <w:r w:rsidR="00465090">
        <w:t xml:space="preserve"> length of</w:t>
      </w:r>
      <w:r w:rsidR="006F5DEE">
        <w:t xml:space="preserve"> time that Caxton</w:t>
      </w:r>
      <w:r w:rsidR="00465090">
        <w:t>’s business</w:t>
      </w:r>
      <w:r w:rsidR="006F5DEE">
        <w:t xml:space="preserve"> was active, Caxton was the most successful printer in the fifteenth century.</w:t>
      </w:r>
    </w:p>
    <w:p w14:paraId="3BF05BBD" w14:textId="1A10BBF5" w:rsidR="006F5DEE" w:rsidRDefault="00241D97" w:rsidP="000B0BB8">
      <w:r>
        <w:t>Caxton’s</w:t>
      </w:r>
      <w:r w:rsidR="006F5DEE">
        <w:t xml:space="preserve"> printing house was taken over by Wynkyn de Worde</w:t>
      </w:r>
      <w:r>
        <w:t xml:space="preserve"> on his death in 1492. </w:t>
      </w:r>
      <w:r w:rsidR="00C61E45">
        <w:t xml:space="preserve">There is no clear evidence </w:t>
      </w:r>
      <w:r w:rsidR="00BF741B">
        <w:t xml:space="preserve">as to where De Worde came from, though </w:t>
      </w:r>
      <w:r w:rsidR="00F53725">
        <w:t xml:space="preserve">circumstantial evidence suggests that Caxton may have brought the Flemish compositor Wynkyn de Worde to Westminster with him from Cologne when he set up his printing house </w:t>
      </w:r>
      <w:r w:rsidR="00F53725" w:rsidRPr="00C10960">
        <w:t>(Blake 2004c)</w:t>
      </w:r>
      <w:r w:rsidR="00F53725">
        <w:t>.</w:t>
      </w:r>
      <w:r w:rsidR="00BF741B">
        <w:t xml:space="preserve"> </w:t>
      </w:r>
      <w:r w:rsidR="00D65FEE">
        <w:t xml:space="preserve">De Worde is believed to have been Johann Veldener’s apprentice in Cologne and joined Caxton when Veldener and Caxton published the </w:t>
      </w:r>
      <w:r w:rsidR="00D65FEE">
        <w:rPr>
          <w:i/>
        </w:rPr>
        <w:t>De Proprietatibus Rerum</w:t>
      </w:r>
      <w:r w:rsidR="00D65FEE">
        <w:t xml:space="preserve"> in 1472 </w:t>
      </w:r>
      <w:r w:rsidR="00B177C9" w:rsidRPr="00B177C9">
        <w:t>(Blake 2004c)</w:t>
      </w:r>
      <w:r w:rsidR="00E05D20">
        <w:t xml:space="preserve">. </w:t>
      </w:r>
      <w:r w:rsidR="00B46152">
        <w:t xml:space="preserve">De Worde began his own publishing career using Caxton’s founts of type and woodcuts, and by reprinting </w:t>
      </w:r>
      <w:r w:rsidR="00051D5C">
        <w:t>many</w:t>
      </w:r>
      <w:r w:rsidR="00B46152">
        <w:t xml:space="preserve"> of Caxton’s texts</w:t>
      </w:r>
      <w:r w:rsidR="00051D5C">
        <w:t xml:space="preserve">. Between 1493 and 1495 de Worde reprinted </w:t>
      </w:r>
      <w:r w:rsidR="00CA08F4">
        <w:t xml:space="preserve">Caxton’s versions of </w:t>
      </w:r>
      <w:r w:rsidR="00051D5C">
        <w:t>texts</w:t>
      </w:r>
      <w:r w:rsidR="00B46152">
        <w:t xml:space="preserve"> including </w:t>
      </w:r>
      <w:r w:rsidR="007B1BB4">
        <w:t xml:space="preserve">the </w:t>
      </w:r>
      <w:r w:rsidR="007B1BB4">
        <w:rPr>
          <w:i/>
        </w:rPr>
        <w:t>Golden Legend</w:t>
      </w:r>
      <w:r w:rsidR="007B1BB4">
        <w:t xml:space="preserve">, </w:t>
      </w:r>
      <w:r w:rsidR="007B1BB4">
        <w:rPr>
          <w:i/>
        </w:rPr>
        <w:t>Book of Courtesy</w:t>
      </w:r>
      <w:r w:rsidR="00760E68">
        <w:t xml:space="preserve">, </w:t>
      </w:r>
      <w:r w:rsidR="007B1BB4">
        <w:rPr>
          <w:i/>
        </w:rPr>
        <w:t>Sarum Hours</w:t>
      </w:r>
      <w:r w:rsidR="00051D5C">
        <w:t xml:space="preserve">, </w:t>
      </w:r>
      <w:r w:rsidR="00051D5C">
        <w:rPr>
          <w:i/>
        </w:rPr>
        <w:t>Temple of Glass</w:t>
      </w:r>
      <w:r w:rsidR="00051D5C">
        <w:t xml:space="preserve">, </w:t>
      </w:r>
      <w:r w:rsidR="00051D5C">
        <w:rPr>
          <w:i/>
        </w:rPr>
        <w:t>Liber Festivalis</w:t>
      </w:r>
      <w:r w:rsidR="00051D5C">
        <w:t xml:space="preserve">, </w:t>
      </w:r>
      <w:r w:rsidR="00051D5C">
        <w:rPr>
          <w:i/>
        </w:rPr>
        <w:t>Quatt</w:t>
      </w:r>
      <w:r w:rsidR="00972ABF">
        <w:rPr>
          <w:i/>
        </w:rPr>
        <w:t>u</w:t>
      </w:r>
      <w:r w:rsidR="00051D5C">
        <w:rPr>
          <w:i/>
        </w:rPr>
        <w:t>or Sermones,</w:t>
      </w:r>
      <w:r w:rsidR="00051D5C">
        <w:t xml:space="preserve"> </w:t>
      </w:r>
      <w:r w:rsidR="00051D5C">
        <w:rPr>
          <w:i/>
        </w:rPr>
        <w:t>Mirror of the Blessed Life of Jesus Christ</w:t>
      </w:r>
      <w:r w:rsidR="00051D5C">
        <w:t xml:space="preserve">, </w:t>
      </w:r>
      <w:r w:rsidR="00051D5C">
        <w:rPr>
          <w:i/>
        </w:rPr>
        <w:t>Cordiale</w:t>
      </w:r>
      <w:r w:rsidR="00051D5C">
        <w:t xml:space="preserve">, </w:t>
      </w:r>
      <w:r w:rsidR="00051D5C">
        <w:rPr>
          <w:i/>
        </w:rPr>
        <w:t>Churle and the Bird</w:t>
      </w:r>
      <w:r w:rsidR="00051D5C">
        <w:t xml:space="preserve">, </w:t>
      </w:r>
      <w:r w:rsidR="00051D5C">
        <w:rPr>
          <w:i/>
        </w:rPr>
        <w:t>Horse, Sheep and Goose</w:t>
      </w:r>
      <w:r w:rsidR="00051D5C">
        <w:t xml:space="preserve">, and the </w:t>
      </w:r>
      <w:r w:rsidR="00051D5C">
        <w:rPr>
          <w:i/>
        </w:rPr>
        <w:t>Polychronicon</w:t>
      </w:r>
      <w:r w:rsidR="00760E68">
        <w:t>.</w:t>
      </w:r>
      <w:r w:rsidR="003F79FC">
        <w:t xml:space="preserve"> </w:t>
      </w:r>
      <w:r w:rsidR="00877AFE">
        <w:t xml:space="preserve">Following his edition of </w:t>
      </w:r>
      <w:r w:rsidR="00877AFE">
        <w:rPr>
          <w:i/>
        </w:rPr>
        <w:t>Polychronicon</w:t>
      </w:r>
      <w:r w:rsidR="00877AFE">
        <w:t>, de Worde began to change the direction of the work he printed towards religious and educati</w:t>
      </w:r>
      <w:r w:rsidR="007550A9">
        <w:t xml:space="preserve">onal texts, though he </w:t>
      </w:r>
      <w:r w:rsidR="007550A9">
        <w:lastRenderedPageBreak/>
        <w:t>continued to reprint Caxton’s texts</w:t>
      </w:r>
      <w:r w:rsidR="00465090">
        <w:t xml:space="preserve"> throughout his career</w:t>
      </w:r>
      <w:r w:rsidR="007550A9">
        <w:t xml:space="preserve">. In 1500 de Worde </w:t>
      </w:r>
      <w:r w:rsidR="0050374D">
        <w:t xml:space="preserve">left Westminster and </w:t>
      </w:r>
      <w:r w:rsidR="007550A9">
        <w:t xml:space="preserve">moved </w:t>
      </w:r>
      <w:r w:rsidR="0050374D">
        <w:t>the</w:t>
      </w:r>
      <w:r w:rsidR="007550A9">
        <w:t xml:space="preserve"> printing shop to Fleet Street in London</w:t>
      </w:r>
      <w:r w:rsidR="00663AE1">
        <w:t xml:space="preserve">. </w:t>
      </w:r>
    </w:p>
    <w:p w14:paraId="1BD88CA9" w14:textId="77777777" w:rsidR="00F3504D" w:rsidRDefault="00F3504D" w:rsidP="00762959">
      <w:pPr>
        <w:ind w:firstLine="0"/>
      </w:pPr>
    </w:p>
    <w:p w14:paraId="6830C999" w14:textId="39800002" w:rsidR="006F5F6C" w:rsidRDefault="006F5F6C" w:rsidP="006F5F6C">
      <w:pPr>
        <w:pStyle w:val="Heading2"/>
      </w:pPr>
      <w:bookmarkStart w:id="16" w:name="_Ref496619920"/>
      <w:bookmarkStart w:id="17" w:name="_Toc497899838"/>
      <w:r>
        <w:t>Processes of printing</w:t>
      </w:r>
      <w:bookmarkEnd w:id="16"/>
      <w:bookmarkEnd w:id="17"/>
    </w:p>
    <w:p w14:paraId="2852320D" w14:textId="2DD37A5F" w:rsidR="00F7751D" w:rsidRPr="0021550A" w:rsidRDefault="00F7751D" w:rsidP="00F7751D">
      <w:r w:rsidRPr="0021550A">
        <w:t>It is uncertain how much input Caxton had into the texts that his printing house produced. Most of what we know about the way Caxton ran his business we know from the prologues and epilogues that are attached to many of the books that he printed. We do know that the compositors’ role was one of copying—the compositors were paid to set the type for a new printed edition, rather than to write an original text in the medium of print. Because the compositors were always copying, they were necessarily always working from a copy text, but there are few copy texts extant</w:t>
      </w:r>
      <w:r w:rsidR="00FC09E5">
        <w:t xml:space="preserve"> (Hellinga 2014)</w:t>
      </w:r>
      <w:r w:rsidRPr="0021550A">
        <w:t xml:space="preserve">. The copy texts that were used by compositors would not have escaped the printing process unscathed. Hellinga </w:t>
      </w:r>
      <w:r w:rsidR="001E28D3">
        <w:t xml:space="preserve">(2014: 96) </w:t>
      </w:r>
      <w:r w:rsidRPr="0021550A">
        <w:t>notes that manuscripts that have been used as copy texts often contain inky fingerprints and marking from the master printer</w:t>
      </w:r>
      <w:r w:rsidR="001E28D3">
        <w:t>. I</w:t>
      </w:r>
      <w:r w:rsidRPr="0021550A">
        <w:t xml:space="preserve">t is possible that instead of using expensive manuscript editions for printing, Caxton would have had manuscript copies of a text made for use in the printing house though Caxton does not state whether copies of the text were made </w:t>
      </w:r>
      <w:r w:rsidR="007B5C8A">
        <w:t>expressly for</w:t>
      </w:r>
      <w:r w:rsidRPr="0021550A">
        <w:t xml:space="preserve"> use in the printing house. </w:t>
      </w:r>
    </w:p>
    <w:p w14:paraId="7662C38B" w14:textId="15572233" w:rsidR="00936CDC" w:rsidRPr="000003ED" w:rsidRDefault="00936CDC" w:rsidP="002B43C4">
      <w:r w:rsidRPr="000003ED">
        <w:t>The copy text was marked up by the master compositor, who was responsible for preparing the copy text for printing. At this point, any changes to the previous edition were incorporated into the copy text. The master compositor wo</w:t>
      </w:r>
      <w:r w:rsidR="00CE4ACF">
        <w:t>uld have marked up a copy of the text that was to be printed</w:t>
      </w:r>
      <w:r w:rsidRPr="000003ED">
        <w:t xml:space="preserve">, adding corrections from the manuscript. </w:t>
      </w:r>
      <w:r w:rsidR="00CE4ACF">
        <w:t xml:space="preserve">For example, most of Caxton’s second edition of the </w:t>
      </w:r>
      <w:r w:rsidR="00CE4ACF">
        <w:rPr>
          <w:i/>
        </w:rPr>
        <w:t>Canterbury Tales</w:t>
      </w:r>
      <w:r w:rsidR="00CE4ACF">
        <w:t xml:space="preserve"> is similar to his first edition</w:t>
      </w:r>
      <w:r w:rsidR="00D449A5">
        <w:t xml:space="preserve"> which was used as the copy text (Bordalejo 2005,</w:t>
      </w:r>
      <w:r w:rsidR="00D449A5" w:rsidRPr="00D449A5">
        <w:t xml:space="preserve"> Hellinga </w:t>
      </w:r>
      <w:r w:rsidR="00D449A5">
        <w:t xml:space="preserve">&amp; Painter </w:t>
      </w:r>
      <w:r w:rsidR="00D449A5" w:rsidRPr="00D449A5">
        <w:t>2007)</w:t>
      </w:r>
      <w:r w:rsidRPr="000003ED">
        <w:t xml:space="preserve">, though 277 lines </w:t>
      </w:r>
      <w:r w:rsidR="002453CE">
        <w:t xml:space="preserve">of text </w:t>
      </w:r>
      <w:r w:rsidRPr="000003ED">
        <w:t xml:space="preserve">were added and 89 removed. Changes to spelling were not likely to have been made while the copy text was with the master compositor; instead, it is more likely that </w:t>
      </w:r>
      <w:r w:rsidR="005E3F39">
        <w:t xml:space="preserve">any changes to </w:t>
      </w:r>
      <w:r w:rsidRPr="000003ED">
        <w:t xml:space="preserve">spellings were </w:t>
      </w:r>
      <w:r w:rsidR="005E3F39">
        <w:t>made</w:t>
      </w:r>
      <w:r w:rsidRPr="000003ED">
        <w:t xml:space="preserve"> by the compositor when setting the type </w:t>
      </w:r>
      <w:r w:rsidR="00D449A5" w:rsidRPr="00D449A5">
        <w:t>(Bordalejo 2014)</w:t>
      </w:r>
      <w:r w:rsidRPr="000003ED">
        <w:t>.</w:t>
      </w:r>
    </w:p>
    <w:p w14:paraId="3E8B9FAB" w14:textId="2C04202D" w:rsidR="00936CDC" w:rsidRPr="000003ED" w:rsidRDefault="00936CDC" w:rsidP="002B43C4">
      <w:r w:rsidRPr="000003ED">
        <w:t xml:space="preserve">Once the master compositor had made any changes to the text itself, the copy text was marked up to show the end of each page in the new edition—a process known as casting off. Casting off was necessary for two reasons. Firstly, because of the way the paper would be folded after printing, compositors did not set pages in the order that they would appear in the final copy. The compositors would have printed pages 1 and 8 on the same side of a quarto sheet, and 2 and 7 on the other side. The printers did not have enough type to keep eight pages standing, so it was necessary for the compositor to know where page 7 ended, in order that page 8 could be set immediately after page 1. And here I differentiate between </w:t>
      </w:r>
      <w:r w:rsidRPr="002453CE">
        <w:rPr>
          <w:iCs/>
        </w:rPr>
        <w:t>type</w:t>
      </w:r>
      <w:r w:rsidRPr="000003ED">
        <w:t xml:space="preserve">—the small metal blocks that the compositors set out—and </w:t>
      </w:r>
      <w:r w:rsidRPr="002453CE">
        <w:rPr>
          <w:iCs/>
        </w:rPr>
        <w:t>text</w:t>
      </w:r>
      <w:r w:rsidRPr="000003ED">
        <w:t xml:space="preserve">—the ink impression of the type on the page. The second reason to cast off the copy </w:t>
      </w:r>
      <w:r w:rsidRPr="000003ED">
        <w:lastRenderedPageBreak/>
        <w:t xml:space="preserve">text is that printing houses usually employed more than </w:t>
      </w:r>
      <w:r w:rsidR="00A32D6D">
        <w:t xml:space="preserve">one compositor. When setting the second edition </w:t>
      </w:r>
      <w:r w:rsidR="00BB40F9">
        <w:t xml:space="preserve">of the </w:t>
      </w:r>
      <w:r w:rsidR="00BB40F9">
        <w:rPr>
          <w:i/>
        </w:rPr>
        <w:t>Canterbury Tales</w:t>
      </w:r>
      <w:r w:rsidRPr="000003ED">
        <w:t xml:space="preserve">, Caxton employed at least two compositors </w:t>
      </w:r>
      <w:r w:rsidR="006935D3" w:rsidRPr="006935D3">
        <w:t xml:space="preserve">(Hellinga &amp; Painter 2007), if not three (Bordalejo 2005). </w:t>
      </w:r>
      <w:r w:rsidRPr="000003ED">
        <w:t>Compositors needed to know where their sections were due to end and begin in order to work effectively together.</w:t>
      </w:r>
    </w:p>
    <w:p w14:paraId="27550BAA" w14:textId="47AD23A5" w:rsidR="00936CDC" w:rsidRPr="000003ED" w:rsidRDefault="00936CDC" w:rsidP="002B43C4">
      <w:r w:rsidRPr="000003ED">
        <w:t xml:space="preserve">If the text being copied was verse, then casting off was a fairly straightforward process. Caxton’s two editions of the </w:t>
      </w:r>
      <w:r w:rsidRPr="000003ED">
        <w:rPr>
          <w:i/>
          <w:iCs/>
        </w:rPr>
        <w:t>Canterbury Tales</w:t>
      </w:r>
      <w:r w:rsidRPr="000003ED">
        <w:t xml:space="preserve"> include sections of verse and prose. Chaucer’s lines of verse are not long enough to reach the </w:t>
      </w:r>
      <w:r w:rsidR="00CE4ACF" w:rsidRPr="000003ED">
        <w:t>right-hand</w:t>
      </w:r>
      <w:r w:rsidRPr="000003ED">
        <w:t xml:space="preserve"> margin. Therefore the master compositor could simply count the number of lines in the copy text and mark where each page would end in the new copy. For example, in </w:t>
      </w:r>
      <w:r w:rsidR="00CE4ACF">
        <w:t xml:space="preserve">Caxton’s first edition of the </w:t>
      </w:r>
      <w:r w:rsidR="00CE4ACF">
        <w:rPr>
          <w:i/>
        </w:rPr>
        <w:t>Canterbury Tales</w:t>
      </w:r>
      <w:r w:rsidRPr="000003ED">
        <w:t xml:space="preserve"> the Nun’s Priest’s Tale has 29 lines of verse per page; in </w:t>
      </w:r>
      <w:r w:rsidR="002B43C4">
        <w:t>Caxton’s second edition</w:t>
      </w:r>
      <w:r w:rsidRPr="000003ED">
        <w:t xml:space="preserve"> there are 38 lines of verse per page. The master compositor worked out the length of </w:t>
      </w:r>
      <w:r w:rsidR="002B43C4">
        <w:t>the first edition</w:t>
      </w:r>
      <w:r w:rsidRPr="000003ED">
        <w:t xml:space="preserve"> divided into pages of 38 lines each, to get the total number of pages needed. Setting prose was more complicated than setting verse. The lineation would change unless the type and page size of the new edition remained the same as that of the copy text. In Caxton’s case, the type changed from Type 2 in </w:t>
      </w:r>
      <w:r w:rsidR="002B43C4">
        <w:t xml:space="preserve">the first edition of the </w:t>
      </w:r>
      <w:r w:rsidR="002B43C4">
        <w:rPr>
          <w:i/>
        </w:rPr>
        <w:t>Canterbury Tales</w:t>
      </w:r>
      <w:r w:rsidRPr="000003ED">
        <w:t xml:space="preserve"> to the similarly-styled but smaller Type 4 in </w:t>
      </w:r>
      <w:r w:rsidR="002B43C4">
        <w:t>the second edition</w:t>
      </w:r>
      <w:r w:rsidRPr="000003ED">
        <w:t>. Caxton’s master compositor would have had to work out the size of a page’s worth of Type 4 and mark this on the copy text.</w:t>
      </w:r>
    </w:p>
    <w:p w14:paraId="04AD426B" w14:textId="2EF05BEA" w:rsidR="00936CDC" w:rsidRPr="000003ED" w:rsidRDefault="00936CDC" w:rsidP="002B43C4">
      <w:r w:rsidRPr="000003ED">
        <w:t>Once the copy text has been amended and cast off, the compositors began setting out the type. The master compositor would have specified the size of the printing area for the new edition, so the compositor set his composing stick—the thin rule on which he sets the type—to the width of the printing area. The compositor set out the type as it is on the</w:t>
      </w:r>
      <w:r w:rsidR="002B43C4">
        <w:t xml:space="preserve"> copy text, revisions included. </w:t>
      </w:r>
      <w:r w:rsidRPr="000003ED">
        <w:t xml:space="preserve">If setting verse, or text where the type is not aligned both margins, then the compositor’s line is filled using spacing—type that takes up space but that does not leave an impression during printing. Printers had spacing of different widths to ensure that each line was tightly filled with type. This process of fitting the type into a rectangle the shape of the printing area is called </w:t>
      </w:r>
      <w:r w:rsidR="002B43C4">
        <w:t>“</w:t>
      </w:r>
      <w:r w:rsidRPr="002B43C4">
        <w:rPr>
          <w:iCs/>
        </w:rPr>
        <w:t>justification</w:t>
      </w:r>
      <w:r w:rsidR="002B43C4">
        <w:rPr>
          <w:iCs/>
        </w:rPr>
        <w:t>”</w:t>
      </w:r>
      <w:r w:rsidRPr="000003ED">
        <w:t>. When setting prose, the process of justifi</w:t>
      </w:r>
      <w:r w:rsidR="002B43C4">
        <w:t>cation became more difficult (discussed in more detail in Chapter 3)</w:t>
      </w:r>
      <w:r w:rsidRPr="000003ED">
        <w:t xml:space="preserve">. After the compositor has set out a page of type, </w:t>
      </w:r>
      <w:r w:rsidR="000E43BA">
        <w:t>the type</w:t>
      </w:r>
      <w:r w:rsidRPr="000003ED">
        <w:t xml:space="preserve"> was tightly pinned together in a chase—the frame used to hold the type together for printing. The page of type was </w:t>
      </w:r>
      <w:r w:rsidR="002B43C4">
        <w:t xml:space="preserve">then </w:t>
      </w:r>
      <w:r w:rsidRPr="000003ED">
        <w:t>moved onto the press.</w:t>
      </w:r>
    </w:p>
    <w:p w14:paraId="51BFA007" w14:textId="0810DCDB" w:rsidR="00936CDC" w:rsidRDefault="00936CDC" w:rsidP="00B057BB">
      <w:r w:rsidRPr="000003ED">
        <w:t>Once a page was set, the compositor printed off a copy for error-checking by the corrector. The corrector read the new copy in front of him while the original copy text was read aloud</w:t>
      </w:r>
      <w:r w:rsidR="00574490">
        <w:t xml:space="preserve"> (Gaskell 1972: 112)</w:t>
      </w:r>
      <w:r w:rsidRPr="000003ED">
        <w:t xml:space="preserve">. The corrector amended the proof accordingly, and any changes were made by the compositor. The corrector </w:t>
      </w:r>
      <w:r w:rsidR="0098764A">
        <w:t>rarely made changes to spelling</w:t>
      </w:r>
      <w:r w:rsidRPr="000003ED">
        <w:t xml:space="preserve"> however </w:t>
      </w:r>
      <w:r w:rsidR="006935D3" w:rsidRPr="006935D3">
        <w:t>(Hellinga 2014). I</w:t>
      </w:r>
      <w:r w:rsidRPr="000003ED">
        <w:t xml:space="preserve">f the corrector was happy with the proof, the type was given to the pressmen who began printing copies for the new edition. The compositor began to set </w:t>
      </w:r>
      <w:r w:rsidRPr="000003ED">
        <w:lastRenderedPageBreak/>
        <w:t>the next page</w:t>
      </w:r>
      <w:r w:rsidR="002B43C4">
        <w:t xml:space="preserve"> whilst the previous pages were being printed by the pressmen,</w:t>
      </w:r>
      <w:r w:rsidRPr="000003ED">
        <w:t xml:space="preserve"> and the process started again. </w:t>
      </w:r>
      <w:r w:rsidR="00CE4ACF">
        <w:t xml:space="preserve">Once the pages for a whole text had been printed, the quires were bundled up and sent to the binder. In the case of Caxton’s printing business, Caxton then sold the books that he printed in his shop. </w:t>
      </w:r>
    </w:p>
    <w:p w14:paraId="3B932071" w14:textId="77777777" w:rsidR="00CD13AF" w:rsidRDefault="00CD13AF" w:rsidP="00936CDC"/>
    <w:p w14:paraId="7EA60585" w14:textId="222875C3" w:rsidR="00CD13AF" w:rsidRDefault="00CD13AF" w:rsidP="00CD13AF">
      <w:pPr>
        <w:pStyle w:val="Heading2"/>
      </w:pPr>
      <w:bookmarkStart w:id="18" w:name="_Ref496620128"/>
      <w:bookmarkStart w:id="19" w:name="_Toc497899840"/>
      <w:r>
        <w:t xml:space="preserve">The language of </w:t>
      </w:r>
      <w:bookmarkEnd w:id="18"/>
      <w:bookmarkEnd w:id="19"/>
      <w:r w:rsidR="00937E7E">
        <w:t>compositors</w:t>
      </w:r>
    </w:p>
    <w:p w14:paraId="3587AD03" w14:textId="7A7659B8" w:rsidR="00111525" w:rsidRDefault="00CD13AF" w:rsidP="00111525">
      <w:r>
        <w:t>The compositors are of particular interest for this study, because they have the greatest amount of influence over the spellings in a printed text relative to the other people involved in the printing process. However, c</w:t>
      </w:r>
      <w:r w:rsidRPr="00602782">
        <w:t xml:space="preserve">ompositors are limited in what linguistic features they are able to alter. The compositor can influence </w:t>
      </w:r>
      <w:r w:rsidR="0098764A" w:rsidRPr="00602782">
        <w:t xml:space="preserve">only </w:t>
      </w:r>
      <w:r w:rsidRPr="00602782">
        <w:t xml:space="preserve">the spelling of a new text; it is not possible for them to alter any other linguistic feature. </w:t>
      </w:r>
      <w:r w:rsidR="0005003F">
        <w:t xml:space="preserve">A </w:t>
      </w:r>
      <w:r w:rsidR="00111525">
        <w:t>word-by-word</w:t>
      </w:r>
      <w:r w:rsidR="0005003F">
        <w:t xml:space="preserve"> comparison of Caxton’s second edition of the </w:t>
      </w:r>
      <w:r w:rsidR="0005003F">
        <w:rPr>
          <w:i/>
        </w:rPr>
        <w:t xml:space="preserve">Canterbury </w:t>
      </w:r>
      <w:r w:rsidR="0005003F" w:rsidRPr="0005003F">
        <w:rPr>
          <w:i/>
        </w:rPr>
        <w:t>Tales</w:t>
      </w:r>
      <w:r w:rsidR="0005003F">
        <w:t xml:space="preserve"> against its copy text</w:t>
      </w:r>
      <w:r w:rsidR="00111525">
        <w:t xml:space="preserve">, Caxton’s first edition of the </w:t>
      </w:r>
      <w:r w:rsidR="00111525">
        <w:rPr>
          <w:i/>
        </w:rPr>
        <w:t>Canterbury Tales</w:t>
      </w:r>
      <w:r w:rsidR="00111525">
        <w:t xml:space="preserve">, suggests that compositors copied around seventy per cent of the spellings exactly as they appeared in the copy text. The remaining thirty per cent are spellings that the compositor changes. This is in line with the changes made by compositors that are observed by Gaskell (1972) and Wakelin (2011). </w:t>
      </w:r>
    </w:p>
    <w:p w14:paraId="422EC7E9" w14:textId="1B43614F" w:rsidR="00CD13AF" w:rsidRPr="00602782" w:rsidRDefault="00111525" w:rsidP="00111525">
      <w:r>
        <w:t>The compositor’s</w:t>
      </w:r>
      <w:r w:rsidR="00CD13AF" w:rsidRPr="00602782">
        <w:t xml:space="preserve"> range of influence is limited because of the correction processes that their work underwent. Each page of type that the compositor set was checked by the corrector. The corrector assessed the compositor’s work by reading the compositor’s new copy whilst the old one was read aloud to him </w:t>
      </w:r>
      <w:r w:rsidR="006935D3" w:rsidRPr="006935D3">
        <w:t>(Gaskell 1972:</w:t>
      </w:r>
      <w:r w:rsidR="006935D3">
        <w:t xml:space="preserve"> </w:t>
      </w:r>
      <w:r w:rsidR="006935D3" w:rsidRPr="006935D3">
        <w:t>112)</w:t>
      </w:r>
      <w:r w:rsidR="00CD13AF" w:rsidRPr="00602782">
        <w:t xml:space="preserve">. Any deviation in syntax or lexis would be noticed by the corrector and the compositor </w:t>
      </w:r>
      <w:r w:rsidR="00937E7E">
        <w:t xml:space="preserve">would be </w:t>
      </w:r>
      <w:r w:rsidR="00CD13AF" w:rsidRPr="00602782">
        <w:t xml:space="preserve">instructed to </w:t>
      </w:r>
      <w:r w:rsidR="00863037">
        <w:t xml:space="preserve">amend </w:t>
      </w:r>
      <w:r w:rsidR="00937E7E">
        <w:t>the text for the full print run,</w:t>
      </w:r>
      <w:r w:rsidR="00863037">
        <w:t xml:space="preserve"> </w:t>
      </w:r>
      <w:r w:rsidR="00937E7E">
        <w:t>but</w:t>
      </w:r>
      <w:r w:rsidR="00CD13AF" w:rsidRPr="00602782">
        <w:t xml:space="preserve"> spelling was rarely corrected. As long as the spelling on the page matched what the corrector heard, then no alteration was made. The few corrected sheets still in existence rarely show corrections of spellings, while syntax and lexis is frequently amended </w:t>
      </w:r>
      <w:r w:rsidR="006935D3" w:rsidRPr="006935D3">
        <w:t>(Hellinga 2010:</w:t>
      </w:r>
      <w:r w:rsidR="006935D3">
        <w:t xml:space="preserve"> </w:t>
      </w:r>
      <w:r w:rsidR="006935D3" w:rsidRPr="006935D3">
        <w:t>94)</w:t>
      </w:r>
      <w:r w:rsidR="00CD13AF" w:rsidRPr="00602782">
        <w:t>.</w:t>
      </w:r>
      <w:bookmarkStart w:id="20" w:name="Compositors_affect_spelling"/>
      <w:r w:rsidR="00CD13AF" w:rsidRPr="00602782">
        <w:t xml:space="preserve"> While</w:t>
      </w:r>
      <w:bookmarkEnd w:id="20"/>
      <w:r w:rsidR="00CD13AF" w:rsidRPr="00602782">
        <w:t xml:space="preserve"> the work of compositors had to adhere to the syntax and lexis of the copy text, spelling variation was permitted within the text. For this reason, when examining the language of compositors, the only available linguistic feature for analysis is spelling. Any other feature would have been “corrected” if it deviated from the copy text. This lack of variable linguistic markers makes the language of the compositors particularly difficult to investigate. </w:t>
      </w:r>
      <w:r w:rsidR="00CD13AF" w:rsidRPr="00602782">
        <w:tab/>
      </w:r>
    </w:p>
    <w:p w14:paraId="0BFA50EE" w14:textId="51A5A532" w:rsidR="00CD13AF" w:rsidRDefault="00CD13AF" w:rsidP="00863037">
      <w:r w:rsidRPr="00602782">
        <w:t xml:space="preserve">Compositors could use spelling variants other than those in the copy text because of the nature of copying. Previous research has already thoroughly investigated the effect of the scribe during the hand-copying process. The account put forth by Benskin </w:t>
      </w:r>
      <w:r w:rsidR="00185E18">
        <w:t>and</w:t>
      </w:r>
      <w:r w:rsidRPr="00602782">
        <w:t xml:space="preserve"> Laing</w:t>
      </w:r>
      <w:r w:rsidR="003F356D">
        <w:t xml:space="preserve"> (1981)</w:t>
      </w:r>
      <w:r w:rsidRPr="00602782">
        <w:t>, and built upon by McIntosh</w:t>
      </w:r>
      <w:r w:rsidR="00185E18">
        <w:t>, Samuels, and Benskin</w:t>
      </w:r>
      <w:r w:rsidR="003F356D">
        <w:t xml:space="preserve"> (1986)</w:t>
      </w:r>
      <w:r w:rsidRPr="00602782">
        <w:t>, models the way that scribes respond to a copy text, and I argue that compositors respond to their copy text in the same way.</w:t>
      </w:r>
      <w:r w:rsidR="00863037">
        <w:t xml:space="preserve"> </w:t>
      </w:r>
      <w:r w:rsidR="0098764A">
        <w:t>In the earliest printer</w:t>
      </w:r>
      <w:r w:rsidR="006935D3">
        <w:t>s</w:t>
      </w:r>
      <w:r w:rsidR="0098764A">
        <w:t>’</w:t>
      </w:r>
      <w:r w:rsidRPr="00602782">
        <w:t xml:space="preserve"> manual to be written in English, Joseph Moxon </w:t>
      </w:r>
      <w:r w:rsidR="00863037" w:rsidRPr="00863037">
        <w:lastRenderedPageBreak/>
        <w:t>(1683:</w:t>
      </w:r>
      <w:r w:rsidR="006935D3">
        <w:t xml:space="preserve"> </w:t>
      </w:r>
      <w:r w:rsidR="00863037" w:rsidRPr="00863037">
        <w:t>212–213)</w:t>
      </w:r>
      <w:r w:rsidRPr="00602782">
        <w:t xml:space="preserve"> writes that “the compositor [...] first reads so much of his copy as he thinks he can retain in his memory till he have composed it, as commonly is five or six words, or sometimes a longer Sentence. And having read, he falls a Spelling in his mind.” Moxon’s manual gives a similar account of the copying process modelled by Benskin </w:t>
      </w:r>
      <w:r w:rsidR="00185E18">
        <w:t>and</w:t>
      </w:r>
      <w:r w:rsidRPr="00602782">
        <w:t xml:space="preserve"> Laing, but instead applied to the process of printing. Moxon’s narrative suggests that compositors may be just as likely to change the spellings of a new printed text as their scribal counterparts</w:t>
      </w:r>
      <w:r w:rsidR="006B3215">
        <w:t>.</w:t>
      </w:r>
      <w:r w:rsidRPr="00602782">
        <w:t xml:space="preserve"> </w:t>
      </w:r>
    </w:p>
    <w:p w14:paraId="1CFF61CD" w14:textId="370D9403" w:rsidR="00CD13AF" w:rsidRDefault="0013477F" w:rsidP="00CD13AF">
      <w:pPr>
        <w:rPr>
          <w:lang w:bidi="en-US"/>
        </w:rPr>
      </w:pPr>
      <w:r>
        <w:t xml:space="preserve">The extent to which compositors reproduce their </w:t>
      </w:r>
      <w:r w:rsidR="00995DF9">
        <w:t>copy texts has been studied in light of the uncertainty of where compositors were from, and therefore the extent to which they spoke English. A</w:t>
      </w:r>
      <w:r w:rsidR="00CD13AF">
        <w:rPr>
          <w:lang w:bidi="en-US"/>
        </w:rPr>
        <w:t xml:space="preserve">ttention has been drawn to the compositors that Caxton employed, on the basis that most fifteenth-century compositors were not native English speakers </w:t>
      </w:r>
      <w:r w:rsidR="00995DF9">
        <w:rPr>
          <w:lang w:bidi="en-US"/>
        </w:rPr>
        <w:t>(Scragg 1974, Samuels 1988,</w:t>
      </w:r>
      <w:r w:rsidR="006935D3" w:rsidRPr="006935D3">
        <w:rPr>
          <w:lang w:bidi="en-US"/>
        </w:rPr>
        <w:t xml:space="preserve"> Blake 1991a). Caxton’s compositors have been held responsible for “the adoption among printers of a spelling system so far removed from the English then being spoken” (Hotchkiss &amp; Robinson 2008:</w:t>
      </w:r>
      <w:r w:rsidR="0098764A">
        <w:rPr>
          <w:lang w:bidi="en-US"/>
        </w:rPr>
        <w:t xml:space="preserve"> </w:t>
      </w:r>
      <w:r w:rsidR="006935D3" w:rsidRPr="006935D3">
        <w:rPr>
          <w:lang w:bidi="en-US"/>
        </w:rPr>
        <w:t xml:space="preserve">6); Hotchkiss and Robinson suggest that </w:t>
      </w:r>
      <w:r w:rsidR="0098764A" w:rsidRPr="006935D3">
        <w:rPr>
          <w:lang w:bidi="en-US"/>
        </w:rPr>
        <w:t xml:space="preserve">based on their presumed lack of English knowledge </w:t>
      </w:r>
      <w:r w:rsidR="006935D3" w:rsidRPr="006935D3">
        <w:rPr>
          <w:lang w:bidi="en-US"/>
        </w:rPr>
        <w:t>Caxton’s compositors were unable to represent the sounds of English orthographically. Caxton has been held accountable for the changes his compositors made to English spellings because he employed them (Salmon 2000). The present study is not concerned with the extent to which Caxton’s compositors used a phonetic</w:t>
      </w:r>
      <w:r w:rsidR="00CD13AF">
        <w:rPr>
          <w:lang w:bidi="en-US"/>
        </w:rPr>
        <w:t xml:space="preserve">ally accurate orthographic system, but rather the extent to which </w:t>
      </w:r>
      <w:r w:rsidR="00D41C78">
        <w:rPr>
          <w:lang w:bidi="en-US"/>
        </w:rPr>
        <w:t xml:space="preserve">the spellings used by </w:t>
      </w:r>
      <w:r w:rsidR="00CD13AF">
        <w:rPr>
          <w:lang w:bidi="en-US"/>
        </w:rPr>
        <w:t xml:space="preserve">compositors (and the copy text) can be seen to change within an individual text. As such, it is important to know where in the text one compositor’s work stops and the next begins. </w:t>
      </w:r>
    </w:p>
    <w:p w14:paraId="52E1D07C" w14:textId="77777777" w:rsidR="00CD13AF" w:rsidRDefault="00CD13AF" w:rsidP="00CD13AF">
      <w:pPr>
        <w:rPr>
          <w:lang w:bidi="en-US"/>
        </w:rPr>
      </w:pPr>
    </w:p>
    <w:p w14:paraId="080F53D8" w14:textId="472CB213" w:rsidR="00CD13AF" w:rsidRDefault="00CD13AF" w:rsidP="00CF4BBF">
      <w:pPr>
        <w:pStyle w:val="Heading2"/>
      </w:pPr>
      <w:bookmarkStart w:id="21" w:name="_Ref496620019"/>
      <w:bookmarkStart w:id="22" w:name="_Toc497899839"/>
      <w:r>
        <w:t>Texts that were typeset by more than one compositor</w:t>
      </w:r>
      <w:bookmarkEnd w:id="21"/>
      <w:bookmarkEnd w:id="22"/>
    </w:p>
    <w:p w14:paraId="4F1032E0" w14:textId="793FF59D" w:rsidR="00CD13AF" w:rsidRPr="00602782" w:rsidRDefault="00CD13AF" w:rsidP="00CD13AF">
      <w:r>
        <w:t xml:space="preserve">This study is interested in the extent to which individuals altered the spellings of a printed text, and compositors had the greatest influence over the spellings in a new printed text. </w:t>
      </w:r>
      <w:r w:rsidRPr="00602782">
        <w:t>Texts that were set by two compositors were set concurrently, both compositors working from different parts of the copy text.</w:t>
      </w:r>
      <w:r>
        <w:t xml:space="preserve"> There are very few extant copy texts, though one example is the manuscript </w:t>
      </w:r>
      <w:r w:rsidRPr="00621088">
        <w:t>Bibli</w:t>
      </w:r>
      <w:r>
        <w:t>oteca Apostolica Vaticana, Cod.</w:t>
      </w:r>
      <w:r w:rsidR="00B057BB">
        <w:t xml:space="preserve"> </w:t>
      </w:r>
      <w:r>
        <w:t>L</w:t>
      </w:r>
      <w:r w:rsidRPr="00621088">
        <w:t>at.</w:t>
      </w:r>
      <w:r w:rsidR="00B057BB">
        <w:t xml:space="preserve"> </w:t>
      </w:r>
      <w:r w:rsidRPr="00621088">
        <w:t>11441</w:t>
      </w:r>
      <w:r>
        <w:t xml:space="preserve"> which was used as the copy text for Caxton’s edition of the </w:t>
      </w:r>
      <w:r>
        <w:rPr>
          <w:i/>
        </w:rPr>
        <w:t>Nova Rhetorica</w:t>
      </w:r>
      <w:r>
        <w:t>, in which compositors</w:t>
      </w:r>
      <w:r w:rsidR="005E3F39">
        <w:t>’</w:t>
      </w:r>
      <w:r>
        <w:t xml:space="preserve"> markings for casting off can be seen </w:t>
      </w:r>
      <w:r w:rsidR="006935D3" w:rsidRPr="006935D3">
        <w:t>(Hellinga 1982:</w:t>
      </w:r>
      <w:r w:rsidR="0098764A">
        <w:t xml:space="preserve"> </w:t>
      </w:r>
      <w:r w:rsidR="006935D3" w:rsidRPr="006935D3">
        <w:t>46).</w:t>
      </w:r>
      <w:r w:rsidRPr="00602782">
        <w:t xml:space="preserve"> Though we cannot find out what the copy text looks like, we can see whether two compositors responded to the same copy text in the same way</w:t>
      </w:r>
      <w:r w:rsidR="005E3F39">
        <w:t xml:space="preserve"> when more than one compositor set the type</w:t>
      </w:r>
      <w:r w:rsidRPr="00602782">
        <w:t xml:space="preserve">. </w:t>
      </w:r>
    </w:p>
    <w:p w14:paraId="3B7C9810" w14:textId="45A61956" w:rsidR="00CD13AF" w:rsidRPr="00602782" w:rsidRDefault="00CD13AF" w:rsidP="00CD13AF">
      <w:r w:rsidRPr="00602782">
        <w:t>Texts would be divided for composition by multiple compositors for financial reasons. As a business model, it makes sense to have two compositors working at</w:t>
      </w:r>
      <w:r>
        <w:t xml:space="preserve"> the same </w:t>
      </w:r>
      <w:r>
        <w:lastRenderedPageBreak/>
        <w:t>time on the same text</w:t>
      </w:r>
      <w:r w:rsidRPr="00602782">
        <w:t xml:space="preserve"> to increase the printing speed. Each compositor works with his own press and his own pressmen—the men working the press itself</w:t>
      </w:r>
      <w:r w:rsidR="00D41C78">
        <w:t xml:space="preserve"> (Gaskell 1972)</w:t>
      </w:r>
      <w:r w:rsidRPr="00602782">
        <w:t>. The pages that were typeset by the compositor were printed shortly after composition, because print houses would not have had enough type to keep more than a few pages of type</w:t>
      </w:r>
      <w:r>
        <w:t xml:space="preserve"> standing once it had been </w:t>
      </w:r>
      <w:r w:rsidR="006935D3" w:rsidRPr="006935D3">
        <w:t>typeset (Febvre 1984).</w:t>
      </w:r>
      <w:r w:rsidRPr="00602782">
        <w:t xml:space="preserve"> Once the printing of a page was complete, the type was broken up so that it could be reused for the next pages. Having two compositors and two printing presses running simultaneously doubles the speed of production, but there are disadvantages to </w:t>
      </w:r>
      <w:r w:rsidR="005E3F39">
        <w:t>having both compositors working on the same project</w:t>
      </w:r>
      <w:r w:rsidRPr="00602782">
        <w:t xml:space="preserve">. Evidence suggests that for most of his career, William Caxton had only two compositors working in his printing house, </w:t>
      </w:r>
      <w:r w:rsidR="0098764A">
        <w:t xml:space="preserve">only </w:t>
      </w:r>
      <w:r w:rsidRPr="00602782">
        <w:t xml:space="preserve">later taking on a third. </w:t>
      </w:r>
      <w:r>
        <w:t xml:space="preserve">At the very least, Caxton had two compositors working for him since he printed his first edition of the </w:t>
      </w:r>
      <w:r>
        <w:rPr>
          <w:i/>
        </w:rPr>
        <w:t xml:space="preserve">Canterbury Tales </w:t>
      </w:r>
      <w:r>
        <w:t xml:space="preserve">in 1477 </w:t>
      </w:r>
      <w:r w:rsidR="006935D3" w:rsidRPr="006935D3">
        <w:t>(Hellinga 1982)</w:t>
      </w:r>
      <w:r>
        <w:t>. But i</w:t>
      </w:r>
      <w:r w:rsidRPr="00602782">
        <w:t xml:space="preserve">f all Caxton’s compositors were occupied with one longer project, there was little scope to bring in money to fund the printing house. </w:t>
      </w:r>
    </w:p>
    <w:p w14:paraId="35E26BBD" w14:textId="2B8FFED3" w:rsidR="00CD13AF" w:rsidRPr="00602782" w:rsidRDefault="00CD13AF" w:rsidP="00CD13AF">
      <w:r w:rsidRPr="00602782">
        <w:t xml:space="preserve">The lack of money was a problem. The printing house could only make money through the sale of the books once the entire production process had been completed. However, successfully running a printing house meant meeting a lot of upfront costs, such as paying for paper, ink, and any replacement type, not to mention the cost of buying the printing press itself. These upfront costs were the most expensive part of the printing process </w:t>
      </w:r>
      <w:r w:rsidR="006935D3" w:rsidRPr="006935D3">
        <w:t>(Febvre 1984),</w:t>
      </w:r>
      <w:r w:rsidRPr="00602782">
        <w:t xml:space="preserve"> and to pay them the printing house would require substantial sums of money</w:t>
      </w:r>
      <w:r w:rsidR="00D41C78">
        <w:t xml:space="preserve"> before printing began</w:t>
      </w:r>
      <w:r w:rsidRPr="00602782">
        <w:t>. In addition, everyone working on the book had to be paid whilst the production of the book was still ongoing. Meeting these</w:t>
      </w:r>
      <w:r w:rsidR="0098764A">
        <w:t xml:space="preserve"> upfront</w:t>
      </w:r>
      <w:r w:rsidRPr="00602782">
        <w:t xml:space="preserve"> costs could be problematic, </w:t>
      </w:r>
      <w:r w:rsidR="0098764A">
        <w:t>because the books printed by Caxton’s printing house only made money once they had been printed, bound, and sold.</w:t>
      </w:r>
      <w:r w:rsidRPr="00602782">
        <w:t xml:space="preserve"> Though printing was profitable, Caxton would never see the profits from the sale of the book if the printing house went bankrupt during the production process. </w:t>
      </w:r>
    </w:p>
    <w:p w14:paraId="4A4C07E7" w14:textId="1472EA13" w:rsidR="00CD13AF" w:rsidRPr="00602782" w:rsidRDefault="00CD13AF" w:rsidP="00CD13AF">
      <w:r w:rsidRPr="00602782">
        <w:t>In order to raise the capital to keep the printing house running, Caxton would have part of the printing house working on smaller jobs</w:t>
      </w:r>
      <w:r>
        <w:t xml:space="preserve"> </w:t>
      </w:r>
      <w:r w:rsidR="006935D3" w:rsidRPr="006935D3">
        <w:t xml:space="preserve">(Carlson 2006). </w:t>
      </w:r>
      <w:r w:rsidRPr="00602782">
        <w:t xml:space="preserve">These smaller jobs, such as printing advertisements or indulgences, were quicker to complete and therefore also quicker to bring in money. The income raised from these side projects was less than the income earned from main project—that is, the large book under production—however, this small income was enough to keep the printing house financially afloat during the production process. For the printing house to work in this way, one compositor always had to be available to stop working on the longer text and move onto the smaller and more immediately profitable jobs. The copy text was divided in such a way that one of the compositors was always able to switch roles. Each compositor had his own defined section of the copy text to work with, enabling him to temporarily leave his work to move onto </w:t>
      </w:r>
      <w:r w:rsidRPr="00602782">
        <w:lastRenderedPageBreak/>
        <w:t>the smaller project without affecting the work of the compositor w</w:t>
      </w:r>
      <w:r w:rsidR="00D41C78">
        <w:t>ho remained on the longer text.</w:t>
      </w:r>
    </w:p>
    <w:p w14:paraId="61D80561" w14:textId="323EC87A" w:rsidR="00CD13AF" w:rsidRDefault="00CD13AF" w:rsidP="00CD13AF">
      <w:r w:rsidRPr="00602782">
        <w:t>The financial requirements of the printing house meant that it was common for two compositors to concurrently type-set the same text, though it was likely that one of the compositors would be temporarily released to complete other jobs at some point during the production process. Many of the incunabula still in existence were type-set by two compositors. The next section considers how we can tell where in a text one compositor’s section ended and the compositor’s work began</w:t>
      </w:r>
      <w:r>
        <w:t xml:space="preserve"> using bibliographical information</w:t>
      </w:r>
      <w:r w:rsidRPr="00602782">
        <w:t xml:space="preserve">. </w:t>
      </w:r>
    </w:p>
    <w:p w14:paraId="3A416169" w14:textId="77777777" w:rsidR="00667D81" w:rsidRPr="00602782" w:rsidRDefault="00667D81" w:rsidP="00936CDC"/>
    <w:p w14:paraId="45C97235" w14:textId="4C3775C7" w:rsidR="00936CDC" w:rsidRPr="00602782" w:rsidRDefault="00936CDC" w:rsidP="00667D81">
      <w:pPr>
        <w:pStyle w:val="Heading3"/>
      </w:pPr>
      <w:bookmarkStart w:id="23" w:name="_Ref499552819"/>
      <w:r w:rsidRPr="00602782">
        <w:t>Locating where in the text compositors change over</w:t>
      </w:r>
      <w:bookmarkEnd w:id="23"/>
    </w:p>
    <w:p w14:paraId="5C2F3F95" w14:textId="77777777" w:rsidR="00936CDC" w:rsidRPr="00602782" w:rsidRDefault="00936CDC" w:rsidP="00936CDC">
      <w:r w:rsidRPr="00602782">
        <w:t xml:space="preserve">For this study, it is important to understand where texts were divided for composition. Where a text was set by a team of two compositors, it is necessary to locate where a section that was type-set by one compositor stops and the second compositor’s work begins. Text needs to be attributed to a single compositor in order to differentiate their work, and therefore their spellings, from the work and spellings of the other compositor. Distinguishing between the work of two compositors is more difficult than differentiating between scribes; an analysis of scribes would be aided by palaeography, but the work of a compositor is anonymised by the typeface. Fortunately, a change in compositors often leaves a trail of material evidence. </w:t>
      </w:r>
    </w:p>
    <w:p w14:paraId="1BA7194A" w14:textId="46EB645F" w:rsidR="00936CDC" w:rsidRPr="00602782" w:rsidRDefault="00936CDC" w:rsidP="00936CDC">
      <w:r w:rsidRPr="00602782">
        <w:t xml:space="preserve">When one compositor’s work ends and another compositor’s work begins, several bibliographic markers can be detected in the text. These markers are described in Lotte Hellinga </w:t>
      </w:r>
      <w:r w:rsidR="007670E4">
        <w:t>and</w:t>
      </w:r>
      <w:r w:rsidRPr="00602782">
        <w:t xml:space="preserve"> George D. Painter’s </w:t>
      </w:r>
      <w:r w:rsidRPr="00602782">
        <w:rPr>
          <w:i/>
        </w:rPr>
        <w:t>Catalogue of Books Printed in the XVth Century Now in the British Library. BMC Part XI: England</w:t>
      </w:r>
      <w:r w:rsidRPr="00602782">
        <w:t xml:space="preserve"> (known as the </w:t>
      </w:r>
      <w:r w:rsidRPr="007670E4">
        <w:rPr>
          <w:i/>
        </w:rPr>
        <w:t>BMC</w:t>
      </w:r>
      <w:r w:rsidRPr="00602782">
        <w:t>). Their</w:t>
      </w:r>
      <w:r w:rsidR="009C59F9">
        <w:t xml:space="preserve"> 2007</w:t>
      </w:r>
      <w:r w:rsidRPr="00602782">
        <w:t xml:space="preserve"> catalogue provides an unprecedented amount of information on incunabula, including information on compositors and division of copy, where available. I used the information available in </w:t>
      </w:r>
      <w:r w:rsidRPr="007670E4">
        <w:rPr>
          <w:i/>
        </w:rPr>
        <w:t>BMC</w:t>
      </w:r>
      <w:r w:rsidRPr="00602782">
        <w:t xml:space="preserve"> to divide the </w:t>
      </w:r>
      <w:r w:rsidR="00345056">
        <w:t>dataset</w:t>
      </w:r>
      <w:r w:rsidR="007670E4">
        <w:t xml:space="preserve"> used for this thesis</w:t>
      </w:r>
      <w:r w:rsidRPr="005C54CE">
        <w:rPr>
          <w:rStyle w:val="FootnoteReference"/>
        </w:rPr>
        <w:footnoteReference w:id="3"/>
      </w:r>
      <w:r w:rsidRPr="00602782">
        <w:t xml:space="preserve"> </w:t>
      </w:r>
      <w:bookmarkStart w:id="24" w:name="Finding_the_cross_over_point"/>
      <w:r w:rsidRPr="00602782">
        <w:t>into</w:t>
      </w:r>
      <w:bookmarkEnd w:id="24"/>
      <w:r w:rsidRPr="00602782">
        <w:t xml:space="preserve"> texts that were type-set by one compositor and texts that were set by two.</w:t>
      </w:r>
    </w:p>
    <w:p w14:paraId="7481DD68" w14:textId="6C9CB9C8" w:rsidR="00936CDC" w:rsidRPr="00602782" w:rsidRDefault="00936CDC" w:rsidP="00936CDC">
      <w:r w:rsidRPr="00602782">
        <w:t xml:space="preserve">Hellinga </w:t>
      </w:r>
      <w:r w:rsidR="007670E4">
        <w:t>and</w:t>
      </w:r>
      <w:r w:rsidRPr="00602782">
        <w:t xml:space="preserve"> Painter locate where one compositor’s work stops and another compositor’s work starts because of the mistakes the compositors made or the lack of consistency in the way that the type was used. To locate the changeover, Hellinga </w:t>
      </w:r>
      <w:r w:rsidR="00385758">
        <w:t>and</w:t>
      </w:r>
      <w:r w:rsidRPr="00602782">
        <w:t xml:space="preserve"> Painter use four main markers of a compositorial change-over: the quiring, the stocks of paper, differences in layout, and idiosyncratic uses of type. </w:t>
      </w:r>
      <w:r>
        <w:t>This section details each of these pieces of evidence in turn.</w:t>
      </w:r>
    </w:p>
    <w:p w14:paraId="3517E175" w14:textId="77777777" w:rsidR="00936CDC" w:rsidRPr="00602782" w:rsidRDefault="00936CDC" w:rsidP="00936CDC"/>
    <w:p w14:paraId="264A5321" w14:textId="01B4550A" w:rsidR="00936CDC" w:rsidRPr="00602782" w:rsidRDefault="00936CDC" w:rsidP="00667D81">
      <w:pPr>
        <w:pStyle w:val="Heading4"/>
      </w:pPr>
      <w:r w:rsidRPr="00602782">
        <w:lastRenderedPageBreak/>
        <w:t>Quiring</w:t>
      </w:r>
    </w:p>
    <w:p w14:paraId="0C63CD5E" w14:textId="2E59B289" w:rsidR="00936CDC" w:rsidRDefault="00936CDC" w:rsidP="00936CDC">
      <w:r w:rsidRPr="00602782">
        <w:t>The way that paper was folded and put together during the production process can indicate where a change in compositors has taken place. Fi</w:t>
      </w:r>
      <w:r w:rsidR="003567AF">
        <w:t>fteenth-century printing houses</w:t>
      </w:r>
      <w:r w:rsidRPr="00602782">
        <w:t xml:space="preserve"> in England imported their paper from paper mills abroad, ensuring that enough sheets were ordered to fulfil production of the book in progress </w:t>
      </w:r>
      <w:r w:rsidR="006935D3" w:rsidRPr="006935D3">
        <w:t>(Gaskell 1972:</w:t>
      </w:r>
      <w:r w:rsidR="006935D3">
        <w:t xml:space="preserve"> </w:t>
      </w:r>
      <w:r w:rsidR="006935D3" w:rsidRPr="006935D3">
        <w:t>142).</w:t>
      </w:r>
      <w:r w:rsidRPr="00602782">
        <w:t xml:space="preserve"> A single sheet of paper had two pages printed on one side for a book in folio format, or four pages printed on each side, if printed in quarto. These sheets, once printed and folded</w:t>
      </w:r>
      <w:r w:rsidR="00B31643">
        <w:t>,</w:t>
      </w:r>
      <w:r w:rsidRPr="00602782">
        <w:t xml:space="preserve"> were gathered together into quires. </w:t>
      </w:r>
      <w:r w:rsidRPr="002119C5">
        <w:rPr>
          <w:rFonts w:asciiTheme="majorBidi" w:hAnsiTheme="majorBidi" w:cstheme="majorBidi"/>
        </w:rPr>
        <w:fldChar w:fldCharType="begin"/>
      </w:r>
      <w:r w:rsidRPr="002119C5">
        <w:rPr>
          <w:rFonts w:asciiTheme="majorBidi" w:hAnsiTheme="majorBidi" w:cstheme="majorBidi"/>
        </w:rPr>
        <w:instrText xml:space="preserve"> REF _Ref468958647  \* MERGEFORMAT </w:instrText>
      </w:r>
      <w:r w:rsidRPr="002119C5">
        <w:rPr>
          <w:rFonts w:asciiTheme="majorBidi" w:hAnsiTheme="majorBidi" w:cstheme="majorBidi"/>
        </w:rPr>
        <w:fldChar w:fldCharType="separate"/>
      </w:r>
      <w:r w:rsidR="00D11844" w:rsidRPr="00D11844">
        <w:rPr>
          <w:rFonts w:asciiTheme="majorBidi" w:hAnsiTheme="majorBidi" w:cstheme="majorBidi"/>
        </w:rPr>
        <w:t xml:space="preserve">Figure </w:t>
      </w:r>
      <w:r w:rsidR="00D11844" w:rsidRPr="00D11844">
        <w:rPr>
          <w:rFonts w:asciiTheme="majorBidi" w:hAnsiTheme="majorBidi" w:cstheme="majorBidi"/>
          <w:noProof/>
        </w:rPr>
        <w:t>2.1</w:t>
      </w:r>
      <w:r w:rsidRPr="002119C5">
        <w:rPr>
          <w:rFonts w:asciiTheme="majorBidi" w:hAnsiTheme="majorBidi" w:cstheme="majorBidi"/>
        </w:rPr>
        <w:fldChar w:fldCharType="end"/>
      </w:r>
      <w:r>
        <w:t xml:space="preserve"> </w:t>
      </w:r>
      <w:r w:rsidRPr="00602782">
        <w:t xml:space="preserve">demonstrates the way in which three sheets of paper in folio format could be put together to form a quire. </w:t>
      </w:r>
    </w:p>
    <w:p w14:paraId="7FB4D862" w14:textId="77777777" w:rsidR="00644174" w:rsidRPr="00602782" w:rsidRDefault="00644174" w:rsidP="00936CDC"/>
    <w:p w14:paraId="6BCA4159" w14:textId="21A745C7" w:rsidR="00936CDC" w:rsidRPr="00602782" w:rsidRDefault="006B50E8" w:rsidP="006B50E8">
      <w:pPr>
        <w:ind w:firstLine="0"/>
      </w:pPr>
      <w:bookmarkStart w:id="25" w:name="_Ref467504099"/>
      <w:bookmarkStart w:id="26" w:name="_Ref467504106"/>
      <w:r>
        <w:rPr>
          <w:noProof/>
          <w:lang w:eastAsia="en-GB"/>
        </w:rPr>
        <w:drawing>
          <wp:inline distT="0" distB="0" distL="0" distR="0" wp14:anchorId="292C9D5D" wp14:editId="6890F838">
            <wp:extent cx="4877316" cy="2445808"/>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df book crosssection.pdf"/>
                    <pic:cNvPicPr/>
                  </pic:nvPicPr>
                  <pic:blipFill rotWithShape="1">
                    <a:blip r:embed="rId15">
                      <a:extLst>
                        <a:ext uri="{28A0092B-C50C-407E-A947-70E740481C1C}">
                          <a14:useLocalDpi xmlns:a14="http://schemas.microsoft.com/office/drawing/2010/main"/>
                        </a:ext>
                      </a:extLst>
                    </a:blip>
                    <a:srcRect l="25570" t="29823" r="28285" b="29041"/>
                    <a:stretch/>
                  </pic:blipFill>
                  <pic:spPr bwMode="auto">
                    <a:xfrm>
                      <a:off x="0" y="0"/>
                      <a:ext cx="4997981" cy="2506317"/>
                    </a:xfrm>
                    <a:prstGeom prst="rect">
                      <a:avLst/>
                    </a:prstGeom>
                    <a:ln>
                      <a:noFill/>
                    </a:ln>
                    <a:extLst>
                      <a:ext uri="{53640926-AAD7-44D8-BBD7-CCE9431645EC}">
                        <a14:shadowObscured xmlns:a14="http://schemas.microsoft.com/office/drawing/2010/main"/>
                      </a:ext>
                    </a:extLst>
                  </pic:spPr>
                </pic:pic>
              </a:graphicData>
            </a:graphic>
          </wp:inline>
        </w:drawing>
      </w:r>
    </w:p>
    <w:p w14:paraId="4939E7FF" w14:textId="11F74A91" w:rsidR="00936CDC" w:rsidRDefault="00936CDC" w:rsidP="00936CDC">
      <w:pPr>
        <w:pStyle w:val="Caption"/>
      </w:pPr>
      <w:bookmarkStart w:id="27" w:name="_Ref468958647"/>
      <w:bookmarkStart w:id="28" w:name="_Toc499753501"/>
      <w:bookmarkEnd w:id="25"/>
      <w:bookmarkEnd w:id="26"/>
      <w:r w:rsidRPr="00602782">
        <w:t xml:space="preserve">Figure </w:t>
      </w:r>
      <w:r w:rsidR="00C5013D">
        <w:fldChar w:fldCharType="begin"/>
      </w:r>
      <w:r w:rsidR="00C5013D">
        <w:instrText xml:space="preserve"> STYLEREF 1 \s </w:instrText>
      </w:r>
      <w:r w:rsidR="00C5013D">
        <w:fldChar w:fldCharType="separate"/>
      </w:r>
      <w:r w:rsidR="00C5013D">
        <w:rPr>
          <w:noProof/>
        </w:rPr>
        <w:t>2</w:t>
      </w:r>
      <w:r w:rsidR="00C5013D">
        <w:fldChar w:fldCharType="end"/>
      </w:r>
      <w:r w:rsidR="00C5013D">
        <w:t>.</w:t>
      </w:r>
      <w:r w:rsidR="00C5013D">
        <w:fldChar w:fldCharType="begin"/>
      </w:r>
      <w:r w:rsidR="00C5013D">
        <w:instrText xml:space="preserve"> SEQ Figure \* ARABIC \s 1 </w:instrText>
      </w:r>
      <w:r w:rsidR="00C5013D">
        <w:fldChar w:fldCharType="separate"/>
      </w:r>
      <w:r w:rsidR="00C5013D">
        <w:rPr>
          <w:noProof/>
        </w:rPr>
        <w:t>1</w:t>
      </w:r>
      <w:r w:rsidR="00C5013D">
        <w:fldChar w:fldCharType="end"/>
      </w:r>
      <w:bookmarkEnd w:id="27"/>
      <w:r w:rsidRPr="00602782">
        <w:t>: A quire made from three sheets of paper, viewed from above and side on</w:t>
      </w:r>
      <w:bookmarkEnd w:id="28"/>
    </w:p>
    <w:p w14:paraId="4D85F46F" w14:textId="77777777" w:rsidR="00936CDC" w:rsidRDefault="00936CDC" w:rsidP="00936CDC"/>
    <w:p w14:paraId="26FF1527" w14:textId="77777777" w:rsidR="00936CDC" w:rsidRPr="00602782" w:rsidRDefault="00AE3C75" w:rsidP="00936CDC">
      <w:r>
        <w:fldChar w:fldCharType="begin"/>
      </w:r>
      <w:r>
        <w:instrText xml:space="preserve"> REF _Ref468958647  \* MERGEFORMAT </w:instrText>
      </w:r>
      <w:r>
        <w:fldChar w:fldCharType="separate"/>
      </w:r>
      <w:r w:rsidR="00D11844" w:rsidRPr="00602782">
        <w:t xml:space="preserve">Figure </w:t>
      </w:r>
      <w:r w:rsidR="00D11844">
        <w:t>2.1</w:t>
      </w:r>
      <w:r>
        <w:fldChar w:fldCharType="end"/>
      </w:r>
      <w:r w:rsidR="00936CDC" w:rsidRPr="00602782">
        <w:t xml:space="preserve"> shows Quire A, the first quire in a book. Each leaf is numbered A1-A6. The leaves in the sec</w:t>
      </w:r>
      <w:r w:rsidR="00936CDC">
        <w:t>ond quire will be numbered B1-B6</w:t>
      </w:r>
      <w:r w:rsidR="00936CDC" w:rsidRPr="00602782">
        <w:t xml:space="preserve">, and so on. A folio quire made of three sheets will always have six leaves and twelve pages. To produce the pages in the correct order, the number of leaves per quire must first be decided upon. If the quire will be comprised of </w:t>
      </w:r>
      <w:r w:rsidR="00936CDC">
        <w:t>three</w:t>
      </w:r>
      <w:r w:rsidR="00936CDC" w:rsidRPr="00602782">
        <w:t xml:space="preserve"> sheets (and therefore </w:t>
      </w:r>
      <w:r w:rsidR="00936CDC">
        <w:t>six</w:t>
      </w:r>
      <w:r w:rsidR="00936CDC" w:rsidRPr="00602782">
        <w:t xml:space="preserve"> leaves), page 1 must be printed opposite page </w:t>
      </w:r>
      <w:r w:rsidR="00936CDC">
        <w:t>12</w:t>
      </w:r>
      <w:r w:rsidR="00936CDC" w:rsidRPr="00602782">
        <w:t xml:space="preserve">. However, if a folio quire is made of </w:t>
      </w:r>
      <w:r w:rsidR="00936CDC">
        <w:t>four</w:t>
      </w:r>
      <w:r w:rsidR="00936CDC" w:rsidRPr="00602782">
        <w:t xml:space="preserve"> sheets (and therefore </w:t>
      </w:r>
      <w:r w:rsidR="00936CDC">
        <w:t>eight</w:t>
      </w:r>
      <w:r w:rsidR="00936CDC" w:rsidRPr="00602782">
        <w:t xml:space="preserve"> leaves), then page 1 must be printed opposite page</w:t>
      </w:r>
      <w:r w:rsidR="00936CDC">
        <w:t xml:space="preserve"> 16</w:t>
      </w:r>
      <w:r w:rsidR="00936CDC" w:rsidRPr="00602782">
        <w:t xml:space="preserve">. We can see this </w:t>
      </w:r>
      <w:r w:rsidR="00936CDC" w:rsidRPr="002119C5">
        <w:rPr>
          <w:rFonts w:asciiTheme="majorBidi" w:hAnsiTheme="majorBidi" w:cstheme="majorBidi"/>
        </w:rPr>
        <w:t xml:space="preserve">in </w:t>
      </w:r>
      <w:r w:rsidR="00936CDC" w:rsidRPr="002119C5">
        <w:rPr>
          <w:rFonts w:asciiTheme="majorBidi" w:hAnsiTheme="majorBidi" w:cstheme="majorBidi"/>
        </w:rPr>
        <w:fldChar w:fldCharType="begin"/>
      </w:r>
      <w:r w:rsidR="00936CDC" w:rsidRPr="002119C5">
        <w:rPr>
          <w:rFonts w:asciiTheme="majorBidi" w:hAnsiTheme="majorBidi" w:cstheme="majorBidi"/>
        </w:rPr>
        <w:instrText xml:space="preserve"> REF _Ref468958647  \* MERGEFORMAT </w:instrText>
      </w:r>
      <w:r w:rsidR="00936CDC" w:rsidRPr="002119C5">
        <w:rPr>
          <w:rFonts w:asciiTheme="majorBidi" w:hAnsiTheme="majorBidi" w:cstheme="majorBidi"/>
        </w:rPr>
        <w:fldChar w:fldCharType="separate"/>
      </w:r>
      <w:r w:rsidR="00D11844" w:rsidRPr="00D11844">
        <w:rPr>
          <w:rFonts w:asciiTheme="majorBidi" w:hAnsiTheme="majorBidi" w:cstheme="majorBidi"/>
        </w:rPr>
        <w:t>Figure 2.1</w:t>
      </w:r>
      <w:r w:rsidR="00936CDC" w:rsidRPr="002119C5">
        <w:rPr>
          <w:rFonts w:asciiTheme="majorBidi" w:hAnsiTheme="majorBidi" w:cstheme="majorBidi"/>
        </w:rPr>
        <w:fldChar w:fldCharType="end"/>
      </w:r>
      <w:r w:rsidR="00936CDC" w:rsidRPr="00602782">
        <w:t>, where page 1 is the front of the quire, and page 12 is the back page of the quire. In order for the compositor to know what page is set opposite page 1, the master compositor must decide how many sheets will be in each quire. T</w:t>
      </w:r>
      <w:r w:rsidR="00936CDC">
        <w:t>hen t</w:t>
      </w:r>
      <w:r w:rsidR="00936CDC" w:rsidRPr="00602782">
        <w:t xml:space="preserve">he entire text must be calculated to fit a precise number of quires and sheets. The process of calculation is slightly more complicated if the printing house is working in quartos (sheets that are folded twice to create four leaves). </w:t>
      </w:r>
    </w:p>
    <w:p w14:paraId="22DB2FF1" w14:textId="21C50741" w:rsidR="00936CDC" w:rsidRPr="00602782" w:rsidRDefault="00936CDC" w:rsidP="00936CDC">
      <w:r w:rsidRPr="00602782">
        <w:t xml:space="preserve">Sometimes calculations are incorrect or the compositors make a mistake during type-setting, and the final quire of the text is not entirely imprinted. It is not unusual for a </w:t>
      </w:r>
      <w:r w:rsidRPr="00602782">
        <w:lastRenderedPageBreak/>
        <w:t xml:space="preserve">book to end with a half-filled quire because often the text took up more or less space than the compositor was expecting. However, sometimes incomplete quires are found in the middle of a text, often at the end of a chapter. The next chapter then begins after a blank page, such as in Caxton’s first edition of the </w:t>
      </w:r>
      <w:r w:rsidRPr="00602782">
        <w:rPr>
          <w:i/>
        </w:rPr>
        <w:t xml:space="preserve">Canterbury </w:t>
      </w:r>
      <w:r w:rsidRPr="003567AF">
        <w:rPr>
          <w:i/>
        </w:rPr>
        <w:t>Tales</w:t>
      </w:r>
      <w:r w:rsidRPr="00602782">
        <w:t xml:space="preserve">. Alternatively, if the compositors know that part of a quire will not be filled, a quire might have fewer leaves than usual. </w:t>
      </w:r>
    </w:p>
    <w:p w14:paraId="4DCB01EC" w14:textId="5378E8C0" w:rsidR="00936CDC" w:rsidRPr="00602782" w:rsidRDefault="00936CDC" w:rsidP="00936CDC">
      <w:r w:rsidRPr="00602782">
        <w:t xml:space="preserve">Blank pages or unusually short quires in the middle of a book might suggest a change in compositors. If there has been a miscalculation in the amount of space needed for the text in the new copy, the work by the first compositor may take up slightly too much or slightly too little paper. The result will be that Compositor 1 reaches the end of his section with a blank page (if there was slightly too little text), or his section will end with a quire comprised of too few or too many leaves. At this point, </w:t>
      </w:r>
      <w:r w:rsidR="00B31643">
        <w:t xml:space="preserve">it </w:t>
      </w:r>
      <w:r w:rsidRPr="00602782">
        <w:t xml:space="preserve">is not possible to rectify the quiring at the end of Compositor 1’s section, because compositors work concurrently. The beginning of the next section will already have been type-set by Compositor 2, and the first quires printed and gathered together. It is neither possible to change the quiring at the end of the text set by Compositor 1 nor </w:t>
      </w:r>
      <w:r w:rsidR="00B31643">
        <w:t xml:space="preserve">to </w:t>
      </w:r>
      <w:r w:rsidRPr="00602782">
        <w:t xml:space="preserve">change the quiring at the start of the text set by Compositor 2. The mistake will remain in the book. </w:t>
      </w:r>
    </w:p>
    <w:p w14:paraId="00159E9E" w14:textId="77777777" w:rsidR="00936CDC" w:rsidRPr="00602782" w:rsidRDefault="00936CDC" w:rsidP="00936CDC">
      <w:r w:rsidRPr="00602782">
        <w:t xml:space="preserve">It is always possible that a faulty quire in the middle of a book is symptomatic of a bad compositor and not a change in compositors. For this reason, it is necessary to look for additional evidence that marks a change in type-setters. The paper stocks themselves can often provide corroborating evidence of a second compositor. </w:t>
      </w:r>
    </w:p>
    <w:p w14:paraId="5872CBBE" w14:textId="77777777" w:rsidR="00936CDC" w:rsidRDefault="00936CDC" w:rsidP="00936CDC"/>
    <w:p w14:paraId="46FF28A4" w14:textId="77777777" w:rsidR="00936CDC" w:rsidRPr="00602782" w:rsidRDefault="00936CDC" w:rsidP="00936CDC">
      <w:pPr>
        <w:pStyle w:val="Heading4"/>
      </w:pPr>
      <w:r w:rsidRPr="00602782">
        <w:t>Paper</w:t>
      </w:r>
    </w:p>
    <w:p w14:paraId="7ED5A39D" w14:textId="77777777" w:rsidR="00936CDC" w:rsidRDefault="00936CDC" w:rsidP="00936CDC">
      <w:r w:rsidRPr="00602782">
        <w:t xml:space="preserve">Stocks of paper can be identified by the watermarks. Watermarks are images on the paper that identify each sheet as having come from a particular stock and paper-maker. Paper is made in moulds, and in the bottom of each paper mould is the wire outline of the watermark. When the paper mixture is poured into the mould, the paper is slightly thinner where it was poured over the top of the watermark. In a bright light, the watermark is visible as a pale outline of the image against the background of the paper. </w:t>
      </w:r>
      <w:r w:rsidRPr="002119C5">
        <w:fldChar w:fldCharType="begin"/>
      </w:r>
      <w:r w:rsidRPr="002119C5">
        <w:instrText xml:space="preserve"> REF _Ref467509890 \h  \* MERGEFORMAT </w:instrText>
      </w:r>
      <w:r w:rsidRPr="002119C5">
        <w:fldChar w:fldCharType="separate"/>
      </w:r>
      <w:r w:rsidR="00D11844" w:rsidRPr="00602782">
        <w:t xml:space="preserve">Figure </w:t>
      </w:r>
      <w:r w:rsidR="00D11844">
        <w:t>2.2</w:t>
      </w:r>
      <w:r w:rsidRPr="002119C5">
        <w:fldChar w:fldCharType="end"/>
      </w:r>
      <w:r w:rsidRPr="00602782">
        <w:t xml:space="preserve"> shows a rubbing of a watermark in paper stock that was used by Caxton. </w:t>
      </w:r>
    </w:p>
    <w:p w14:paraId="64F2C2A8" w14:textId="77777777" w:rsidR="00936CDC" w:rsidRPr="00602782" w:rsidRDefault="00936CDC" w:rsidP="00936CDC"/>
    <w:p w14:paraId="5022945A" w14:textId="44F7E65F" w:rsidR="00936CDC" w:rsidRPr="00602782" w:rsidRDefault="00936CDC" w:rsidP="00936CDC">
      <w:pPr>
        <w:ind w:firstLine="0"/>
        <w:jc w:val="left"/>
      </w:pPr>
      <w:r w:rsidRPr="00602782">
        <w:rPr>
          <w:noProof/>
          <w:lang w:eastAsia="en-GB"/>
        </w:rPr>
        <w:lastRenderedPageBreak/>
        <w:drawing>
          <wp:inline distT="0" distB="0" distL="0" distR="0" wp14:anchorId="1A8DD367" wp14:editId="3F41DA58">
            <wp:extent cx="2367915" cy="2263709"/>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6-11-18 at 11.20.24.png"/>
                    <pic:cNvPicPr/>
                  </pic:nvPicPr>
                  <pic:blipFill rotWithShape="1">
                    <a:blip r:embed="rId16" cstate="print">
                      <a:extLst>
                        <a:ext uri="{28A0092B-C50C-407E-A947-70E740481C1C}">
                          <a14:useLocalDpi xmlns:a14="http://schemas.microsoft.com/office/drawing/2010/main"/>
                        </a:ext>
                      </a:extLst>
                    </a:blip>
                    <a:srcRect/>
                    <a:stretch/>
                  </pic:blipFill>
                  <pic:spPr bwMode="auto">
                    <a:xfrm>
                      <a:off x="0" y="0"/>
                      <a:ext cx="2412985" cy="2306796"/>
                    </a:xfrm>
                    <a:prstGeom prst="rect">
                      <a:avLst/>
                    </a:prstGeom>
                    <a:ln>
                      <a:noFill/>
                    </a:ln>
                    <a:extLst>
                      <a:ext uri="{53640926-AAD7-44D8-BBD7-CCE9431645EC}">
                        <a14:shadowObscured xmlns:a14="http://schemas.microsoft.com/office/drawing/2010/main"/>
                      </a:ext>
                    </a:extLst>
                  </pic:spPr>
                </pic:pic>
              </a:graphicData>
            </a:graphic>
          </wp:inline>
        </w:drawing>
      </w:r>
    </w:p>
    <w:p w14:paraId="59A21B0F" w14:textId="1B3DE55A" w:rsidR="00936CDC" w:rsidRPr="00B31643" w:rsidRDefault="00936CDC" w:rsidP="00936CDC">
      <w:pPr>
        <w:pStyle w:val="Caption"/>
        <w:rPr>
          <w:sz w:val="24"/>
          <w:szCs w:val="24"/>
        </w:rPr>
      </w:pPr>
      <w:bookmarkStart w:id="29" w:name="_Ref467509890"/>
      <w:bookmarkStart w:id="30" w:name="_Toc499753502"/>
      <w:r w:rsidRPr="00602782">
        <w:t xml:space="preserve">Figure </w:t>
      </w:r>
      <w:r w:rsidR="00C5013D">
        <w:fldChar w:fldCharType="begin"/>
      </w:r>
      <w:r w:rsidR="00C5013D">
        <w:instrText xml:space="preserve"> STYLEREF 1 \s </w:instrText>
      </w:r>
      <w:r w:rsidR="00C5013D">
        <w:fldChar w:fldCharType="separate"/>
      </w:r>
      <w:r w:rsidR="00C5013D">
        <w:rPr>
          <w:noProof/>
        </w:rPr>
        <w:t>2</w:t>
      </w:r>
      <w:r w:rsidR="00C5013D">
        <w:fldChar w:fldCharType="end"/>
      </w:r>
      <w:r w:rsidR="00C5013D">
        <w:t>.</w:t>
      </w:r>
      <w:r w:rsidR="00C5013D">
        <w:fldChar w:fldCharType="begin"/>
      </w:r>
      <w:r w:rsidR="00C5013D">
        <w:instrText xml:space="preserve"> SEQ Figure \* ARABIC \s 1 </w:instrText>
      </w:r>
      <w:r w:rsidR="00C5013D">
        <w:fldChar w:fldCharType="separate"/>
      </w:r>
      <w:r w:rsidR="00C5013D">
        <w:rPr>
          <w:noProof/>
        </w:rPr>
        <w:t>2</w:t>
      </w:r>
      <w:r w:rsidR="00C5013D">
        <w:fldChar w:fldCharType="end"/>
      </w:r>
      <w:bookmarkEnd w:id="29"/>
      <w:r w:rsidRPr="00602782">
        <w:t xml:space="preserve">: Coat of arms watermark in Caxton's </w:t>
      </w:r>
      <w:r w:rsidRPr="00602782">
        <w:rPr>
          <w:i/>
        </w:rPr>
        <w:t>Chronicles of Englan</w:t>
      </w:r>
      <w:r w:rsidR="00B31643">
        <w:rPr>
          <w:i/>
        </w:rPr>
        <w:t>d</w:t>
      </w:r>
      <w:r w:rsidR="00B31643">
        <w:t xml:space="preserve">, from </w:t>
      </w:r>
      <w:r w:rsidR="00B31643" w:rsidRPr="00B31643">
        <w:t xml:space="preserve">Hellinga </w:t>
      </w:r>
      <w:r w:rsidR="00B31643">
        <w:t>and</w:t>
      </w:r>
      <w:r w:rsidR="00B31643" w:rsidRPr="00B31643">
        <w:t xml:space="preserve"> Painter (2007: 323)</w:t>
      </w:r>
      <w:bookmarkEnd w:id="30"/>
    </w:p>
    <w:p w14:paraId="100B39B9" w14:textId="77777777" w:rsidR="00345056" w:rsidRDefault="00345056" w:rsidP="00936CDC"/>
    <w:p w14:paraId="3AF4EA89" w14:textId="0FFD5A9E" w:rsidR="00936CDC" w:rsidRPr="00602782" w:rsidRDefault="00936CDC" w:rsidP="00936CDC">
      <w:r w:rsidRPr="00602782">
        <w:t>Watermarks can be seen best on blank paper, though little blank paper surviv</w:t>
      </w:r>
      <w:r w:rsidR="002153C0">
        <w:t xml:space="preserve">es from the fifteenth century. </w:t>
      </w:r>
      <w:r w:rsidRPr="00602782">
        <w:t xml:space="preserve">Most paper from this period exists in incunabula, and the watermarks on the paper become hidden underneath the ink. </w:t>
      </w:r>
      <w:r w:rsidRPr="00602782">
        <w:rPr>
          <w:kern w:val="1"/>
        </w:rPr>
        <w:t xml:space="preserve">Watermarks are difficult to see once the paper has been printed upon, and as a result of the quiring process, they do not appear on each page. Watermarks are imprinted once onto a sheet, so the number of times the paper is folded during the assembly of the book will determine the number of pages the watermark appears on. In a book printed in folio format, the watermark will appear on one of the resulting two leaves, and in a quarto, the watermark will show up on one of the four resulting leaves. The watermarks are vital in determining which stock of paper was used in the production of a particular book, and the way that stocks of paper were used can shed light on the compositors involved in the process. </w:t>
      </w:r>
    </w:p>
    <w:p w14:paraId="60D66CAC" w14:textId="596F559F" w:rsidR="00936CDC" w:rsidRPr="00602782" w:rsidRDefault="00936CDC" w:rsidP="00936CDC">
      <w:r w:rsidRPr="00602782">
        <w:t>When starting work on a new book, Caxton’s printing house would have ordered their paper from paper mills abroad</w:t>
      </w:r>
      <w:r w:rsidR="00073487">
        <w:t xml:space="preserve"> </w:t>
      </w:r>
      <w:r w:rsidR="006935D3" w:rsidRPr="006935D3">
        <w:rPr>
          <w:color w:val="000000" w:themeColor="text1"/>
        </w:rPr>
        <w:t>(Gaskell 1972:</w:t>
      </w:r>
      <w:r w:rsidR="006935D3">
        <w:rPr>
          <w:color w:val="000000" w:themeColor="text1"/>
        </w:rPr>
        <w:t xml:space="preserve"> </w:t>
      </w:r>
      <w:r w:rsidR="006935D3" w:rsidRPr="006935D3">
        <w:rPr>
          <w:color w:val="000000" w:themeColor="text1"/>
        </w:rPr>
        <w:t>60). Paper was expensive, so the printing house only ordered as much paper as was needed to finish the project (Gaskell 1972:</w:t>
      </w:r>
      <w:r w:rsidR="006935D3">
        <w:rPr>
          <w:color w:val="000000" w:themeColor="text1"/>
        </w:rPr>
        <w:t xml:space="preserve"> </w:t>
      </w:r>
      <w:r w:rsidR="006935D3" w:rsidRPr="006935D3">
        <w:rPr>
          <w:color w:val="000000" w:themeColor="text1"/>
        </w:rPr>
        <w:t xml:space="preserve">142). </w:t>
      </w:r>
      <w:r w:rsidRPr="00602782">
        <w:t xml:space="preserve">Each paper mill would use several watermarks, using a different one for each new batch of paper. Only the </w:t>
      </w:r>
      <w:r w:rsidRPr="00602782">
        <w:rPr>
          <w:i/>
        </w:rPr>
        <w:t>Confessio Amantis</w:t>
      </w:r>
      <w:r w:rsidRPr="00602782">
        <w:t xml:space="preserve"> of Caxton’s books is printed on </w:t>
      </w:r>
      <w:r>
        <w:t>a single</w:t>
      </w:r>
      <w:r w:rsidRPr="00602782">
        <w:t xml:space="preserve"> stock of paper. In the </w:t>
      </w:r>
      <w:r w:rsidRPr="00602782">
        <w:rPr>
          <w:i/>
        </w:rPr>
        <w:t>Confessio Amantis</w:t>
      </w:r>
      <w:r w:rsidRPr="00602782">
        <w:t xml:space="preserve">, every sheet of paper will bear the same watermark. However, the watermark design changes part way through the rest of Caxton’s books. The difference in watermark design mid-book suggests that that book is created from paper that was not all made at the same time, or perhaps even made in the same place. </w:t>
      </w:r>
    </w:p>
    <w:p w14:paraId="1D13F9B3" w14:textId="77777777" w:rsidR="00936CDC" w:rsidRPr="00602782" w:rsidRDefault="00936CDC" w:rsidP="00936CDC">
      <w:r w:rsidRPr="00602782">
        <w:t xml:space="preserve">There can be many reasons behind more than one stock of paper being used in a book. Though printers always tried to source the paper needed for the whole book upfront, the printing house may not always have all the paper before printing began. It may be that, because of the expense of paper, the printing house could not afford to buy enough paper </w:t>
      </w:r>
      <w:r w:rsidRPr="00602782">
        <w:lastRenderedPageBreak/>
        <w:t xml:space="preserve">for the whole project in one go. Alternatively, the master compositor may have miscalculated the amount of paper necessary to complete the project. In both cases, more paper must be ordered later during the printing process. The paper from the later stock might not bear the same watermark design, even if ordered from the same paper mill. </w:t>
      </w:r>
    </w:p>
    <w:p w14:paraId="225EFB21" w14:textId="0AF3B687" w:rsidR="00936CDC" w:rsidRPr="00602782" w:rsidRDefault="00936CDC" w:rsidP="00936CDC">
      <w:r w:rsidRPr="00602782">
        <w:t xml:space="preserve">A change in paper stocks can also provide evidence for a change in compositors. When working on the same text, a team of two compositors would be working concurrently, setting type for different parts of the same copy text at the same time. Each compositor might work with a different press and pressmen. If not enough paper had been ordered for the whole project, the press working with Compositor 1 might be using the new paper, while the press working with Compositor 2 might use left-overs from an older stock. When the work from Compositor 1 and Compositor 2 is put together, part way through the book there will be a change in watermark design, </w:t>
      </w:r>
      <w:r>
        <w:t>and this change in watermark design will occur at the location of</w:t>
      </w:r>
      <w:r w:rsidRPr="00602782">
        <w:t xml:space="preserve"> the change in compositors. We find this change in paper in</w:t>
      </w:r>
      <w:r w:rsidR="000C5C47">
        <w:t xml:space="preserve"> Caxton’s edition of</w:t>
      </w:r>
      <w:r w:rsidRPr="00602782">
        <w:t xml:space="preserve"> </w:t>
      </w:r>
      <w:r w:rsidRPr="00602782">
        <w:rPr>
          <w:i/>
        </w:rPr>
        <w:t>Troilus and Criseyde</w:t>
      </w:r>
      <w:r w:rsidRPr="00602782">
        <w:t>.</w:t>
      </w:r>
    </w:p>
    <w:p w14:paraId="30D4F62F" w14:textId="7F782F17" w:rsidR="00936CDC" w:rsidRPr="00602782" w:rsidRDefault="00936CDC" w:rsidP="00936CDC">
      <w:r w:rsidRPr="00602782">
        <w:t xml:space="preserve">A change in paper stocks is not exclusively caused by a change in compositors. Different batches of paper used in a single text can also be a result of miscalculation or low funds in the printing house. Because a change in paper can be caused by factors other than a change in compositor, watermark design cannot stand alone as evidence for a change in compositor. Instead, it must be used as supporting evidence. In </w:t>
      </w:r>
      <w:r w:rsidRPr="00602782">
        <w:rPr>
          <w:i/>
        </w:rPr>
        <w:t>Troilus and Criseyde</w:t>
      </w:r>
      <w:r w:rsidRPr="00602782">
        <w:t xml:space="preserve">, the compositors’ </w:t>
      </w:r>
      <w:r w:rsidR="000C5C47">
        <w:t>different</w:t>
      </w:r>
      <w:r w:rsidRPr="00602782">
        <w:t xml:space="preserve"> use of </w:t>
      </w:r>
      <w:r w:rsidR="000C5C47">
        <w:t xml:space="preserve">two forms of </w:t>
      </w:r>
      <w:r w:rsidRPr="00602782">
        <w:t xml:space="preserve">the letter </w:t>
      </w:r>
      <w:r w:rsidRPr="00602782">
        <w:rPr>
          <w:i/>
        </w:rPr>
        <w:t xml:space="preserve">i </w:t>
      </w:r>
      <w:r w:rsidRPr="00602782">
        <w:t xml:space="preserve">was also used to show where one compositor’s work stopped, and the next compositor’s work began. </w:t>
      </w:r>
    </w:p>
    <w:p w14:paraId="74F530B4" w14:textId="77777777" w:rsidR="00936CDC" w:rsidRPr="00602782" w:rsidRDefault="00936CDC" w:rsidP="00936CDC"/>
    <w:p w14:paraId="7D5A5C1A" w14:textId="77777777" w:rsidR="00936CDC" w:rsidRPr="00602782" w:rsidRDefault="00936CDC" w:rsidP="00936CDC">
      <w:pPr>
        <w:pStyle w:val="Heading4"/>
      </w:pPr>
      <w:r w:rsidRPr="00602782">
        <w:t>Changes in layout</w:t>
      </w:r>
    </w:p>
    <w:p w14:paraId="38AF18D8" w14:textId="5EB32435" w:rsidR="00936CDC" w:rsidRPr="00602782" w:rsidRDefault="00936CDC" w:rsidP="00936CDC">
      <w:r w:rsidRPr="00602782">
        <w:t xml:space="preserve">The layout is determined in advance of printing by the master compositor. The number of lines to a page is decided upon, along with the width of the printing space. </w:t>
      </w:r>
      <w:r w:rsidR="000C5C47">
        <w:t>Para</w:t>
      </w:r>
      <w:r w:rsidRPr="00602782">
        <w:t>textual features, including page headings, page numbers and chapter headings are also determined</w:t>
      </w:r>
      <w:r>
        <w:t xml:space="preserve"> in advance.</w:t>
      </w:r>
      <w:r w:rsidRPr="00602782">
        <w:t xml:space="preserve"> However, compositors occasionally make mistakes and deviate from the prescribed format of the text. It is these mistakes that give us clues as to where in a text the work of a new compositor begins. In Caxton’s second edition of the </w:t>
      </w:r>
      <w:r w:rsidRPr="00602782">
        <w:rPr>
          <w:i/>
        </w:rPr>
        <w:t>Canterbury Tales</w:t>
      </w:r>
      <w:r w:rsidRPr="00602782">
        <w:t xml:space="preserve">, Hellinga </w:t>
      </w:r>
      <w:r w:rsidR="005246EA">
        <w:t>and</w:t>
      </w:r>
      <w:r w:rsidRPr="00602782">
        <w:t xml:space="preserve"> Painter</w:t>
      </w:r>
      <w:r w:rsidR="00845460">
        <w:t xml:space="preserve"> </w:t>
      </w:r>
      <w:r w:rsidR="00845460" w:rsidRPr="00725366">
        <w:rPr>
          <w:color w:val="000000" w:themeColor="text1"/>
        </w:rPr>
        <w:t>(2007:</w:t>
      </w:r>
      <w:r w:rsidR="00845460">
        <w:rPr>
          <w:color w:val="000000" w:themeColor="text1"/>
        </w:rPr>
        <w:t xml:space="preserve"> </w:t>
      </w:r>
      <w:r w:rsidR="00845460" w:rsidRPr="00725366">
        <w:rPr>
          <w:color w:val="000000" w:themeColor="text1"/>
        </w:rPr>
        <w:t>132)</w:t>
      </w:r>
      <w:r w:rsidRPr="00602782">
        <w:t xml:space="preserve"> state that “the compositor of quires A-L is distinguishable from the one who set quires a-v […] by headlines in the form “The Prologue” rather than (for example) “The marchauntes prologe””</w:t>
      </w:r>
      <w:r w:rsidR="00725366" w:rsidRPr="00725366">
        <w:rPr>
          <w:color w:val="000000" w:themeColor="text1"/>
        </w:rPr>
        <w:t xml:space="preserve">. </w:t>
      </w:r>
      <w:r w:rsidRPr="00602782">
        <w:t>This minor change in the form of the heading is enough to flag up a change in the person setting the type. However, a change in format alone is perhaps not strong enough evidence to state that a change in compositors has taken pla</w:t>
      </w:r>
      <w:r w:rsidR="000C5C47">
        <w:t xml:space="preserve">ce. Hellinga </w:t>
      </w:r>
      <w:r w:rsidR="005246EA">
        <w:t>and</w:t>
      </w:r>
      <w:r w:rsidR="000C5C47">
        <w:t xml:space="preserve"> Painter </w:t>
      </w:r>
      <w:r w:rsidRPr="00602782">
        <w:t xml:space="preserve">back up their argument with additional evidence, in this case the guide-letters used to mark a larger rubricated initial. </w:t>
      </w:r>
    </w:p>
    <w:p w14:paraId="231EFD4C" w14:textId="77777777" w:rsidR="00453776" w:rsidRDefault="00453776" w:rsidP="00936CDC">
      <w:pPr>
        <w:pStyle w:val="Heading4"/>
      </w:pPr>
    </w:p>
    <w:p w14:paraId="5F1BF777" w14:textId="49A03BB2" w:rsidR="00936CDC" w:rsidRPr="00602782" w:rsidRDefault="00936CDC" w:rsidP="00936CDC">
      <w:pPr>
        <w:pStyle w:val="Heading4"/>
      </w:pPr>
      <w:r w:rsidRPr="00602782">
        <w:t>Idiosyncratic uses of type</w:t>
      </w:r>
    </w:p>
    <w:p w14:paraId="29662BC7" w14:textId="75EC765C" w:rsidR="00936CDC" w:rsidRDefault="00936CDC" w:rsidP="00A40D9E">
      <w:r w:rsidRPr="00602782">
        <w:t>Finally, the work of different compositors can be differentiated by their use of type. Each individual typeface used in Caxton’s prints has been numbered, catalogued and described extensively</w:t>
      </w:r>
      <w:r w:rsidR="009E25B5">
        <w:t xml:space="preserve"> </w:t>
      </w:r>
      <w:r w:rsidR="003E72E7">
        <w:t xml:space="preserve">including description and images of individual graphs </w:t>
      </w:r>
      <w:r w:rsidR="005246EA">
        <w:t>(Updike 1937,</w:t>
      </w:r>
      <w:r w:rsidR="003E72E7" w:rsidRPr="003E72E7">
        <w:t xml:space="preserve"> Blades 1971</w:t>
      </w:r>
      <w:r w:rsidR="00845460">
        <w:t xml:space="preserve"> [1877]</w:t>
      </w:r>
      <w:r w:rsidR="005246EA">
        <w:t>,</w:t>
      </w:r>
      <w:r w:rsidR="003E72E7" w:rsidRPr="003E72E7">
        <w:t xml:space="preserve"> Hellinga &amp; Painter 2007)</w:t>
      </w:r>
      <w:r w:rsidRPr="00602782">
        <w:t xml:space="preserve">. Early typefaces were designed to mimic the scripts that were used by the </w:t>
      </w:r>
      <w:r w:rsidRPr="003B40D8">
        <w:t xml:space="preserve">scribes writing at the time, so because a scribe might use two different </w:t>
      </w:r>
      <w:r w:rsidR="003E72E7">
        <w:t>allographs</w:t>
      </w:r>
      <w:r w:rsidRPr="003B40D8">
        <w:t xml:space="preserve"> to represent the same letter, typefaces were designed in the same way. In several of Caxton’s typefaces, more than one grapheme was used for a single letter, such as in his Type 2, used in the </w:t>
      </w:r>
      <w:r w:rsidRPr="003B40D8">
        <w:rPr>
          <w:i/>
        </w:rPr>
        <w:t xml:space="preserve">History of Jason </w:t>
      </w:r>
      <w:r w:rsidRPr="003B40D8">
        <w:rPr>
          <w:kern w:val="1"/>
        </w:rPr>
        <w:t xml:space="preserve">and printed here in </w:t>
      </w:r>
      <w:r w:rsidRPr="003B40D8">
        <w:rPr>
          <w:kern w:val="1"/>
        </w:rPr>
        <w:fldChar w:fldCharType="begin"/>
      </w:r>
      <w:r w:rsidRPr="003B40D8">
        <w:rPr>
          <w:kern w:val="1"/>
        </w:rPr>
        <w:instrText xml:space="preserve"> REF _Ref467515811 </w:instrText>
      </w:r>
      <w:r>
        <w:rPr>
          <w:kern w:val="1"/>
        </w:rPr>
        <w:instrText xml:space="preserve"> \* MERGEFORMAT </w:instrText>
      </w:r>
      <w:r w:rsidRPr="003B40D8">
        <w:rPr>
          <w:kern w:val="1"/>
        </w:rPr>
        <w:fldChar w:fldCharType="separate"/>
      </w:r>
      <w:r w:rsidR="00D11844" w:rsidRPr="00602782">
        <w:t xml:space="preserve">Figure </w:t>
      </w:r>
      <w:r w:rsidR="00D11844">
        <w:rPr>
          <w:noProof/>
        </w:rPr>
        <w:t>2.3</w:t>
      </w:r>
      <w:r w:rsidRPr="003B40D8">
        <w:rPr>
          <w:kern w:val="1"/>
        </w:rPr>
        <w:fldChar w:fldCharType="end"/>
      </w:r>
      <w:r w:rsidRPr="003B40D8">
        <w:rPr>
          <w:kern w:val="1"/>
        </w:rPr>
        <w:t xml:space="preserve"> and </w:t>
      </w:r>
      <w:r w:rsidRPr="003B40D8">
        <w:rPr>
          <w:kern w:val="1"/>
        </w:rPr>
        <w:fldChar w:fldCharType="begin"/>
      </w:r>
      <w:r w:rsidRPr="003B40D8">
        <w:rPr>
          <w:kern w:val="1"/>
        </w:rPr>
        <w:instrText xml:space="preserve"> REF _Ref467515819 </w:instrText>
      </w:r>
      <w:r>
        <w:rPr>
          <w:kern w:val="1"/>
        </w:rPr>
        <w:instrText xml:space="preserve"> \* MERGEFORMAT </w:instrText>
      </w:r>
      <w:r w:rsidRPr="003B40D8">
        <w:rPr>
          <w:kern w:val="1"/>
        </w:rPr>
        <w:fldChar w:fldCharType="separate"/>
      </w:r>
      <w:r w:rsidR="00D11844" w:rsidRPr="00602782">
        <w:t xml:space="preserve">Figure </w:t>
      </w:r>
      <w:r w:rsidR="00D11844">
        <w:rPr>
          <w:noProof/>
        </w:rPr>
        <w:t>2.4</w:t>
      </w:r>
      <w:r w:rsidRPr="003B40D8">
        <w:rPr>
          <w:kern w:val="1"/>
        </w:rPr>
        <w:fldChar w:fldCharType="end"/>
      </w:r>
      <w:r w:rsidRPr="003B40D8">
        <w:t>.</w:t>
      </w:r>
      <w:r w:rsidRPr="00602782">
        <w:t xml:space="preserve"> </w:t>
      </w:r>
    </w:p>
    <w:p w14:paraId="6A8454E7" w14:textId="77777777" w:rsidR="00A40D9E" w:rsidRPr="00602782" w:rsidRDefault="00A40D9E" w:rsidP="00A40D9E">
      <w:pPr>
        <w:spacing w:line="240" w:lineRule="auto"/>
      </w:pPr>
    </w:p>
    <w:p w14:paraId="4FAA467C" w14:textId="21B13ADC" w:rsidR="00936CDC" w:rsidRPr="00602782" w:rsidRDefault="00936CDC" w:rsidP="00936CDC">
      <w:pPr>
        <w:ind w:firstLine="0"/>
      </w:pPr>
      <w:r w:rsidRPr="00602782">
        <w:rPr>
          <w:noProof/>
          <w:lang w:eastAsia="en-GB"/>
        </w:rPr>
        <w:drawing>
          <wp:inline distT="0" distB="0" distL="0" distR="0" wp14:anchorId="206F1B82" wp14:editId="617F032C">
            <wp:extent cx="3534310" cy="460996"/>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efvre_Raoul-For_as_moche_as_late_by_the_comaundement-STC-15383-1385_07-p5.tif"/>
                    <pic:cNvPicPr/>
                  </pic:nvPicPr>
                  <pic:blipFill rotWithShape="1">
                    <a:blip r:embed="rId17" cstate="print">
                      <a:extLst>
                        <a:ext uri="{28A0092B-C50C-407E-A947-70E740481C1C}">
                          <a14:useLocalDpi xmlns:a14="http://schemas.microsoft.com/office/drawing/2010/main"/>
                        </a:ext>
                      </a:extLst>
                    </a:blip>
                    <a:srcRect/>
                    <a:stretch/>
                  </pic:blipFill>
                  <pic:spPr bwMode="auto">
                    <a:xfrm>
                      <a:off x="0" y="0"/>
                      <a:ext cx="3849513" cy="502109"/>
                    </a:xfrm>
                    <a:prstGeom prst="rect">
                      <a:avLst/>
                    </a:prstGeom>
                    <a:ln>
                      <a:noFill/>
                    </a:ln>
                    <a:extLst>
                      <a:ext uri="{53640926-AAD7-44D8-BBD7-CCE9431645EC}">
                        <a14:shadowObscured xmlns:a14="http://schemas.microsoft.com/office/drawing/2010/main"/>
                      </a:ext>
                    </a:extLst>
                  </pic:spPr>
                </pic:pic>
              </a:graphicData>
            </a:graphic>
          </wp:inline>
        </w:drawing>
      </w:r>
    </w:p>
    <w:p w14:paraId="525EF10A" w14:textId="1D113230" w:rsidR="00936CDC" w:rsidRPr="00602782" w:rsidRDefault="00936CDC" w:rsidP="00936CDC">
      <w:pPr>
        <w:pStyle w:val="Caption"/>
      </w:pPr>
      <w:bookmarkStart w:id="31" w:name="_Ref467515811"/>
      <w:bookmarkStart w:id="32" w:name="_Toc499753503"/>
      <w:r w:rsidRPr="00602782">
        <w:t xml:space="preserve">Figure </w:t>
      </w:r>
      <w:r w:rsidR="00C5013D">
        <w:fldChar w:fldCharType="begin"/>
      </w:r>
      <w:r w:rsidR="00C5013D">
        <w:instrText xml:space="preserve"> STYLEREF 1 \s </w:instrText>
      </w:r>
      <w:r w:rsidR="00C5013D">
        <w:fldChar w:fldCharType="separate"/>
      </w:r>
      <w:r w:rsidR="00C5013D">
        <w:rPr>
          <w:noProof/>
        </w:rPr>
        <w:t>2</w:t>
      </w:r>
      <w:r w:rsidR="00C5013D">
        <w:fldChar w:fldCharType="end"/>
      </w:r>
      <w:r w:rsidR="00C5013D">
        <w:t>.</w:t>
      </w:r>
      <w:r w:rsidR="00C5013D">
        <w:fldChar w:fldCharType="begin"/>
      </w:r>
      <w:r w:rsidR="00C5013D">
        <w:instrText xml:space="preserve"> SEQ Figure \* ARABIC \s 1 </w:instrText>
      </w:r>
      <w:r w:rsidR="00C5013D">
        <w:fldChar w:fldCharType="separate"/>
      </w:r>
      <w:r w:rsidR="00C5013D">
        <w:rPr>
          <w:noProof/>
        </w:rPr>
        <w:t>3</w:t>
      </w:r>
      <w:r w:rsidR="00C5013D">
        <w:fldChar w:fldCharType="end"/>
      </w:r>
      <w:bookmarkEnd w:id="31"/>
      <w:r w:rsidRPr="00602782">
        <w:t>: Type a</w:t>
      </w:r>
      <w:r w:rsidRPr="00602782">
        <w:rPr>
          <w:vertAlign w:val="superscript"/>
        </w:rPr>
        <w:t>1</w:t>
      </w:r>
      <w:r w:rsidRPr="00602782">
        <w:t xml:space="preserve"> in Caxton’s Type 2 in </w:t>
      </w:r>
      <w:r w:rsidRPr="00602782">
        <w:rPr>
          <w:i/>
        </w:rPr>
        <w:t>History of Jason</w:t>
      </w:r>
      <w:r w:rsidR="00BA5810">
        <w:t xml:space="preserve">, p. </w:t>
      </w:r>
      <w:r w:rsidRPr="00602782">
        <w:t>5</w:t>
      </w:r>
      <w:r w:rsidRPr="00602782">
        <w:rPr>
          <w:vertAlign w:val="superscript"/>
        </w:rPr>
        <w:t>a</w:t>
      </w:r>
      <w:bookmarkEnd w:id="32"/>
    </w:p>
    <w:p w14:paraId="2D1B1F8E" w14:textId="77777777" w:rsidR="00845460" w:rsidRDefault="00845460" w:rsidP="00845460"/>
    <w:p w14:paraId="67D4B445" w14:textId="04966361" w:rsidR="00845460" w:rsidRPr="00602782" w:rsidRDefault="00AE3C75" w:rsidP="00845460">
      <w:r>
        <w:fldChar w:fldCharType="begin"/>
      </w:r>
      <w:r>
        <w:instrText xml:space="preserve"> REF _Ref467515811  \* MERGEFORMAT </w:instrText>
      </w:r>
      <w:r>
        <w:fldChar w:fldCharType="separate"/>
      </w:r>
      <w:r w:rsidR="00D11844" w:rsidRPr="00602782">
        <w:t xml:space="preserve">Figure </w:t>
      </w:r>
      <w:r w:rsidR="00D11844">
        <w:t>2.3</w:t>
      </w:r>
      <w:r>
        <w:fldChar w:fldCharType="end"/>
      </w:r>
      <w:r w:rsidR="00845460" w:rsidRPr="00304F5B">
        <w:t xml:space="preserve"> and </w:t>
      </w:r>
      <w:r>
        <w:fldChar w:fldCharType="begin"/>
      </w:r>
      <w:r>
        <w:instrText xml:space="preserve"> REF _Ref467515819  \* MERGEFORMAT </w:instrText>
      </w:r>
      <w:r>
        <w:fldChar w:fldCharType="separate"/>
      </w:r>
      <w:r w:rsidR="00D11844" w:rsidRPr="00602782">
        <w:t xml:space="preserve">Figure </w:t>
      </w:r>
      <w:r w:rsidR="00D11844">
        <w:rPr>
          <w:noProof/>
        </w:rPr>
        <w:t>2.4</w:t>
      </w:r>
      <w:r>
        <w:rPr>
          <w:noProof/>
        </w:rPr>
        <w:fldChar w:fldCharType="end"/>
      </w:r>
      <w:r w:rsidR="00845460" w:rsidRPr="00602782">
        <w:t xml:space="preserve"> show the two graphs for the letter </w:t>
      </w:r>
      <w:r w:rsidR="00845460" w:rsidRPr="00602782">
        <w:rPr>
          <w:i/>
        </w:rPr>
        <w:t>a</w:t>
      </w:r>
      <w:r w:rsidR="00845460" w:rsidRPr="00602782">
        <w:t xml:space="preserve"> used at the start of words in Caxton’s </w:t>
      </w:r>
      <w:r w:rsidR="00845460" w:rsidRPr="00602782">
        <w:rPr>
          <w:i/>
        </w:rPr>
        <w:t>History of Jason</w:t>
      </w:r>
      <w:r w:rsidR="00845460" w:rsidRPr="00602782">
        <w:t>. a</w:t>
      </w:r>
      <w:r w:rsidR="00845460" w:rsidRPr="00602782">
        <w:rPr>
          <w:vertAlign w:val="superscript"/>
        </w:rPr>
        <w:t>1</w:t>
      </w:r>
      <w:r w:rsidR="00845460" w:rsidRPr="00602782">
        <w:t xml:space="preserve"> can be distinguished from a</w:t>
      </w:r>
      <w:r w:rsidR="00845460" w:rsidRPr="00602782">
        <w:rPr>
          <w:vertAlign w:val="superscript"/>
        </w:rPr>
        <w:t>2</w:t>
      </w:r>
      <w:r w:rsidR="00845460" w:rsidRPr="00602782">
        <w:t xml:space="preserve"> by its double-bowl, where a</w:t>
      </w:r>
      <w:r w:rsidR="00845460" w:rsidRPr="00602782">
        <w:rPr>
          <w:vertAlign w:val="superscript"/>
        </w:rPr>
        <w:t>2</w:t>
      </w:r>
      <w:r w:rsidR="00845460" w:rsidRPr="00602782">
        <w:t xml:space="preserve"> is more rounded and is </w:t>
      </w:r>
      <w:r w:rsidR="00845460">
        <w:t>formed</w:t>
      </w:r>
      <w:r w:rsidR="00845460" w:rsidRPr="00602782">
        <w:t xml:space="preserve"> of a single compartment. Throughout most of the </w:t>
      </w:r>
      <w:r w:rsidR="00845460" w:rsidRPr="00602782">
        <w:rPr>
          <w:i/>
        </w:rPr>
        <w:t>History of Jason</w:t>
      </w:r>
      <w:r w:rsidR="00845460" w:rsidRPr="00602782">
        <w:t>, a</w:t>
      </w:r>
      <w:r w:rsidR="00845460" w:rsidRPr="00602782">
        <w:rPr>
          <w:vertAlign w:val="superscript"/>
        </w:rPr>
        <w:t>1</w:t>
      </w:r>
      <w:r w:rsidR="00845460" w:rsidRPr="00602782">
        <w:t xml:space="preserve"> is used to represent the letter </w:t>
      </w:r>
      <w:r w:rsidR="00845460" w:rsidRPr="00602782">
        <w:rPr>
          <w:i/>
        </w:rPr>
        <w:t>a</w:t>
      </w:r>
      <w:r w:rsidR="00845460" w:rsidRPr="00602782">
        <w:t xml:space="preserve"> at the beginning of words, however on pages [a]4</w:t>
      </w:r>
      <w:r w:rsidR="00845460" w:rsidRPr="00602782">
        <w:rPr>
          <w:vertAlign w:val="superscript"/>
        </w:rPr>
        <w:t>a</w:t>
      </w:r>
      <w:r w:rsidR="00845460" w:rsidRPr="00602782">
        <w:t>, [a]5</w:t>
      </w:r>
      <w:r w:rsidR="00845460" w:rsidRPr="00602782">
        <w:rPr>
          <w:vertAlign w:val="superscript"/>
        </w:rPr>
        <w:t>b</w:t>
      </w:r>
      <w:r w:rsidR="00845460" w:rsidRPr="00602782">
        <w:t>, [a]8</w:t>
      </w:r>
      <w:r w:rsidR="00845460" w:rsidRPr="00602782">
        <w:rPr>
          <w:vertAlign w:val="superscript"/>
        </w:rPr>
        <w:t>b</w:t>
      </w:r>
      <w:r w:rsidR="00845460" w:rsidRPr="00602782">
        <w:t>, and [b]1</w:t>
      </w:r>
      <w:r w:rsidR="00845460" w:rsidRPr="00602782">
        <w:rPr>
          <w:vertAlign w:val="superscript"/>
        </w:rPr>
        <w:t>a</w:t>
      </w:r>
      <w:r w:rsidR="00845460" w:rsidRPr="00602782">
        <w:t xml:space="preserve"> the graph a</w:t>
      </w:r>
      <w:r w:rsidR="00845460" w:rsidRPr="00602782">
        <w:rPr>
          <w:vertAlign w:val="superscript"/>
        </w:rPr>
        <w:t>2</w:t>
      </w:r>
      <w:r w:rsidR="00845460" w:rsidRPr="00602782">
        <w:t xml:space="preserve"> is used in word-initial position. Hellinga </w:t>
      </w:r>
      <w:r w:rsidR="00845460">
        <w:t>and</w:t>
      </w:r>
      <w:r w:rsidR="00845460" w:rsidRPr="00602782">
        <w:t xml:space="preserve"> Painter </w:t>
      </w:r>
      <w:r w:rsidR="00845460" w:rsidRPr="00863037">
        <w:rPr>
          <w:color w:val="000000" w:themeColor="text1"/>
          <w:kern w:val="1"/>
        </w:rPr>
        <w:t>(2007:</w:t>
      </w:r>
      <w:r w:rsidR="00845460">
        <w:rPr>
          <w:color w:val="000000" w:themeColor="text1"/>
          <w:kern w:val="1"/>
        </w:rPr>
        <w:t xml:space="preserve"> </w:t>
      </w:r>
      <w:r w:rsidR="00845460" w:rsidRPr="00863037">
        <w:rPr>
          <w:color w:val="000000" w:themeColor="text1"/>
          <w:kern w:val="1"/>
        </w:rPr>
        <w:t>107)</w:t>
      </w:r>
      <w:r w:rsidR="00845460" w:rsidRPr="00602782">
        <w:t xml:space="preserve"> state that </w:t>
      </w:r>
      <w:r w:rsidR="00845460">
        <w:t xml:space="preserve">the different use of </w:t>
      </w:r>
      <w:r w:rsidR="00845460" w:rsidRPr="00602782">
        <w:t>a</w:t>
      </w:r>
      <w:r w:rsidR="00845460" w:rsidRPr="00602782">
        <w:rPr>
          <w:vertAlign w:val="superscript"/>
        </w:rPr>
        <w:t>2</w:t>
      </w:r>
      <w:r w:rsidR="00845460" w:rsidRPr="00602782">
        <w:t xml:space="preserve"> is grounds to suspect a different compositor </w:t>
      </w:r>
      <w:r w:rsidR="00845460">
        <w:t>type</w:t>
      </w:r>
      <w:r w:rsidR="00845460" w:rsidRPr="00602782">
        <w:t xml:space="preserve">set these four pages. A similar distinction between graphs is made in the </w:t>
      </w:r>
      <w:r w:rsidR="00845460" w:rsidRPr="00602782">
        <w:rPr>
          <w:i/>
        </w:rPr>
        <w:t>Confessio Amantis</w:t>
      </w:r>
      <w:r w:rsidR="00845460" w:rsidRPr="00602782">
        <w:t xml:space="preserve">, where differences in the capital letter </w:t>
      </w:r>
      <w:r w:rsidR="00845460" w:rsidRPr="00602782">
        <w:rPr>
          <w:i/>
        </w:rPr>
        <w:t>I</w:t>
      </w:r>
      <w:r w:rsidR="00845460" w:rsidRPr="00602782">
        <w:t xml:space="preserve"> can be observed.</w:t>
      </w:r>
    </w:p>
    <w:p w14:paraId="1F51FF5A" w14:textId="77777777" w:rsidR="00936CDC" w:rsidRPr="00602782" w:rsidRDefault="00936CDC" w:rsidP="00936CDC"/>
    <w:p w14:paraId="27BDD6B2" w14:textId="007F9E3B" w:rsidR="00936CDC" w:rsidRPr="00602782" w:rsidRDefault="00936CDC" w:rsidP="00936CDC">
      <w:pPr>
        <w:ind w:firstLine="0"/>
      </w:pPr>
      <w:r w:rsidRPr="00602782">
        <w:rPr>
          <w:noProof/>
          <w:lang w:eastAsia="en-GB"/>
        </w:rPr>
        <w:drawing>
          <wp:inline distT="0" distB="0" distL="0" distR="0" wp14:anchorId="60A98A9F" wp14:editId="6337D538">
            <wp:extent cx="3909470" cy="429421"/>
            <wp:effectExtent l="0" t="0" r="2540" b="254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efvre_Raoul-For_as_moche_as_late_by_the_comaundement-STC-15383-1385_07-p4.tif"/>
                    <pic:cNvPicPr/>
                  </pic:nvPicPr>
                  <pic:blipFill rotWithShape="1">
                    <a:blip r:embed="rId18" cstate="print">
                      <a:extLst>
                        <a:ext uri="{28A0092B-C50C-407E-A947-70E740481C1C}">
                          <a14:useLocalDpi xmlns:a14="http://schemas.microsoft.com/office/drawing/2010/main"/>
                        </a:ext>
                      </a:extLst>
                    </a:blip>
                    <a:srcRect/>
                    <a:stretch/>
                  </pic:blipFill>
                  <pic:spPr bwMode="auto">
                    <a:xfrm>
                      <a:off x="0" y="0"/>
                      <a:ext cx="4205699" cy="461959"/>
                    </a:xfrm>
                    <a:prstGeom prst="rect">
                      <a:avLst/>
                    </a:prstGeom>
                    <a:ln>
                      <a:noFill/>
                    </a:ln>
                    <a:extLst>
                      <a:ext uri="{53640926-AAD7-44D8-BBD7-CCE9431645EC}">
                        <a14:shadowObscured xmlns:a14="http://schemas.microsoft.com/office/drawing/2010/main"/>
                      </a:ext>
                    </a:extLst>
                  </pic:spPr>
                </pic:pic>
              </a:graphicData>
            </a:graphic>
          </wp:inline>
        </w:drawing>
      </w:r>
    </w:p>
    <w:p w14:paraId="38E22A94" w14:textId="51221593" w:rsidR="00936CDC" w:rsidRPr="00602782" w:rsidRDefault="00936CDC" w:rsidP="00936CDC">
      <w:pPr>
        <w:pStyle w:val="Caption"/>
        <w:rPr>
          <w:kern w:val="1"/>
          <w:sz w:val="24"/>
          <w:szCs w:val="24"/>
        </w:rPr>
      </w:pPr>
      <w:bookmarkStart w:id="33" w:name="_Ref467515819"/>
      <w:bookmarkStart w:id="34" w:name="_Toc499753504"/>
      <w:r w:rsidRPr="00602782">
        <w:t xml:space="preserve">Figure </w:t>
      </w:r>
      <w:r w:rsidR="00C5013D">
        <w:fldChar w:fldCharType="begin"/>
      </w:r>
      <w:r w:rsidR="00C5013D">
        <w:instrText xml:space="preserve"> STYLEREF 1 \s </w:instrText>
      </w:r>
      <w:r w:rsidR="00C5013D">
        <w:fldChar w:fldCharType="separate"/>
      </w:r>
      <w:r w:rsidR="00C5013D">
        <w:rPr>
          <w:noProof/>
        </w:rPr>
        <w:t>2</w:t>
      </w:r>
      <w:r w:rsidR="00C5013D">
        <w:fldChar w:fldCharType="end"/>
      </w:r>
      <w:r w:rsidR="00C5013D">
        <w:t>.</w:t>
      </w:r>
      <w:r w:rsidR="00C5013D">
        <w:fldChar w:fldCharType="begin"/>
      </w:r>
      <w:r w:rsidR="00C5013D">
        <w:instrText xml:space="preserve"> SEQ Figure \* ARABIC \s 1 </w:instrText>
      </w:r>
      <w:r w:rsidR="00C5013D">
        <w:fldChar w:fldCharType="separate"/>
      </w:r>
      <w:r w:rsidR="00C5013D">
        <w:rPr>
          <w:noProof/>
        </w:rPr>
        <w:t>4</w:t>
      </w:r>
      <w:r w:rsidR="00C5013D">
        <w:fldChar w:fldCharType="end"/>
      </w:r>
      <w:bookmarkEnd w:id="33"/>
      <w:r w:rsidRPr="00602782">
        <w:t>: Type a</w:t>
      </w:r>
      <w:r w:rsidRPr="00602782">
        <w:rPr>
          <w:vertAlign w:val="superscript"/>
        </w:rPr>
        <w:t>2</w:t>
      </w:r>
      <w:r w:rsidRPr="00602782">
        <w:t xml:space="preserve"> in Caxton's Type 2 in </w:t>
      </w:r>
      <w:r w:rsidRPr="00602782">
        <w:rPr>
          <w:i/>
        </w:rPr>
        <w:t xml:space="preserve">History of </w:t>
      </w:r>
      <w:r w:rsidRPr="00BA5810">
        <w:rPr>
          <w:i/>
        </w:rPr>
        <w:t>Jason</w:t>
      </w:r>
      <w:r w:rsidR="00BA5810">
        <w:t xml:space="preserve">, p. </w:t>
      </w:r>
      <w:r w:rsidRPr="00BA5810">
        <w:t>5</w:t>
      </w:r>
      <w:r w:rsidRPr="00BA5810">
        <w:rPr>
          <w:vertAlign w:val="superscript"/>
        </w:rPr>
        <w:t>b</w:t>
      </w:r>
      <w:bookmarkEnd w:id="34"/>
    </w:p>
    <w:p w14:paraId="57884748" w14:textId="77777777" w:rsidR="00936CDC" w:rsidRDefault="00936CDC" w:rsidP="00936CDC"/>
    <w:p w14:paraId="540CEC57" w14:textId="70F2FE61" w:rsidR="000B03E8" w:rsidRDefault="00936CDC" w:rsidP="000737CB">
      <w:r w:rsidRPr="00602782">
        <w:t xml:space="preserve">Through examining the quiring, paper, and uses of type, we can see the way in which </w:t>
      </w:r>
      <w:r w:rsidR="00863037">
        <w:t>the work of compositors may vary</w:t>
      </w:r>
      <w:r w:rsidRPr="00602782">
        <w:t xml:space="preserve">. Observing where these small changes take place is particularly important when we want to know where in a book the work of a new compositor begins. </w:t>
      </w:r>
      <w:r w:rsidR="005246EA">
        <w:t xml:space="preserve">The next chapter makes use of this bibliographical background when exploring the work of the two compositors who typeset Caxton’s second edition of the </w:t>
      </w:r>
      <w:r w:rsidR="005246EA">
        <w:rPr>
          <w:i/>
        </w:rPr>
        <w:t>Canterbury Tales</w:t>
      </w:r>
      <w:r w:rsidR="005246EA">
        <w:t xml:space="preserve">. </w:t>
      </w:r>
    </w:p>
    <w:p w14:paraId="0ED3A24C" w14:textId="77777777" w:rsidR="000B03E8" w:rsidRPr="00602782" w:rsidRDefault="000B03E8" w:rsidP="000737CB"/>
    <w:p w14:paraId="1133DDA9" w14:textId="2E2BFD92" w:rsidR="005634F7" w:rsidRDefault="005634F7" w:rsidP="000737CB">
      <w:r>
        <w:lastRenderedPageBreak/>
        <w:br w:type="page"/>
      </w:r>
    </w:p>
    <w:p w14:paraId="7216C9AA" w14:textId="50E3BB0E" w:rsidR="00277E53" w:rsidRPr="0021550A" w:rsidRDefault="009749F6" w:rsidP="00173DDA">
      <w:pPr>
        <w:pStyle w:val="Heading1"/>
      </w:pPr>
      <w:bookmarkStart w:id="35" w:name="_Toc497899842"/>
      <w:r w:rsidRPr="0021550A">
        <w:lastRenderedPageBreak/>
        <w:t xml:space="preserve">Spelling </w:t>
      </w:r>
      <w:r w:rsidR="00705D99">
        <w:t>and the justification of type</w:t>
      </w:r>
      <w:r w:rsidR="00FD23B9" w:rsidRPr="005C54CE">
        <w:rPr>
          <w:rStyle w:val="FootnoteReference"/>
        </w:rPr>
        <w:footnoteReference w:id="4"/>
      </w:r>
      <w:bookmarkEnd w:id="35"/>
    </w:p>
    <w:p w14:paraId="5D18624E" w14:textId="14B8BECA" w:rsidR="00F24857" w:rsidRPr="0021550A" w:rsidRDefault="00277E53" w:rsidP="00F24857">
      <w:r w:rsidRPr="0021550A">
        <w:t xml:space="preserve">This </w:t>
      </w:r>
      <w:r w:rsidR="004406B6">
        <w:t>chapter</w:t>
      </w:r>
      <w:r w:rsidRPr="0021550A">
        <w:t xml:space="preserve"> </w:t>
      </w:r>
      <w:r w:rsidR="004406B6" w:rsidRPr="0021550A">
        <w:t xml:space="preserve">explores the extent to which the spellings used in Caxton’s printed texts were influenced by the processes involved in printing. </w:t>
      </w:r>
      <w:r w:rsidR="00F24857">
        <w:t xml:space="preserve">Research into the transmission of spelling variants has been focused almost exclusively </w:t>
      </w:r>
      <w:r w:rsidR="00EE6B15">
        <w:t>on</w:t>
      </w:r>
      <w:r w:rsidR="00F24857">
        <w:t xml:space="preserve"> manuscript studies. </w:t>
      </w:r>
      <w:r w:rsidR="00F24857" w:rsidRPr="0021550A">
        <w:t>One possible reason for a dearth of research into spelling transmission in early print are the complications introduced by the processes involved in printing. In the analogy where the copying undertaken by a scribe is equivalent to the copying undertaken by the compositor, the pen used by the scribe is equivalent to the type</w:t>
      </w:r>
      <w:r w:rsidR="00EE6B15">
        <w:t xml:space="preserve"> used </w:t>
      </w:r>
      <w:r w:rsidR="00F24857" w:rsidRPr="0021550A">
        <w:t xml:space="preserve">by the compositor. However, scholars have suggested that when compositors set the type for a new text, the spatial constraints on the compositor are greater than the constraints on the scribe because the printing process required the compositor’s line to be filled with type. These spatial constraints have been linked to spelling variation; some scholars have claimed that, when setting prose, compositors altered spellings in order to fit the type onto the line </w:t>
      </w:r>
      <w:r w:rsidR="008D0FFD">
        <w:t>(Gaskell 1972, Hellinga 1983, Blake</w:t>
      </w:r>
      <w:r w:rsidR="008D0FFD" w:rsidRPr="008D0FFD">
        <w:t xml:space="preserve"> 1989)</w:t>
      </w:r>
      <w:r w:rsidR="00F24857" w:rsidRPr="0021550A">
        <w:t>. Despite these claims, no empirical research has been undertaken into the extent to which fifteenth-century compositorial spellings were affected by the printing process.</w:t>
      </w:r>
      <w:r w:rsidR="00F24857">
        <w:t xml:space="preserve"> Through analysis of </w:t>
      </w:r>
      <w:r w:rsidR="00F24857" w:rsidRPr="0021550A">
        <w:t xml:space="preserve">Caxton’s two editions of the </w:t>
      </w:r>
      <w:r w:rsidR="00F24857" w:rsidRPr="0021550A">
        <w:rPr>
          <w:i/>
        </w:rPr>
        <w:t>Canterbury Tales</w:t>
      </w:r>
      <w:r w:rsidR="00F24857">
        <w:t xml:space="preserve">, this study </w:t>
      </w:r>
      <w:r w:rsidR="00F24857" w:rsidRPr="0021550A">
        <w:t xml:space="preserve">investigates whether compositors changed their spellings to fit their type </w:t>
      </w:r>
      <w:r w:rsidR="00F24857">
        <w:t>onto individual lines of type</w:t>
      </w:r>
      <w:r w:rsidR="00F24857" w:rsidRPr="0021550A">
        <w:t xml:space="preserve">. </w:t>
      </w:r>
      <w:r w:rsidR="00F24857">
        <w:fldChar w:fldCharType="begin" w:fldLock="1"/>
      </w:r>
      <w:r w:rsidR="00F24857">
        <w:instrText>ADDIN CSL_CITATION { "citationItems" : [ { "id" : "ITEM-1", "itemData" : { "abstract" : "There is a long-held belief that, prior to the standardisation of written English, printers altered spellings to justify their type. I investigate this claim through an analysis of spelling changes in William Caxton\u2019s two editions of the Canterbury Tales\u2014by examining text within one book, written by one author and set by one compositor, the only difference between the sections of verse and the sections of prose should be the requirement for justification within the latter. Were the compositors altering spellings to justify their type, we would expect to see a greater number of altered spellings in the prose sections of text. This is not what the results of this study show\u2014instead there is no statistically significant difference between the frequency of spelling changes in justified and non-justified text. However, there is a significantly higher number of abbreviations introduced into the justified text. These results suggest that the compositor of Caxton\u2019s second edition Canterbury Tales did not change spellings to justify his type.", "author" : [ { "dropping-particle" : "", "family" : "Shute", "given" : "Rosie", "non-dropping-particle" : "", "parse-names" : false, "suffix" : "" } ], "container-title" : "English Studies", "id" : "ITEM-1", "issue" : "3", "issued" : { "date-parts" : [ [ "2017", "12", "9" ] ] }, "note" : "https://www.tandfonline.com/doi/full/10.1080/0013838X.2017.1250197\n\nDOI: 10.1080/0013838X.2017.1250197", "page" : "262-282", "title" : "Pressed for space: the effects of justification and the printing process on fifteenth-century orthography", "type" : "article-journal", "volume" : "98" }, "suppress-author" : 1, "uris" : [ "http://www.mendeley.com/documents/?uuid=0fd650d9-030a-4e13-a870-d5b297b00cb2" ] } ], "mendeley" : { "formattedCitation" : "(2017)", "plainTextFormattedCitation" : "(2017)", "previouslyFormattedCitation" : "(2017)" }, "properties" : { "noteIndex" : 29 }, "schema" : "https://github.com/citation-style-language/schema/raw/master/csl-citation.json" }</w:instrText>
      </w:r>
      <w:r w:rsidR="00F24857">
        <w:fldChar w:fldCharType="end"/>
      </w:r>
    </w:p>
    <w:p w14:paraId="64D1CF1A" w14:textId="38881063" w:rsidR="00277E53" w:rsidRPr="0021550A" w:rsidRDefault="00277E53" w:rsidP="000737CB">
      <w:r w:rsidRPr="0021550A">
        <w:t xml:space="preserve">This study is guided by one research question which asks what methods compositors used to justify their type. In answering this research question, the results of this study suggest that the spellings used by Caxton’s compositors were not altered because of the spatial constraints introduced by the printing processes. These results are significant—with the printing processes not creating a change in spelling variants, the spellings used in printed texts are those of the copy text and the copyist, as is the case in hand-copied texts. The spellings used in Caxton’s texts were introduced by people, and not forced </w:t>
      </w:r>
      <w:r w:rsidR="00FF480B" w:rsidRPr="0021550A">
        <w:t>because of</w:t>
      </w:r>
      <w:r w:rsidRPr="0021550A">
        <w:t xml:space="preserve"> spatial constraints. In making this argument, I discuss the method of analysis (Section </w:t>
      </w:r>
      <w:r w:rsidR="00E12429">
        <w:fldChar w:fldCharType="begin"/>
      </w:r>
      <w:r w:rsidR="00E12429">
        <w:instrText xml:space="preserve"> REF _Ref492907189 \r </w:instrText>
      </w:r>
      <w:r w:rsidR="00E12429">
        <w:fldChar w:fldCharType="separate"/>
      </w:r>
      <w:r w:rsidR="00D11844">
        <w:t>3.2</w:t>
      </w:r>
      <w:r w:rsidR="00E12429">
        <w:fldChar w:fldCharType="end"/>
      </w:r>
      <w:r w:rsidRPr="0021550A">
        <w:t xml:space="preserve">), and in Section </w:t>
      </w:r>
      <w:r w:rsidR="00E12429">
        <w:fldChar w:fldCharType="begin"/>
      </w:r>
      <w:r w:rsidR="00E12429">
        <w:instrText xml:space="preserve"> REF _Ref492907207 \r </w:instrText>
      </w:r>
      <w:r w:rsidR="00E12429">
        <w:fldChar w:fldCharType="separate"/>
      </w:r>
      <w:r w:rsidR="00D11844">
        <w:t>3.3</w:t>
      </w:r>
      <w:r w:rsidR="00E12429">
        <w:fldChar w:fldCharType="end"/>
      </w:r>
      <w:r w:rsidRPr="0021550A">
        <w:t xml:space="preserve"> I use case studies of Caxton’s editions of the </w:t>
      </w:r>
      <w:r w:rsidRPr="0021550A">
        <w:rPr>
          <w:i/>
        </w:rPr>
        <w:t>Canterbury Tales</w:t>
      </w:r>
      <w:r w:rsidRPr="0021550A">
        <w:t xml:space="preserve"> and Richard Pynson’s edition of </w:t>
      </w:r>
      <w:r w:rsidRPr="0021550A">
        <w:rPr>
          <w:i/>
        </w:rPr>
        <w:t>Reynard the Fox</w:t>
      </w:r>
      <w:r w:rsidRPr="0021550A">
        <w:t xml:space="preserve"> to explore the effect of spatial constraints on the text. </w:t>
      </w:r>
      <w:r w:rsidRPr="0021550A">
        <w:rPr>
          <w:iCs/>
        </w:rPr>
        <w:t>However, before discussing further the method and results of this study, it</w:t>
      </w:r>
      <w:r w:rsidRPr="0021550A">
        <w:t xml:space="preserve"> is first necessary to understand the processes that were involved in printing, and how these processes could impact upon the language of fifteenth-century printed texts; the next section discusses the spatial constraints that compositors faced because of the printing process. </w:t>
      </w:r>
    </w:p>
    <w:p w14:paraId="60030EE8" w14:textId="77777777" w:rsidR="00277E53" w:rsidRPr="0021550A" w:rsidRDefault="00277E53" w:rsidP="000737CB"/>
    <w:p w14:paraId="705FBAC9" w14:textId="203C64A5" w:rsidR="00277E53" w:rsidRPr="0021550A" w:rsidRDefault="0045755C" w:rsidP="000737CB">
      <w:pPr>
        <w:pStyle w:val="Heading2"/>
      </w:pPr>
      <w:bookmarkStart w:id="36" w:name="_Toc497899843"/>
      <w:r>
        <w:lastRenderedPageBreak/>
        <w:t>Printing processes and their effect on spellings</w:t>
      </w:r>
      <w:bookmarkEnd w:id="36"/>
    </w:p>
    <w:p w14:paraId="0D8FAC90" w14:textId="36A23CCD" w:rsidR="00277E53" w:rsidRPr="0021550A" w:rsidRDefault="00277E53" w:rsidP="000737CB">
      <w:r w:rsidRPr="0021550A">
        <w:t xml:space="preserve">There are two aspects to printing that could theoretically cause Caxton’s compositors to alter spellings when setting type, but which are not applicable to the hand-copying of a text: a lack of type, and the requirement for the type to be justified. </w:t>
      </w:r>
      <w:r w:rsidR="006046F2">
        <w:t>A lack of type</w:t>
      </w:r>
      <w:r w:rsidRPr="0021550A">
        <w:t xml:space="preserve"> covers a range of problems, including the possibility of the printer having too few spaces, too few abbreviations/punctuation marks, or the wrong ratios of letters for the language he is printing in. However, printers were not usually inconvenienced by these problems, and when they did occur they were able to manoeuvre around them. When Caxton began printing, there was no one casting and selling type in England. He was, therefore, obliged to buy his type from the Low Countries—</w:t>
      </w:r>
      <w:r w:rsidR="0021550A">
        <w:t xml:space="preserve">which is </w:t>
      </w:r>
      <w:r w:rsidRPr="0021550A">
        <w:t>where he learned to print and made connections within the book trade during his time as a mercer and merchant adventurer. Founts of type—a whole set of one typeface, including all the letters, punctuation, and abbreviation marks—were made up of numbers of each letter relative to their use in the language they were intended for</w:t>
      </w:r>
      <w:r w:rsidR="00845C8B">
        <w:t xml:space="preserve"> (Febvre 1984)</w:t>
      </w:r>
      <w:r w:rsidRPr="0021550A">
        <w:t xml:space="preserve">. Printers </w:t>
      </w:r>
      <w:r w:rsidR="00B578C4">
        <w:t>knowingly</w:t>
      </w:r>
      <w:r w:rsidRPr="0021550A">
        <w:t xml:space="preserve"> bought founts of type that only just had enough letters to print a couple of pages at once </w:t>
      </w:r>
      <w:r w:rsidR="00845C8B">
        <w:t xml:space="preserve">(Febvre 1984: </w:t>
      </w:r>
      <w:r w:rsidR="00845C8B" w:rsidRPr="00845C8B">
        <w:t>59)</w:t>
      </w:r>
      <w:r w:rsidRPr="0021550A">
        <w:t>. Therefore, although this practice meant that the printers could not keep many pages in standing type ready to print, they would have had enough type to print two pages at any one time.</w:t>
      </w:r>
    </w:p>
    <w:p w14:paraId="17801EBE" w14:textId="226D8B22" w:rsidR="00277E53" w:rsidRDefault="00277E53" w:rsidP="000737CB">
      <w:r w:rsidRPr="0021550A">
        <w:t xml:space="preserve">The printers, then, were unlikely to have too little type for their needs. But if they did, when the most used letters began to wear out, then they would work with the amount of type that they had, and borrow from other typefaces as necessary. For example, when printing </w:t>
      </w:r>
      <w:r w:rsidRPr="0021550A">
        <w:rPr>
          <w:i/>
        </w:rPr>
        <w:t xml:space="preserve">Parliament of Fowls </w:t>
      </w:r>
      <w:r w:rsidRPr="0021550A">
        <w:t xml:space="preserve">Caxton’s compositor was short of capital </w:t>
      </w:r>
      <w:r w:rsidRPr="0021550A">
        <w:rPr>
          <w:i/>
        </w:rPr>
        <w:t>T</w:t>
      </w:r>
      <w:r w:rsidRPr="0021550A">
        <w:t xml:space="preserve"> in Type 2 and borrowed from Type 3 </w:t>
      </w:r>
      <w:r w:rsidR="00845C8B">
        <w:t xml:space="preserve">(Painter 1976: </w:t>
      </w:r>
      <w:r w:rsidR="00845C8B" w:rsidRPr="00845C8B">
        <w:t>95)</w:t>
      </w:r>
      <w:r w:rsidRPr="0021550A">
        <w:t>.</w:t>
      </w:r>
      <w:r w:rsidR="00BF111B" w:rsidRPr="0021550A">
        <w:rPr>
          <w:b/>
          <w:bCs/>
        </w:rPr>
        <w:t xml:space="preserve"> </w:t>
      </w:r>
      <w:r w:rsidR="00916C93">
        <w:rPr>
          <w:bCs/>
        </w:rPr>
        <w:t>Through borrowing type when necessary, a</w:t>
      </w:r>
      <w:r w:rsidRPr="0021550A">
        <w:t xml:space="preserve"> lack of type </w:t>
      </w:r>
      <w:r w:rsidR="00916C93">
        <w:t>was</w:t>
      </w:r>
      <w:r w:rsidRPr="0021550A">
        <w:t xml:space="preserve"> unlikely to cause compositors to change spellings. </w:t>
      </w:r>
      <w:r w:rsidR="00916C93">
        <w:t>However, the processes of justification and the interaction between type and spelling are more complicated. T</w:t>
      </w:r>
      <w:r w:rsidRPr="0021550A">
        <w:t xml:space="preserve">he rest of this study is devoted to exploring the effect of justification on early printed spellings. </w:t>
      </w:r>
    </w:p>
    <w:p w14:paraId="127D992F" w14:textId="77777777" w:rsidR="00282C1C" w:rsidRPr="0021550A" w:rsidRDefault="00282C1C" w:rsidP="000737CB">
      <w:pPr>
        <w:rPr>
          <w:b/>
          <w:bCs/>
        </w:rPr>
      </w:pPr>
    </w:p>
    <w:p w14:paraId="5A48C208" w14:textId="34489D3A" w:rsidR="0045755C" w:rsidRDefault="0045755C" w:rsidP="000737CB">
      <w:pPr>
        <w:pStyle w:val="Heading3"/>
      </w:pPr>
      <w:r>
        <w:t>Justification</w:t>
      </w:r>
    </w:p>
    <w:p w14:paraId="00777465" w14:textId="0BC8994D" w:rsidR="00277E53" w:rsidRDefault="00277E53" w:rsidP="00282C1C">
      <w:r w:rsidRPr="0021550A">
        <w:t xml:space="preserve">Justification has a dual definition within book studies, one a physical requirement and the other a visual effect. The physical requirement is that the type must be made to fit exactly the width of the printed area, a requirement that all type must adhere to. When setting the type, it is not likely that the letters and spacing will precisely fit the width of the printing area and so alterations to the type must be made. If setting verse, or text where the type is not aligned both margins, then the compositor’s line is filled using spacing—type that takes up space but that does not leave an impression during printing. Printers had </w:t>
      </w:r>
      <w:r w:rsidRPr="0021550A">
        <w:lastRenderedPageBreak/>
        <w:t xml:space="preserve">spacing of different widths to ensure that each line was tightly filled with type. This process of fitting the type into a rectangle the shape of the printing area is the physical requirement for justification. </w:t>
      </w:r>
      <w:r w:rsidR="00282C1C" w:rsidRPr="0021550A">
        <w:t xml:space="preserve">Even though the text in </w:t>
      </w:r>
      <w:r w:rsidR="00282C1C">
        <w:fldChar w:fldCharType="begin"/>
      </w:r>
      <w:r w:rsidR="00282C1C">
        <w:instrText xml:space="preserve"> REF _Ref490474213 </w:instrText>
      </w:r>
      <w:r w:rsidR="00282C1C">
        <w:fldChar w:fldCharType="separate"/>
      </w:r>
      <w:r w:rsidR="00D11844" w:rsidRPr="0021550A">
        <w:t xml:space="preserve">Figure </w:t>
      </w:r>
      <w:r w:rsidR="00D11844">
        <w:rPr>
          <w:noProof/>
        </w:rPr>
        <w:t>3</w:t>
      </w:r>
      <w:r w:rsidR="00D11844">
        <w:t>.</w:t>
      </w:r>
      <w:r w:rsidR="00D11844">
        <w:rPr>
          <w:noProof/>
        </w:rPr>
        <w:t>1</w:t>
      </w:r>
      <w:r w:rsidR="00282C1C">
        <w:rPr>
          <w:noProof/>
        </w:rPr>
        <w:fldChar w:fldCharType="end"/>
      </w:r>
      <w:r w:rsidR="00282C1C" w:rsidRPr="0021550A">
        <w:t xml:space="preserve"> does not all align to the right-side margin, the underlying type will form a rectangle and the type will be justified—the rest of the lines will have been filled by spacing. </w:t>
      </w:r>
    </w:p>
    <w:p w14:paraId="78058C4F" w14:textId="77777777" w:rsidR="00123B05" w:rsidRPr="0021550A" w:rsidRDefault="00123B05" w:rsidP="00282C1C"/>
    <w:p w14:paraId="01B8E604" w14:textId="4E62E40C" w:rsidR="00277E53" w:rsidRPr="0021550A" w:rsidRDefault="00277E53" w:rsidP="005E4E1A">
      <w:pPr>
        <w:ind w:firstLine="0"/>
      </w:pPr>
      <w:r w:rsidRPr="0021550A">
        <w:rPr>
          <w:noProof/>
          <w:lang w:eastAsia="en-GB"/>
        </w:rPr>
        <w:drawing>
          <wp:inline distT="0" distB="0" distL="0" distR="0" wp14:anchorId="5C325CF4" wp14:editId="140F8C85">
            <wp:extent cx="3516027" cy="320789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02.tif"/>
                    <pic:cNvPicPr/>
                  </pic:nvPicPr>
                  <pic:blipFill rotWithShape="1">
                    <a:blip r:embed="rId19">
                      <a:extLst>
                        <a:ext uri="{28A0092B-C50C-407E-A947-70E740481C1C}">
                          <a14:useLocalDpi xmlns:a14="http://schemas.microsoft.com/office/drawing/2010/main"/>
                        </a:ext>
                      </a:extLst>
                    </a:blip>
                    <a:srcRect l="7167" t="2160" r="-3600" b="44820"/>
                    <a:stretch/>
                  </pic:blipFill>
                  <pic:spPr bwMode="auto">
                    <a:xfrm>
                      <a:off x="0" y="0"/>
                      <a:ext cx="3647832" cy="3328149"/>
                    </a:xfrm>
                    <a:prstGeom prst="rect">
                      <a:avLst/>
                    </a:prstGeom>
                    <a:ln>
                      <a:noFill/>
                    </a:ln>
                    <a:extLst>
                      <a:ext uri="{53640926-AAD7-44D8-BBD7-CCE9431645EC}">
                        <a14:shadowObscured xmlns:a14="http://schemas.microsoft.com/office/drawing/2010/main"/>
                      </a:ext>
                    </a:extLst>
                  </pic:spPr>
                </pic:pic>
              </a:graphicData>
            </a:graphic>
          </wp:inline>
        </w:drawing>
      </w:r>
    </w:p>
    <w:p w14:paraId="2D5CD816" w14:textId="3AC36227" w:rsidR="00277E53" w:rsidRPr="0021550A" w:rsidRDefault="00277E53" w:rsidP="000737CB">
      <w:pPr>
        <w:pStyle w:val="Caption"/>
      </w:pPr>
      <w:bookmarkStart w:id="37" w:name="_Ref490474213"/>
      <w:bookmarkStart w:id="38" w:name="_Toc499753505"/>
      <w:r w:rsidRPr="0021550A">
        <w:t xml:space="preserve">Figure </w:t>
      </w:r>
      <w:r w:rsidR="00C5013D">
        <w:fldChar w:fldCharType="begin"/>
      </w:r>
      <w:r w:rsidR="00C5013D">
        <w:instrText xml:space="preserve"> STYLEREF 1 \s </w:instrText>
      </w:r>
      <w:r w:rsidR="00C5013D">
        <w:fldChar w:fldCharType="separate"/>
      </w:r>
      <w:r w:rsidR="00C5013D">
        <w:rPr>
          <w:noProof/>
        </w:rPr>
        <w:t>3</w:t>
      </w:r>
      <w:r w:rsidR="00C5013D">
        <w:fldChar w:fldCharType="end"/>
      </w:r>
      <w:r w:rsidR="00C5013D">
        <w:t>.</w:t>
      </w:r>
      <w:r w:rsidR="00C5013D">
        <w:fldChar w:fldCharType="begin"/>
      </w:r>
      <w:r w:rsidR="00C5013D">
        <w:instrText xml:space="preserve"> SEQ Figure \* ARABIC \s 1 </w:instrText>
      </w:r>
      <w:r w:rsidR="00C5013D">
        <w:fldChar w:fldCharType="separate"/>
      </w:r>
      <w:r w:rsidR="00C5013D">
        <w:rPr>
          <w:noProof/>
        </w:rPr>
        <w:t>1</w:t>
      </w:r>
      <w:r w:rsidR="00C5013D">
        <w:fldChar w:fldCharType="end"/>
      </w:r>
      <w:bookmarkEnd w:id="37"/>
      <w:r w:rsidRPr="0021550A">
        <w:t xml:space="preserve">: </w:t>
      </w:r>
      <w:r w:rsidR="00BA5810">
        <w:t>Physically</w:t>
      </w:r>
      <w:r w:rsidRPr="0021550A">
        <w:t xml:space="preserve"> justified </w:t>
      </w:r>
      <w:r w:rsidR="00BA5810">
        <w:t xml:space="preserve">text </w:t>
      </w:r>
      <w:r w:rsidRPr="0021550A">
        <w:t>i</w:t>
      </w:r>
      <w:r w:rsidR="00845460">
        <w:t xml:space="preserve">n Caxton’s </w:t>
      </w:r>
      <w:r w:rsidR="00845460">
        <w:rPr>
          <w:i/>
        </w:rPr>
        <w:t>Canterbury Tales</w:t>
      </w:r>
      <w:r w:rsidR="00845460">
        <w:t>, 2</w:t>
      </w:r>
      <w:r w:rsidR="00845460" w:rsidRPr="00845460">
        <w:rPr>
          <w:vertAlign w:val="superscript"/>
        </w:rPr>
        <w:t>nd</w:t>
      </w:r>
      <w:r w:rsidR="00845460">
        <w:t xml:space="preserve"> ed.</w:t>
      </w:r>
      <w:r w:rsidR="001547AF">
        <w:t xml:space="preserve">, </w:t>
      </w:r>
      <w:r w:rsidR="00E96A90">
        <w:t xml:space="preserve">p. </w:t>
      </w:r>
      <w:r w:rsidRPr="0021550A">
        <w:t>278</w:t>
      </w:r>
      <w:r w:rsidR="00E96A90" w:rsidRPr="00E96A90">
        <w:rPr>
          <w:vertAlign w:val="superscript"/>
        </w:rPr>
        <w:t>a</w:t>
      </w:r>
      <w:bookmarkEnd w:id="38"/>
    </w:p>
    <w:p w14:paraId="5DDA7E8B" w14:textId="77777777" w:rsidR="00277E53" w:rsidRPr="0021550A" w:rsidRDefault="00277E53" w:rsidP="000737CB"/>
    <w:p w14:paraId="29E87FBD" w14:textId="05717ED7" w:rsidR="00277E53" w:rsidRPr="0021550A" w:rsidRDefault="00277E53" w:rsidP="005E4E1A">
      <w:r w:rsidRPr="0021550A">
        <w:t xml:space="preserve">There are several things that can go wrong if the type is not properly justified, most of which involves the type coming apart. The first problem would occur when transferring the type onto the press. After the compositor has set out a page of type, the type is tightly pinned together in a frame known as the chase. Once the type is in the chase it can be transferred onto the press. If the type is not tightly justified, then it will fall out and the compositor will have to set the page again. Compositors were paid a wage on the basis of their setting a particular number of pages a day </w:t>
      </w:r>
      <w:r w:rsidR="000D5366">
        <w:t xml:space="preserve">(Gaskell 1972: </w:t>
      </w:r>
      <w:r w:rsidR="000D5366" w:rsidRPr="000D5366">
        <w:t>54)</w:t>
      </w:r>
      <w:r w:rsidRPr="0021550A">
        <w:t xml:space="preserve">, and so it would not be desirable to spend time setting the same page twice. If the compositor did manage to get a loosely justified piece of text onto the press, more problems could occur during printing. The ink used by printers was sticky. Ink was pressed onto the type with leather balls filled with sheep’s wool. Because of the stickiness of the ink, any loose type could be pulled out during inking. The result is known as “fallen type”: a piece of type that has fallen between the rest of the type and the paper. It causes the paper to tent slightly, leaving an impression of the piece of type surrounded by a loose halo in the final copy. Fallen type is rare in extant copies. Owing to the number of pages that a compositor was expected to </w:t>
      </w:r>
      <w:r w:rsidRPr="0021550A">
        <w:lastRenderedPageBreak/>
        <w:t>set in a day in order to receive payment, most compositors probably made sure that their work was tightly justified. When setting prose, this meant not only the effort of physically justifying the text, but the extra effort involved visually justifying it, too.</w:t>
      </w:r>
      <w:r w:rsidR="005E4E1A">
        <w:t xml:space="preserve"> </w:t>
      </w:r>
      <w:r w:rsidRPr="0021550A">
        <w:t xml:space="preserve">The visual effect of justification is achieved when the text is aligned to both the right and left margins during printing, an illustration for which is provided in </w:t>
      </w:r>
      <w:r w:rsidR="00E12429">
        <w:fldChar w:fldCharType="begin"/>
      </w:r>
      <w:r w:rsidR="00E12429">
        <w:instrText xml:space="preserve"> REF _Ref490475236 </w:instrText>
      </w:r>
      <w:r w:rsidR="00E12429">
        <w:fldChar w:fldCharType="separate"/>
      </w:r>
      <w:r w:rsidR="00D11844" w:rsidRPr="0021550A">
        <w:t xml:space="preserve">Figure </w:t>
      </w:r>
      <w:r w:rsidR="00D11844">
        <w:rPr>
          <w:noProof/>
        </w:rPr>
        <w:t>3</w:t>
      </w:r>
      <w:r w:rsidR="00D11844">
        <w:t>.</w:t>
      </w:r>
      <w:r w:rsidR="00D11844">
        <w:rPr>
          <w:noProof/>
        </w:rPr>
        <w:t>2</w:t>
      </w:r>
      <w:r w:rsidR="00E12429">
        <w:rPr>
          <w:noProof/>
        </w:rPr>
        <w:fldChar w:fldCharType="end"/>
      </w:r>
      <w:r w:rsidRPr="0021550A">
        <w:t>.</w:t>
      </w:r>
    </w:p>
    <w:p w14:paraId="6122D33E" w14:textId="76329BCD" w:rsidR="00277E53" w:rsidRPr="0021550A" w:rsidRDefault="00277E53" w:rsidP="005E4E1A">
      <w:pPr>
        <w:ind w:firstLine="0"/>
      </w:pPr>
      <w:r w:rsidRPr="0021550A">
        <w:rPr>
          <w:noProof/>
          <w:lang w:eastAsia="en-GB"/>
        </w:rPr>
        <w:drawing>
          <wp:inline distT="0" distB="0" distL="0" distR="0" wp14:anchorId="07397EE0" wp14:editId="43C51AE3">
            <wp:extent cx="3889948" cy="4535113"/>
            <wp:effectExtent l="0" t="0" r="0" b="1206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01.tif"/>
                    <pic:cNvPicPr/>
                  </pic:nvPicPr>
                  <pic:blipFill>
                    <a:blip r:embed="rId20">
                      <a:extLst>
                        <a:ext uri="{28A0092B-C50C-407E-A947-70E740481C1C}">
                          <a14:useLocalDpi xmlns:a14="http://schemas.microsoft.com/office/drawing/2010/main"/>
                        </a:ext>
                      </a:extLst>
                    </a:blip>
                    <a:stretch>
                      <a:fillRect/>
                    </a:stretch>
                  </pic:blipFill>
                  <pic:spPr>
                    <a:xfrm>
                      <a:off x="0" y="0"/>
                      <a:ext cx="4005303" cy="4669600"/>
                    </a:xfrm>
                    <a:prstGeom prst="rect">
                      <a:avLst/>
                    </a:prstGeom>
                  </pic:spPr>
                </pic:pic>
              </a:graphicData>
            </a:graphic>
          </wp:inline>
        </w:drawing>
      </w:r>
    </w:p>
    <w:p w14:paraId="100EE37E" w14:textId="630A5AD7" w:rsidR="00277E53" w:rsidRPr="0021550A" w:rsidRDefault="00277E53" w:rsidP="000737CB">
      <w:pPr>
        <w:pStyle w:val="Caption"/>
      </w:pPr>
      <w:bookmarkStart w:id="39" w:name="_Ref490475236"/>
      <w:bookmarkStart w:id="40" w:name="_Toc499753506"/>
      <w:r w:rsidRPr="0021550A">
        <w:t xml:space="preserve">Figure </w:t>
      </w:r>
      <w:r w:rsidR="00C5013D">
        <w:fldChar w:fldCharType="begin"/>
      </w:r>
      <w:r w:rsidR="00C5013D">
        <w:instrText xml:space="preserve"> STYLEREF 1 \s </w:instrText>
      </w:r>
      <w:r w:rsidR="00C5013D">
        <w:fldChar w:fldCharType="separate"/>
      </w:r>
      <w:r w:rsidR="00C5013D">
        <w:rPr>
          <w:noProof/>
        </w:rPr>
        <w:t>3</w:t>
      </w:r>
      <w:r w:rsidR="00C5013D">
        <w:fldChar w:fldCharType="end"/>
      </w:r>
      <w:r w:rsidR="00C5013D">
        <w:t>.</w:t>
      </w:r>
      <w:r w:rsidR="00C5013D">
        <w:fldChar w:fldCharType="begin"/>
      </w:r>
      <w:r w:rsidR="00C5013D">
        <w:instrText xml:space="preserve"> SEQ Figure \* ARABIC \s 1 </w:instrText>
      </w:r>
      <w:r w:rsidR="00C5013D">
        <w:fldChar w:fldCharType="separate"/>
      </w:r>
      <w:r w:rsidR="00C5013D">
        <w:rPr>
          <w:noProof/>
        </w:rPr>
        <w:t>2</w:t>
      </w:r>
      <w:r w:rsidR="00C5013D">
        <w:fldChar w:fldCharType="end"/>
      </w:r>
      <w:bookmarkEnd w:id="39"/>
      <w:r w:rsidRPr="0021550A">
        <w:t xml:space="preserve">: </w:t>
      </w:r>
      <w:r w:rsidR="00BA5810">
        <w:t>Visually</w:t>
      </w:r>
      <w:r w:rsidRPr="0021550A">
        <w:t xml:space="preserve"> justified </w:t>
      </w:r>
      <w:r w:rsidR="00845460">
        <w:t xml:space="preserve">text in Caxton’s </w:t>
      </w:r>
      <w:r w:rsidR="00845460">
        <w:rPr>
          <w:i/>
        </w:rPr>
        <w:t>Canterbury Tales</w:t>
      </w:r>
      <w:r w:rsidR="00845460">
        <w:t>, 2</w:t>
      </w:r>
      <w:r w:rsidR="00845460" w:rsidRPr="00845460">
        <w:rPr>
          <w:vertAlign w:val="superscript"/>
        </w:rPr>
        <w:t>nd</w:t>
      </w:r>
      <w:r w:rsidR="00845460">
        <w:t xml:space="preserve"> edn.</w:t>
      </w:r>
      <w:r w:rsidR="00BA5810">
        <w:t>, p.</w:t>
      </w:r>
      <w:r w:rsidRPr="0021550A">
        <w:t xml:space="preserve"> 291</w:t>
      </w:r>
      <w:r w:rsidR="00BA5810" w:rsidRPr="00BA5810">
        <w:rPr>
          <w:vertAlign w:val="superscript"/>
        </w:rPr>
        <w:t>a</w:t>
      </w:r>
      <w:bookmarkEnd w:id="40"/>
    </w:p>
    <w:p w14:paraId="263A16D1" w14:textId="77777777" w:rsidR="00277E53" w:rsidRPr="0021550A" w:rsidRDefault="00277E53" w:rsidP="000737CB">
      <w:pPr>
        <w:rPr>
          <w:rFonts w:cs="Courier New"/>
        </w:rPr>
      </w:pPr>
      <w:r w:rsidRPr="0021550A">
        <w:rPr>
          <w:lang w:eastAsia="zh-CN"/>
        </w:rPr>
        <w:t xml:space="preserve">                  </w:t>
      </w:r>
      <w:r w:rsidRPr="0021550A">
        <w:rPr>
          <w:lang w:eastAsia="zh-CN"/>
        </w:rPr>
        <w:tab/>
      </w:r>
    </w:p>
    <w:p w14:paraId="1D8A12B0" w14:textId="73D55C7D" w:rsidR="00277E53" w:rsidRPr="0021550A" w:rsidRDefault="00277E53" w:rsidP="000737CB">
      <w:r w:rsidRPr="0021550A">
        <w:t xml:space="preserve">In </w:t>
      </w:r>
      <w:r w:rsidR="00E12429">
        <w:fldChar w:fldCharType="begin"/>
      </w:r>
      <w:r w:rsidR="00E12429">
        <w:instrText xml:space="preserve"> REF _Ref490475236 </w:instrText>
      </w:r>
      <w:r w:rsidR="00E12429">
        <w:fldChar w:fldCharType="separate"/>
      </w:r>
      <w:r w:rsidR="00D11844" w:rsidRPr="0021550A">
        <w:t xml:space="preserve">Figure </w:t>
      </w:r>
      <w:r w:rsidR="00D11844">
        <w:rPr>
          <w:noProof/>
        </w:rPr>
        <w:t>3</w:t>
      </w:r>
      <w:r w:rsidR="00D11844">
        <w:t>.</w:t>
      </w:r>
      <w:r w:rsidR="00D11844">
        <w:rPr>
          <w:noProof/>
        </w:rPr>
        <w:t>2</w:t>
      </w:r>
      <w:r w:rsidR="00E12429">
        <w:rPr>
          <w:noProof/>
        </w:rPr>
        <w:fldChar w:fldCharType="end"/>
      </w:r>
      <w:r w:rsidRPr="0021550A">
        <w:t xml:space="preserve"> the text forms a rectangle that reflects the shape of the type used to print it. The type in </w:t>
      </w:r>
      <w:r w:rsidR="00E12429">
        <w:fldChar w:fldCharType="begin"/>
      </w:r>
      <w:r w:rsidR="00E12429">
        <w:instrText xml:space="preserve"> REF _Ref490475236 </w:instrText>
      </w:r>
      <w:r w:rsidR="00E12429">
        <w:fldChar w:fldCharType="separate"/>
      </w:r>
      <w:r w:rsidR="00D11844" w:rsidRPr="0021550A">
        <w:t xml:space="preserve">Figure </w:t>
      </w:r>
      <w:r w:rsidR="00D11844">
        <w:rPr>
          <w:noProof/>
        </w:rPr>
        <w:t>3</w:t>
      </w:r>
      <w:r w:rsidR="00D11844">
        <w:t>.</w:t>
      </w:r>
      <w:r w:rsidR="00D11844">
        <w:rPr>
          <w:noProof/>
        </w:rPr>
        <w:t>2</w:t>
      </w:r>
      <w:r w:rsidR="00E12429">
        <w:rPr>
          <w:noProof/>
        </w:rPr>
        <w:fldChar w:fldCharType="end"/>
      </w:r>
      <w:r w:rsidRPr="0021550A">
        <w:t xml:space="preserve"> has been physically justified and the text appears visually justified. In comparison, the text in </w:t>
      </w:r>
      <w:r w:rsidR="00E12429">
        <w:fldChar w:fldCharType="begin"/>
      </w:r>
      <w:r w:rsidR="00E12429">
        <w:instrText xml:space="preserve"> REF _Ref490474213 </w:instrText>
      </w:r>
      <w:r w:rsidR="00E12429">
        <w:fldChar w:fldCharType="separate"/>
      </w:r>
      <w:r w:rsidR="00D11844" w:rsidRPr="0021550A">
        <w:t xml:space="preserve">Figure </w:t>
      </w:r>
      <w:r w:rsidR="00D11844">
        <w:rPr>
          <w:noProof/>
        </w:rPr>
        <w:t>3</w:t>
      </w:r>
      <w:r w:rsidR="00D11844">
        <w:t>.</w:t>
      </w:r>
      <w:r w:rsidR="00D11844">
        <w:rPr>
          <w:noProof/>
        </w:rPr>
        <w:t>1</w:t>
      </w:r>
      <w:r w:rsidR="00E12429">
        <w:rPr>
          <w:noProof/>
        </w:rPr>
        <w:fldChar w:fldCharType="end"/>
      </w:r>
      <w:r w:rsidRPr="0021550A">
        <w:t xml:space="preserve"> is not visually justified, but the type will still have been physically justified. Though the text stops midway across the printed area, the </w:t>
      </w:r>
      <w:r w:rsidR="000D5366" w:rsidRPr="0021550A">
        <w:t>right-hand</w:t>
      </w:r>
      <w:r w:rsidRPr="0021550A">
        <w:t xml:space="preserve"> side of each line will be filled with spaces in order that the type still exactly fills the chase. These figures demonstrate that while visual justification is the appearance of the text, the process of physical justification is </w:t>
      </w:r>
      <w:r w:rsidR="000D5366">
        <w:t xml:space="preserve">always undertaken in printing. </w:t>
      </w:r>
    </w:p>
    <w:p w14:paraId="54FBBDB5" w14:textId="6AC5110D" w:rsidR="00277E53" w:rsidRPr="0021550A" w:rsidRDefault="00277E53" w:rsidP="000737CB">
      <w:r w:rsidRPr="0021550A">
        <w:t xml:space="preserve">Visual justification is difficult to achieve without some alteration to the text or the spacing between text, which is the source of scholarly belief that early compositors altered the spellings in their copy text. Printers used spacing of different widths to fill any surplus </w:t>
      </w:r>
      <w:r w:rsidRPr="0021550A">
        <w:lastRenderedPageBreak/>
        <w:t>space, to ensure the type is tightly wedged into the chase. Where one space would not fill the gap, a combination of spaces was used.</w:t>
      </w:r>
    </w:p>
    <w:p w14:paraId="58A9A570" w14:textId="77777777" w:rsidR="00277E53" w:rsidRPr="0021550A" w:rsidRDefault="00277E53" w:rsidP="000737CB"/>
    <w:p w14:paraId="7F3CADF9" w14:textId="25B82C76" w:rsidR="00277E53" w:rsidRPr="0021550A" w:rsidRDefault="00277E53" w:rsidP="005E4E1A">
      <w:pPr>
        <w:ind w:firstLine="0"/>
      </w:pPr>
      <w:r w:rsidRPr="0021550A">
        <w:rPr>
          <w:noProof/>
          <w:lang w:eastAsia="en-GB"/>
        </w:rPr>
        <w:drawing>
          <wp:inline distT="0" distB="0" distL="0" distR="0" wp14:anchorId="7BA54330" wp14:editId="0E0F88A5">
            <wp:extent cx="4092315" cy="943438"/>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ure03.tif"/>
                    <pic:cNvPicPr/>
                  </pic:nvPicPr>
                  <pic:blipFill>
                    <a:blip r:embed="rId21">
                      <a:extLst>
                        <a:ext uri="{28A0092B-C50C-407E-A947-70E740481C1C}">
                          <a14:useLocalDpi xmlns:a14="http://schemas.microsoft.com/office/drawing/2010/main"/>
                        </a:ext>
                      </a:extLst>
                    </a:blip>
                    <a:stretch>
                      <a:fillRect/>
                    </a:stretch>
                  </pic:blipFill>
                  <pic:spPr>
                    <a:xfrm>
                      <a:off x="0" y="0"/>
                      <a:ext cx="4222175" cy="973376"/>
                    </a:xfrm>
                    <a:prstGeom prst="rect">
                      <a:avLst/>
                    </a:prstGeom>
                  </pic:spPr>
                </pic:pic>
              </a:graphicData>
            </a:graphic>
          </wp:inline>
        </w:drawing>
      </w:r>
    </w:p>
    <w:p w14:paraId="55EB2610" w14:textId="12AD647F" w:rsidR="00277E53" w:rsidRPr="0021550A" w:rsidRDefault="00277E53" w:rsidP="000737CB">
      <w:pPr>
        <w:pStyle w:val="Caption"/>
      </w:pPr>
      <w:bookmarkStart w:id="41" w:name="_Ref442882739"/>
      <w:bookmarkStart w:id="42" w:name="_Toc443641627"/>
      <w:bookmarkStart w:id="43" w:name="_Toc499753507"/>
      <w:r w:rsidRPr="0021550A">
        <w:t xml:space="preserve">Figure </w:t>
      </w:r>
      <w:r w:rsidR="00C5013D">
        <w:fldChar w:fldCharType="begin"/>
      </w:r>
      <w:r w:rsidR="00C5013D">
        <w:instrText xml:space="preserve"> STYLEREF 1 \s </w:instrText>
      </w:r>
      <w:r w:rsidR="00C5013D">
        <w:fldChar w:fldCharType="separate"/>
      </w:r>
      <w:r w:rsidR="00C5013D">
        <w:rPr>
          <w:noProof/>
        </w:rPr>
        <w:t>3</w:t>
      </w:r>
      <w:r w:rsidR="00C5013D">
        <w:fldChar w:fldCharType="end"/>
      </w:r>
      <w:r w:rsidR="00C5013D">
        <w:t>.</w:t>
      </w:r>
      <w:r w:rsidR="00C5013D">
        <w:fldChar w:fldCharType="begin"/>
      </w:r>
      <w:r w:rsidR="00C5013D">
        <w:instrText xml:space="preserve"> SEQ Figure \* ARABIC \s 1 </w:instrText>
      </w:r>
      <w:r w:rsidR="00C5013D">
        <w:fldChar w:fldCharType="separate"/>
      </w:r>
      <w:r w:rsidR="00C5013D">
        <w:rPr>
          <w:noProof/>
        </w:rPr>
        <w:t>3</w:t>
      </w:r>
      <w:r w:rsidR="00C5013D">
        <w:fldChar w:fldCharType="end"/>
      </w:r>
      <w:bookmarkEnd w:id="41"/>
      <w:r w:rsidRPr="0021550A">
        <w:t xml:space="preserve">: Rising space in Pynson’s </w:t>
      </w:r>
      <w:r w:rsidRPr="005E4E1A">
        <w:rPr>
          <w:i/>
        </w:rPr>
        <w:t>Reynard</w:t>
      </w:r>
      <w:r w:rsidR="00506EC1">
        <w:rPr>
          <w:i/>
        </w:rPr>
        <w:t xml:space="preserve"> the Fox</w:t>
      </w:r>
      <w:r w:rsidR="000D5366">
        <w:t>, p. 1</w:t>
      </w:r>
      <w:r w:rsidR="000D5366" w:rsidRPr="000D5366">
        <w:rPr>
          <w:vertAlign w:val="superscript"/>
        </w:rPr>
        <w:t>a</w:t>
      </w:r>
      <w:r w:rsidRPr="0021550A">
        <w:t xml:space="preserve"> line 20</w:t>
      </w:r>
      <w:bookmarkEnd w:id="42"/>
      <w:bookmarkEnd w:id="43"/>
    </w:p>
    <w:p w14:paraId="3920105A" w14:textId="77777777" w:rsidR="00277E53" w:rsidRPr="0021550A" w:rsidRDefault="00277E53" w:rsidP="000737CB"/>
    <w:p w14:paraId="1E200CB0" w14:textId="719003E4" w:rsidR="00277E53" w:rsidRPr="0021550A" w:rsidRDefault="00277E53" w:rsidP="000737CB">
      <w:r w:rsidRPr="0021550A">
        <w:t xml:space="preserve">In </w:t>
      </w:r>
      <w:r w:rsidR="00AE3C75">
        <w:fldChar w:fldCharType="begin"/>
      </w:r>
      <w:r w:rsidR="00AE3C75">
        <w:instrText xml:space="preserve"> REF _Ref442882739  \* MERGEFORMAT </w:instrText>
      </w:r>
      <w:r w:rsidR="00AE3C75">
        <w:fldChar w:fldCharType="separate"/>
      </w:r>
      <w:r w:rsidR="00D11844" w:rsidRPr="0021550A">
        <w:t xml:space="preserve">Figure </w:t>
      </w:r>
      <w:r w:rsidR="00D11844">
        <w:t>3.3</w:t>
      </w:r>
      <w:r w:rsidR="00AE3C75">
        <w:fldChar w:fldCharType="end"/>
      </w:r>
      <w:r w:rsidRPr="0021550A">
        <w:t xml:space="preserve"> between the words </w:t>
      </w:r>
      <w:r w:rsidRPr="0021550A">
        <w:rPr>
          <w:i/>
          <w:iCs/>
        </w:rPr>
        <w:t xml:space="preserve">that </w:t>
      </w:r>
      <w:r w:rsidRPr="0021550A">
        <w:t xml:space="preserve">and </w:t>
      </w:r>
      <w:r w:rsidRPr="0021550A">
        <w:rPr>
          <w:i/>
          <w:iCs/>
        </w:rPr>
        <w:t>man</w:t>
      </w:r>
      <w:r w:rsidRPr="0021550A">
        <w:t>,</w:t>
      </w:r>
      <w:r w:rsidRPr="0021550A">
        <w:rPr>
          <w:i/>
          <w:iCs/>
        </w:rPr>
        <w:t xml:space="preserve"> </w:t>
      </w:r>
      <w:r w:rsidRPr="0021550A">
        <w:t xml:space="preserve">two spaces have been inserted. However, the type has not been justified tightly enough and so one of the two spaces between the words has risen up high enough as to be inked and make an impression on the page during printing. The printer would not choose to use two spaces unless necessary: for each fount of type there would have been cast one size of space that was considered the ideal width between words. This ideal space would be used between words unless the compositor needed to alter the spacing when the line did not justify. In </w:t>
      </w:r>
      <w:r w:rsidR="00AE3C75">
        <w:fldChar w:fldCharType="begin"/>
      </w:r>
      <w:r w:rsidR="00AE3C75">
        <w:instrText xml:space="preserve"> REF _Ref442882739  \* MERGEFORMAT </w:instrText>
      </w:r>
      <w:r w:rsidR="00AE3C75">
        <w:fldChar w:fldCharType="separate"/>
      </w:r>
      <w:r w:rsidR="00D11844" w:rsidRPr="0021550A">
        <w:t xml:space="preserve">Figure </w:t>
      </w:r>
      <w:r w:rsidR="00D11844">
        <w:t>3.3</w:t>
      </w:r>
      <w:r w:rsidR="00AE3C75">
        <w:fldChar w:fldCharType="end"/>
      </w:r>
      <w:r w:rsidRPr="0021550A">
        <w:t xml:space="preserve">, either the original space was doubled, or the original was taken out and replaced by two thinner spaces which together were thicker than the original. This process of swapping the different spaces, and combining them </w:t>
      </w:r>
      <w:r w:rsidR="00C72B54" w:rsidRPr="0021550A">
        <w:t>to</w:t>
      </w:r>
      <w:r w:rsidRPr="0021550A">
        <w:t xml:space="preserve"> create a series of spaces of different widths would have been repeated throughout the text. </w:t>
      </w:r>
    </w:p>
    <w:p w14:paraId="4E93740F" w14:textId="53CC471E" w:rsidR="00277E53" w:rsidRPr="0021550A" w:rsidRDefault="00277E53" w:rsidP="000737CB">
      <w:r w:rsidRPr="0021550A">
        <w:t xml:space="preserve">What is of </w:t>
      </w:r>
      <w:r w:rsidR="00C72B54" w:rsidRPr="0021550A">
        <w:t>relevance</w:t>
      </w:r>
      <w:r w:rsidRPr="0021550A">
        <w:t xml:space="preserve"> to this study</w:t>
      </w:r>
      <w:r w:rsidRPr="0021550A">
        <w:rPr>
          <w:i/>
        </w:rPr>
        <w:t xml:space="preserve"> </w:t>
      </w:r>
      <w:r w:rsidRPr="0021550A">
        <w:t xml:space="preserve">is </w:t>
      </w:r>
      <w:r w:rsidR="00C72B54">
        <w:t>the location on the page that</w:t>
      </w:r>
      <w:r w:rsidRPr="0021550A">
        <w:t xml:space="preserve"> additional spacing is used. In text that aligns only to the left, any extra spacing is inserted to the right of the line (c.f. </w:t>
      </w:r>
      <w:r w:rsidR="00E12429">
        <w:fldChar w:fldCharType="begin"/>
      </w:r>
      <w:r w:rsidR="00E12429">
        <w:instrText xml:space="preserve"> REF _Ref490474213 </w:instrText>
      </w:r>
      <w:r w:rsidR="00E12429">
        <w:fldChar w:fldCharType="separate"/>
      </w:r>
      <w:r w:rsidR="00D11844" w:rsidRPr="0021550A">
        <w:t xml:space="preserve">Figure </w:t>
      </w:r>
      <w:r w:rsidR="00D11844">
        <w:rPr>
          <w:noProof/>
        </w:rPr>
        <w:t>3</w:t>
      </w:r>
      <w:r w:rsidR="00D11844">
        <w:t>.</w:t>
      </w:r>
      <w:r w:rsidR="00D11844">
        <w:rPr>
          <w:noProof/>
        </w:rPr>
        <w:t>1</w:t>
      </w:r>
      <w:r w:rsidR="00E12429">
        <w:rPr>
          <w:noProof/>
        </w:rPr>
        <w:fldChar w:fldCharType="end"/>
      </w:r>
      <w:r w:rsidRPr="0021550A">
        <w:t xml:space="preserve">, above), and the spacing between words remains the same. The extra spacing ensures that the type </w:t>
      </w:r>
      <w:r w:rsidR="00C72B54" w:rsidRPr="0021550A">
        <w:t>fits</w:t>
      </w:r>
      <w:r w:rsidRPr="0021550A">
        <w:t xml:space="preserve"> perfectly into the rectangle of the chase. However, where the text is visually justified, the spacing that would otherwise have been inserted to the right must be evenly distributed through the line, so that the </w:t>
      </w:r>
      <w:r w:rsidRPr="0021550A">
        <w:rPr>
          <w:iCs/>
        </w:rPr>
        <w:t>text</w:t>
      </w:r>
      <w:r w:rsidRPr="0021550A">
        <w:t xml:space="preserve"> appears as a rectangle on the page, as in </w:t>
      </w:r>
      <w:r w:rsidR="00E12429">
        <w:fldChar w:fldCharType="begin"/>
      </w:r>
      <w:r w:rsidR="00E12429">
        <w:instrText xml:space="preserve"> REF _Ref490475236 </w:instrText>
      </w:r>
      <w:r w:rsidR="00E12429">
        <w:fldChar w:fldCharType="separate"/>
      </w:r>
      <w:r w:rsidR="00D11844" w:rsidRPr="0021550A">
        <w:t xml:space="preserve">Figure </w:t>
      </w:r>
      <w:r w:rsidR="00D11844">
        <w:rPr>
          <w:noProof/>
        </w:rPr>
        <w:t>3</w:t>
      </w:r>
      <w:r w:rsidR="00D11844">
        <w:t>.</w:t>
      </w:r>
      <w:r w:rsidR="00D11844">
        <w:rPr>
          <w:noProof/>
        </w:rPr>
        <w:t>2</w:t>
      </w:r>
      <w:r w:rsidR="00E12429">
        <w:rPr>
          <w:noProof/>
        </w:rPr>
        <w:fldChar w:fldCharType="end"/>
      </w:r>
      <w:r w:rsidRPr="0021550A">
        <w:t xml:space="preserve">, above. One way to </w:t>
      </w:r>
      <w:r w:rsidR="003607C4">
        <w:t>distribute spacing throughout the line</w:t>
      </w:r>
      <w:r w:rsidRPr="0021550A">
        <w:t xml:space="preserve"> is </w:t>
      </w:r>
      <w:r w:rsidR="003607C4">
        <w:t>by</w:t>
      </w:r>
      <w:r w:rsidRPr="0021550A">
        <w:t xml:space="preserve"> increasing the spacing between words. Increasing the spacing between words is a delicate operation—the spacing needs to be expanded enough so that the line fills the width of the printed area, but not so much as to create noticeably wide gaps between words. This procedure makes justification harder to achieve in text that aligns both to the right and left, and scholarly speculation suggests that printers altered spelling </w:t>
      </w:r>
      <w:r w:rsidR="00C72B54" w:rsidRPr="0021550A">
        <w:t>to</w:t>
      </w:r>
      <w:r w:rsidRPr="0021550A">
        <w:t xml:space="preserve"> achieve visual justification:</w:t>
      </w:r>
    </w:p>
    <w:p w14:paraId="09D83F2A" w14:textId="77777777" w:rsidR="00277E53" w:rsidRDefault="00277E53" w:rsidP="000737CB"/>
    <w:p w14:paraId="525F1C45" w14:textId="1BA36A29" w:rsidR="00506EC1" w:rsidRDefault="00506EC1" w:rsidP="000737CB"/>
    <w:p w14:paraId="0568AC37" w14:textId="77777777" w:rsidR="00506EC1" w:rsidRDefault="00506EC1" w:rsidP="000737CB"/>
    <w:p w14:paraId="47FBEE52" w14:textId="5140B4C4" w:rsidR="00277E53" w:rsidRPr="0021550A" w:rsidRDefault="00277E53" w:rsidP="005E4E1A">
      <w:pPr>
        <w:spacing w:line="240" w:lineRule="auto"/>
        <w:ind w:left="720" w:firstLine="0"/>
      </w:pPr>
      <w:r w:rsidRPr="0021550A">
        <w:lastRenderedPageBreak/>
        <w:t>So long as such spelling variants were acceptable in printing, compositors used them as an aid to justification. Thus our man might set 'doe' according to his usual practice and then, finding that his line was . . . too long for the measure, change 'doe' to 'do' by discarding the e, rather than go to the greater trouble of throwing out sp</w:t>
      </w:r>
      <w:r w:rsidR="003607C4">
        <w:t>aces and finding thinner ones.</w:t>
      </w:r>
    </w:p>
    <w:p w14:paraId="45BA131D" w14:textId="1F551A9F" w:rsidR="00277E53" w:rsidRDefault="003607C4" w:rsidP="003607C4">
      <w:pPr>
        <w:spacing w:line="240" w:lineRule="auto"/>
        <w:jc w:val="right"/>
      </w:pPr>
      <w:r>
        <w:t>(Gaskell 1972:</w:t>
      </w:r>
      <w:r w:rsidRPr="003607C4">
        <w:t xml:space="preserve"> 345)</w:t>
      </w:r>
    </w:p>
    <w:p w14:paraId="1EFEA472" w14:textId="77777777" w:rsidR="003607C4" w:rsidRPr="0021550A" w:rsidRDefault="003607C4" w:rsidP="005E4E1A">
      <w:pPr>
        <w:spacing w:line="240" w:lineRule="auto"/>
      </w:pPr>
    </w:p>
    <w:p w14:paraId="0E7C2657" w14:textId="0DF3B813" w:rsidR="00277E53" w:rsidRPr="0021550A" w:rsidRDefault="00277E53" w:rsidP="005E4E1A">
      <w:pPr>
        <w:spacing w:line="240" w:lineRule="auto"/>
        <w:ind w:left="720" w:firstLine="0"/>
      </w:pPr>
      <w:r w:rsidRPr="0021550A">
        <w:t xml:space="preserve">The actual sequence of typesetting dictated the points at which the compositors would have to conform to limits of space . . . the compositor could change spelling or vocabulary, but </w:t>
      </w:r>
      <w:r w:rsidR="003607C4">
        <w:t>he could also add or omit text.</w:t>
      </w:r>
    </w:p>
    <w:p w14:paraId="2835E856" w14:textId="6DAC0F04" w:rsidR="00277E53" w:rsidRDefault="003607C4" w:rsidP="003607C4">
      <w:pPr>
        <w:spacing w:line="240" w:lineRule="auto"/>
        <w:jc w:val="right"/>
      </w:pPr>
      <w:r>
        <w:t xml:space="preserve">(Hellinga 1983: </w:t>
      </w:r>
      <w:r w:rsidRPr="0021550A">
        <w:t>5</w:t>
      </w:r>
      <w:r>
        <w:t>)</w:t>
      </w:r>
    </w:p>
    <w:p w14:paraId="69706A4A" w14:textId="77777777" w:rsidR="003607C4" w:rsidRPr="0021550A" w:rsidRDefault="003607C4" w:rsidP="005E4E1A">
      <w:pPr>
        <w:spacing w:line="240" w:lineRule="auto"/>
      </w:pPr>
    </w:p>
    <w:p w14:paraId="371EED8E" w14:textId="041AAE98" w:rsidR="00277E53" w:rsidRPr="0021550A" w:rsidRDefault="00277E53" w:rsidP="005E4E1A">
      <w:pPr>
        <w:spacing w:line="240" w:lineRule="auto"/>
        <w:ind w:left="720" w:firstLine="0"/>
      </w:pPr>
      <w:r w:rsidRPr="0021550A">
        <w:t xml:space="preserve">There were also numerous ways in which a scribe could reduce or expand his language, and many of these ways were available to the compositor as well. The most common was to use or alternatively to expand abbreviations . . . It was possible to vary the spelling of words in many languages so that they become longer or shorter. In English the addition or omission of final -e and the spelling of words ending in a single consonant with a double consonant with e to give the variants </w:t>
      </w:r>
      <w:r w:rsidRPr="0021550A">
        <w:rPr>
          <w:i/>
          <w:iCs/>
        </w:rPr>
        <w:t>ship</w:t>
      </w:r>
      <w:r w:rsidRPr="0021550A">
        <w:t xml:space="preserve"> : </w:t>
      </w:r>
      <w:r w:rsidRPr="0021550A">
        <w:rPr>
          <w:i/>
          <w:iCs/>
        </w:rPr>
        <w:t>shippe</w:t>
      </w:r>
      <w:r w:rsidR="003607C4">
        <w:t xml:space="preserve"> are well known.</w:t>
      </w:r>
    </w:p>
    <w:p w14:paraId="388C30E9" w14:textId="226A8A38" w:rsidR="00277E53" w:rsidRPr="0021550A" w:rsidRDefault="003607C4" w:rsidP="003607C4">
      <w:pPr>
        <w:spacing w:line="240" w:lineRule="auto"/>
        <w:jc w:val="right"/>
      </w:pPr>
      <w:r>
        <w:t>(Blake</w:t>
      </w:r>
      <w:r w:rsidR="00613EF3">
        <w:t xml:space="preserve"> </w:t>
      </w:r>
      <w:r>
        <w:t>1989: 409)</w:t>
      </w:r>
    </w:p>
    <w:p w14:paraId="753D29B1" w14:textId="77777777" w:rsidR="00277E53" w:rsidRPr="0021550A" w:rsidRDefault="00277E53" w:rsidP="000737CB"/>
    <w:p w14:paraId="46755D57" w14:textId="5897C4B7" w:rsidR="00277E53" w:rsidRPr="0021550A" w:rsidRDefault="00277E53" w:rsidP="000737CB">
      <w:r w:rsidRPr="0021550A">
        <w:t xml:space="preserve">There is, however, no empirical investigation </w:t>
      </w:r>
      <w:r w:rsidR="00C72B54">
        <w:t>into</w:t>
      </w:r>
      <w:r w:rsidRPr="0021550A">
        <w:t xml:space="preserve"> whether fifteenth-century printers did alter spellings for the sake of justifying their texts. It seems likely that scholarly opinion has been influenced by John Hart’s statement in 1569, in which he argued that spellings deviated from the copy text “onely to fill vp the paper in writing : or the Compositors line in printing : to make a garnishing or furnishing therof with superfluous letters” </w:t>
      </w:r>
      <w:r w:rsidR="000E23A6" w:rsidRPr="000E23A6">
        <w:t>(1569:</w:t>
      </w:r>
      <w:r w:rsidR="000E23A6">
        <w:t xml:space="preserve"> </w:t>
      </w:r>
      <w:r w:rsidR="000E23A6" w:rsidRPr="000E23A6">
        <w:t>15</w:t>
      </w:r>
      <w:r w:rsidR="000E23A6" w:rsidRPr="000E23A6">
        <w:rPr>
          <w:vertAlign w:val="superscript"/>
        </w:rPr>
        <w:t>a</w:t>
      </w:r>
      <w:r w:rsidR="000E23A6" w:rsidRPr="000E23A6">
        <w:t>)</w:t>
      </w:r>
      <w:r w:rsidRPr="0021550A">
        <w:t>. Hart’s supposition might not have been correct—instead of changing spellings to fit type on the composing stick, the changes could result from the compositor introducing his own spellings into the copy. Yet, Hart’s assertions have been used to argue that compositors altered spellings for the sake of justification in the fifteenth century</w:t>
      </w:r>
      <w:r w:rsidR="000E23A6" w:rsidRPr="000E23A6">
        <w:t xml:space="preserve"> (Salmon 2000:</w:t>
      </w:r>
      <w:r w:rsidR="00BA5810">
        <w:t xml:space="preserve"> </w:t>
      </w:r>
      <w:r w:rsidR="000E23A6" w:rsidRPr="000E23A6">
        <w:t>19)</w:t>
      </w:r>
      <w:r w:rsidRPr="0021550A">
        <w:t>. In the following section, I explain how I investigated the question of whether compositorial spelling changes were made to justify their lines, or were representative of normal spelling variation in English at this time.</w:t>
      </w:r>
    </w:p>
    <w:p w14:paraId="1F8ABE21" w14:textId="77777777" w:rsidR="00277E53" w:rsidRPr="0021550A" w:rsidRDefault="00277E53" w:rsidP="000737CB"/>
    <w:p w14:paraId="28ACC491" w14:textId="179CCA19" w:rsidR="00277E53" w:rsidRPr="0021550A" w:rsidRDefault="00277E53" w:rsidP="000737CB">
      <w:pPr>
        <w:pStyle w:val="Heading2"/>
      </w:pPr>
      <w:bookmarkStart w:id="44" w:name="_Ref492907189"/>
      <w:bookmarkStart w:id="45" w:name="_Toc497899844"/>
      <w:r w:rsidRPr="0021550A">
        <w:t>Method of analysis</w:t>
      </w:r>
      <w:bookmarkEnd w:id="44"/>
      <w:bookmarkEnd w:id="45"/>
      <w:r w:rsidRPr="0021550A">
        <w:t xml:space="preserve"> </w:t>
      </w:r>
    </w:p>
    <w:p w14:paraId="4EEB99AE" w14:textId="65A2CA38" w:rsidR="00277E53" w:rsidRPr="0021550A" w:rsidRDefault="00277E53" w:rsidP="000E23A6">
      <w:r w:rsidRPr="0021550A">
        <w:t>The difficulty in this research has been differentiating among types of orthographic change—this study aims to examine any changes the compositors made to make their type fit on their composing stick.</w:t>
      </w:r>
      <w:r w:rsidR="00C844B3">
        <w:t xml:space="preserve"> This section discusses the choice of texts selected for analysis in this chapter, and provides detail on the methods used for analysis.</w:t>
      </w:r>
      <w:r w:rsidRPr="0021550A">
        <w:t xml:space="preserve"> </w:t>
      </w:r>
      <w:bookmarkStart w:id="46" w:name="_GoBack"/>
      <w:bookmarkEnd w:id="46"/>
    </w:p>
    <w:p w14:paraId="3F7380DA" w14:textId="77777777" w:rsidR="00277E53" w:rsidRPr="0021550A" w:rsidRDefault="00277E53" w:rsidP="000737CB"/>
    <w:p w14:paraId="4D230077" w14:textId="77777777" w:rsidR="00277E53" w:rsidRPr="0021550A" w:rsidRDefault="00277E53" w:rsidP="000737CB">
      <w:pPr>
        <w:pStyle w:val="Heading3"/>
      </w:pPr>
      <w:r w:rsidRPr="0021550A">
        <w:t xml:space="preserve">Caxton’s two editions of the </w:t>
      </w:r>
      <w:r w:rsidRPr="005E4E1A">
        <w:rPr>
          <w:i/>
        </w:rPr>
        <w:t>Canterbury Tales</w:t>
      </w:r>
    </w:p>
    <w:p w14:paraId="68FAEA9C" w14:textId="6814F859" w:rsidR="00277E53" w:rsidRPr="0021550A" w:rsidRDefault="00277E53" w:rsidP="000737CB">
      <w:r w:rsidRPr="0021550A">
        <w:lastRenderedPageBreak/>
        <w:t xml:space="preserve">This study focuses </w:t>
      </w:r>
      <w:r w:rsidR="000E23A6" w:rsidRPr="0021550A">
        <w:t>on Caxton’s</w:t>
      </w:r>
      <w:r w:rsidRPr="0021550A">
        <w:t xml:space="preserve"> two editions of Chaucer’s </w:t>
      </w:r>
      <w:r w:rsidRPr="0021550A">
        <w:rPr>
          <w:i/>
          <w:iCs/>
        </w:rPr>
        <w:t>Canterbury Tales</w:t>
      </w:r>
      <w:r w:rsidR="00613EF3">
        <w:rPr>
          <w:iCs/>
        </w:rPr>
        <w:t xml:space="preserve"> (1477,</w:t>
      </w:r>
      <w:r w:rsidR="00FB74D5">
        <w:rPr>
          <w:iCs/>
        </w:rPr>
        <w:t xml:space="preserve"> 1483)</w:t>
      </w:r>
      <w:r w:rsidR="00613EF3">
        <w:t xml:space="preserve"> and includes</w:t>
      </w:r>
      <w:r w:rsidRPr="0021550A">
        <w:t xml:space="preserve"> supporting analysis from two editions of </w:t>
      </w:r>
      <w:r w:rsidRPr="0021550A">
        <w:rPr>
          <w:i/>
        </w:rPr>
        <w:t>Reynard the Fox</w:t>
      </w:r>
      <w:r w:rsidR="00C72B54">
        <w:t>:</w:t>
      </w:r>
      <w:r w:rsidRPr="0021550A">
        <w:t xml:space="preserve"> Caxton’s first edition</w:t>
      </w:r>
      <w:r w:rsidR="000E23A6">
        <w:t xml:space="preserve"> from 1481</w:t>
      </w:r>
      <w:r w:rsidRPr="0021550A">
        <w:t xml:space="preserve"> and an edition printed by Richard Pynson</w:t>
      </w:r>
      <w:r w:rsidR="000E23A6">
        <w:t xml:space="preserve"> from 1494</w:t>
      </w:r>
      <w:r w:rsidRPr="0021550A">
        <w:t xml:space="preserve">. Caxton’s second edition of the </w:t>
      </w:r>
      <w:r w:rsidRPr="0021550A">
        <w:rPr>
          <w:i/>
          <w:iCs/>
        </w:rPr>
        <w:t>Canterbury Tales</w:t>
      </w:r>
      <w:r w:rsidRPr="0021550A">
        <w:t xml:space="preserve"> is ideal for this study because it enables us to separate these three different sets of spellings from one another, so that we can focus our attention on isolating any spellings changed for the sake of justification. Caxton’s first edition of the </w:t>
      </w:r>
      <w:r w:rsidRPr="0021550A">
        <w:rPr>
          <w:i/>
          <w:iCs/>
        </w:rPr>
        <w:t>Canterbury Tales</w:t>
      </w:r>
      <w:r w:rsidRPr="0021550A">
        <w:t xml:space="preserve"> (Cx1) was used as the copy text for his second edition (Cx2), with alterations made in line with an unidentified manuscript copy </w:t>
      </w:r>
      <w:r w:rsidR="00613EF3">
        <w:t>(</w:t>
      </w:r>
      <w:r w:rsidR="00613EF3" w:rsidRPr="000E23A6">
        <w:t>Bordalejo 2005</w:t>
      </w:r>
      <w:r w:rsidR="00613EF3">
        <w:t>, Hellinga &amp; Painter 2007</w:t>
      </w:r>
      <w:r w:rsidR="000E23A6" w:rsidRPr="000E23A6">
        <w:t>)</w:t>
      </w:r>
      <w:r w:rsidRPr="0021550A">
        <w:t xml:space="preserve">. Most of the text in Cx2 is the same as Cx1, though 277 lines were added and 89 removed. Changes to spelling were not likely to have been made while the copy text was with the master </w:t>
      </w:r>
      <w:r w:rsidR="00C72B54">
        <w:t>printer</w:t>
      </w:r>
      <w:r w:rsidRPr="0021550A">
        <w:t>; instead, it is more likely that spellings were altered by the compositor when setting the type</w:t>
      </w:r>
      <w:r w:rsidR="000E23A6">
        <w:t xml:space="preserve"> </w:t>
      </w:r>
      <w:r w:rsidR="000E23A6" w:rsidRPr="000E23A6">
        <w:t>(Bordalejo 2014).</w:t>
      </w:r>
    </w:p>
    <w:p w14:paraId="7D074067" w14:textId="5B00ECBE" w:rsidR="00277E53" w:rsidRDefault="00277E53" w:rsidP="000737CB">
      <w:r w:rsidRPr="0021550A">
        <w:t xml:space="preserve">Caxton’s second edition of the </w:t>
      </w:r>
      <w:r w:rsidRPr="0021550A">
        <w:rPr>
          <w:i/>
        </w:rPr>
        <w:t>Canterbury Tales</w:t>
      </w:r>
      <w:r w:rsidRPr="0021550A">
        <w:t xml:space="preserve"> is also suitable for this study because it is not a page-for-page reprint of the first edition. In some cases, Caxton had second editions of texts created from his earlier editions, in which case the same size paper and the same typeface would be used</w:t>
      </w:r>
      <w:r w:rsidR="000E23A6">
        <w:t xml:space="preserve">, such as Caxton’s second edition of the </w:t>
      </w:r>
      <w:r w:rsidR="000E23A6">
        <w:rPr>
          <w:i/>
        </w:rPr>
        <w:t>Game of Chess</w:t>
      </w:r>
      <w:r w:rsidRPr="0021550A">
        <w:t xml:space="preserve">. In these texts, the pages were very nearly identical, because each page begins and ends at the same place as their equivalent in the copy text. The compositors for these second editions are not required to justify the type themselves, because the work has already been done in the copy text. These second editions conflate the spellings that are introduced by the copy text and any </w:t>
      </w:r>
      <w:r w:rsidR="00EF25D2">
        <w:t xml:space="preserve">of </w:t>
      </w:r>
      <w:r w:rsidRPr="0021550A">
        <w:t xml:space="preserve">the spellings that might have been used to justify the type, making it difficult to isolate any spellings used to justify the type alone. It is necessary to use texts for which we have access to the copy text, and texts for which the copy text is not identical page-for-page. The lineation of the second edition would be the same as that of the first edition unless the type and page size of the new edition remained the same as that of the copy text. In the case of Cx2, the type changed from Type 2 in Cx1 to the similarly-styled but smaller Type 4 in Cx2. Caxton’s master compositor would have had to work out the size of a page’s worth of Type 4 and mark this on the copy text, and the compositor would be responsible for justifying the type. </w:t>
      </w:r>
    </w:p>
    <w:p w14:paraId="4D8708CB" w14:textId="77777777" w:rsidR="00C844B3" w:rsidRPr="0021550A" w:rsidRDefault="00C844B3" w:rsidP="000737CB"/>
    <w:p w14:paraId="733A4931" w14:textId="77777777" w:rsidR="00277E53" w:rsidRPr="0021550A" w:rsidRDefault="00277E53" w:rsidP="000737CB">
      <w:pPr>
        <w:pStyle w:val="Heading3"/>
      </w:pPr>
      <w:r w:rsidRPr="0021550A">
        <w:t>Differentiating among types of orthographic change</w:t>
      </w:r>
    </w:p>
    <w:p w14:paraId="6BADFDC3" w14:textId="1E04168E" w:rsidR="00277E53" w:rsidRPr="0021550A" w:rsidRDefault="00277E53" w:rsidP="000737CB">
      <w:r w:rsidRPr="0021550A">
        <w:t xml:space="preserve">Though the standardisation of written English was already well underway by the time Caxton began printing in England, a great deal of variability was still permitted in spelling. These variable spellings needed to be differentiated from those the compositor may have introduced intentionally to justify type. A further complication is the effect that the copy text can have on the language of the </w:t>
      </w:r>
      <w:r w:rsidR="007B1A4F">
        <w:t>subsequent copy</w:t>
      </w:r>
      <w:r w:rsidRPr="0021550A">
        <w:t xml:space="preserve">. It has long been accepted </w:t>
      </w:r>
      <w:r w:rsidRPr="0021550A">
        <w:lastRenderedPageBreak/>
        <w:t xml:space="preserve">that when hand-copying a text, scribes were most likely to produce a copy that was a mixture of the spellings of the copy text and the scribe’s own forms </w:t>
      </w:r>
      <w:r w:rsidR="00D2286E" w:rsidRPr="00D2286E">
        <w:t>(Benskin &amp; Laing 1981:</w:t>
      </w:r>
      <w:r w:rsidR="00D2286E">
        <w:t xml:space="preserve"> </w:t>
      </w:r>
      <w:r w:rsidR="00D2286E" w:rsidRPr="00D2286E">
        <w:t>56)</w:t>
      </w:r>
      <w:r w:rsidRPr="0021550A">
        <w:t xml:space="preserve">. So the spellings in Caxton’s second edition of the </w:t>
      </w:r>
      <w:r w:rsidRPr="0021550A">
        <w:rPr>
          <w:i/>
          <w:iCs/>
        </w:rPr>
        <w:t>Canterbury Tales</w:t>
      </w:r>
      <w:r w:rsidRPr="0021550A">
        <w:t xml:space="preserve"> are a combination of the spellings in the copy text, the compositor’s own spellings (whether introduced intentionally or otherwise), and any spellings the compositor changed to justify the type. Caxton’s second edition of the </w:t>
      </w:r>
      <w:r w:rsidRPr="0021550A">
        <w:rPr>
          <w:i/>
          <w:iCs/>
        </w:rPr>
        <w:t>Canterbury Tales</w:t>
      </w:r>
      <w:r w:rsidRPr="0021550A">
        <w:t xml:space="preserve"> is ideal for this study because it enables us to separate these three different sets of spellings from one another, so that we can focus our attention on spellings changed for the sake of justification. </w:t>
      </w:r>
    </w:p>
    <w:p w14:paraId="0CED2591" w14:textId="2386C7EC" w:rsidR="00277E53" w:rsidRPr="0021550A" w:rsidRDefault="00277E53" w:rsidP="000737CB">
      <w:r w:rsidRPr="0021550A">
        <w:t xml:space="preserve">We first need to identify the spellings that have been influenced by the copy text. The original </w:t>
      </w:r>
      <w:r w:rsidRPr="0021550A">
        <w:rPr>
          <w:i/>
          <w:iCs/>
        </w:rPr>
        <w:t>Canterbury Tales</w:t>
      </w:r>
      <w:r w:rsidRPr="0021550A">
        <w:t xml:space="preserve"> was written by one author—Geoffrey Chaucer. It is important to examine texts written by a single author because it is possible that Caxton had different editing practices depending upon the author of the text in question. Simon Horobin suggests that Caxton’s attitude when printing Chaucer’s work is s</w:t>
      </w:r>
      <w:r w:rsidR="004205DA">
        <w:t xml:space="preserve">imilar to his approach to Gower: </w:t>
      </w:r>
      <w:r w:rsidRPr="0021550A">
        <w:t>Caxton retains the dialectal features most associated with the author</w:t>
      </w:r>
      <w:r w:rsidR="00D2286E">
        <w:t xml:space="preserve"> </w:t>
      </w:r>
      <w:r w:rsidR="00D2286E" w:rsidRPr="00D2286E">
        <w:t>(Horobin 2007)</w:t>
      </w:r>
      <w:r w:rsidRPr="0021550A">
        <w:t xml:space="preserve">. In addition to the text having been written by one author, we also know that Cx1 was used as the copy text in creating Cx2. This is important because the copy text could have a great impact on the language of the new copy. By looking at Cx2 in conjunction with its copy text, I analysed only spellings that were changed in the second edition, i.e. spellings that were not the same as in Cx1. These spellings, if not influenced by the copy text, must have been changed either because they are the compositor’s own spellings, or because the compositor needed to change them in order to justify the type. </w:t>
      </w:r>
    </w:p>
    <w:p w14:paraId="00C6EBBE" w14:textId="5CBF9661" w:rsidR="00277E53" w:rsidRPr="0021550A" w:rsidRDefault="00277E53" w:rsidP="000737CB">
      <w:r w:rsidRPr="0021550A">
        <w:t xml:space="preserve">The copy text for Cx2 has been identified as Cx1 with corrections from a manuscript that is no longer extant </w:t>
      </w:r>
      <w:r w:rsidR="00D2286E">
        <w:t>(Blake 1967, Bordalejo 2005, Bordalejo 2014</w:t>
      </w:r>
      <w:r w:rsidR="00D2286E" w:rsidRPr="00D2286E">
        <w:t>)</w:t>
      </w:r>
      <w:r w:rsidRPr="0021550A">
        <w:t>. Caxton claims in the prologue for Cx2 that he is issuing a new edition because a “gentylman” told him that his first edition was faulty, and that he could provide a better edition fo</w:t>
      </w:r>
      <w:r w:rsidR="004205DA">
        <w:t xml:space="preserve">r Caxton to </w:t>
      </w:r>
      <w:r w:rsidR="00D2286E">
        <w:t>reprint (1477:</w:t>
      </w:r>
      <w:r w:rsidR="004205DA">
        <w:t xml:space="preserve"> 1</w:t>
      </w:r>
      <w:r w:rsidR="004205DA">
        <w:rPr>
          <w:vertAlign w:val="superscript"/>
        </w:rPr>
        <w:t>a</w:t>
      </w:r>
      <w:r w:rsidRPr="0021550A">
        <w:t xml:space="preserve">). Though it has been suggested that this was just an excuse to print a new edition </w:t>
      </w:r>
      <w:r w:rsidR="004205DA">
        <w:t xml:space="preserve">of the text </w:t>
      </w:r>
      <w:r w:rsidRPr="0021550A">
        <w:t xml:space="preserve">complete with new woodcuts </w:t>
      </w:r>
      <w:r w:rsidR="00D2286E" w:rsidRPr="00D2286E">
        <w:t>(Blake 1991b:</w:t>
      </w:r>
      <w:r w:rsidR="00D2286E">
        <w:t xml:space="preserve"> </w:t>
      </w:r>
      <w:r w:rsidR="00D2286E" w:rsidRPr="00D2286E">
        <w:t>113)</w:t>
      </w:r>
      <w:r w:rsidRPr="0021550A">
        <w:t xml:space="preserve">, Caxton does appear to have inserted alterations from an unknown manuscript source onto Cx1, </w:t>
      </w:r>
      <w:r w:rsidR="00791F19">
        <w:t>and the amended form of Cx1</w:t>
      </w:r>
      <w:r w:rsidRPr="0021550A">
        <w:t xml:space="preserve"> was </w:t>
      </w:r>
      <w:r w:rsidR="00791F19">
        <w:t xml:space="preserve">then </w:t>
      </w:r>
      <w:r w:rsidRPr="0021550A">
        <w:t xml:space="preserve">used as the base text </w:t>
      </w:r>
      <w:r w:rsidR="00791F19" w:rsidRPr="00791F19">
        <w:t>(Bordalejo 2005</w:t>
      </w:r>
      <w:r w:rsidR="00791F19">
        <w:t>, Bordalejo 2014</w:t>
      </w:r>
      <w:r w:rsidR="00791F19" w:rsidRPr="00791F19">
        <w:t>)</w:t>
      </w:r>
      <w:r w:rsidRPr="0021550A">
        <w:t xml:space="preserve">. Though the copy text contains additions from the manuscript, this does not cause problems for this study. I compared the spellings in Cx1 with their exact counterparts in Cx2. Any additions made to Cx2 from the manuscript could not have been examined, because they did not have a counterpart in Cx1. Furthermore, the spellings from Cx1 are unlikely to have been changed to match the manuscript; Bordalejo explains that, though many significant changes have been made to all the Tales in Cx2, spellings changed in Cx2 are likely to have been introduced by the compositor </w:t>
      </w:r>
      <w:r w:rsidR="00791F19" w:rsidRPr="00791F19">
        <w:t>(Bordalejo 2014).</w:t>
      </w:r>
      <w:r w:rsidR="005B24D6">
        <w:t xml:space="preserve"> </w:t>
      </w:r>
    </w:p>
    <w:p w14:paraId="6A4E971C" w14:textId="38A5B310" w:rsidR="00277E53" w:rsidRPr="0021550A" w:rsidRDefault="00277E53" w:rsidP="000737CB">
      <w:r w:rsidRPr="0021550A">
        <w:lastRenderedPageBreak/>
        <w:t>Now that we have found a way to exclude spellings that were influenced by the copy text, we need to separate the compositor’s preferred spellings from those he changed to justify the type. To separate these two types of spellings, we need to compare sections of text that have been visually justified with text that has not, and be satisfied that both sections have been set by the same compositor. To do this, I compared sections of verse with sections of prose. In the verse Tales, the text never comes close to the right-hand margin, and so cannot be visually justified. This is because Chaucer’s verse lines are short, at least relative to the width of Caxton’s page. The prose sections are entirely visually justified however. Therefore, any differences between the prose and verse, such as a change in the frequency of spelling changes or an increase in abbreviation rates, should be a result of the requirement of justification in the prose. In this way, the verse acts as a baseline measure for the amount of variation we would expect to find in Caxton’s prints at this time. By comparing the types of spelling changes that occur in the prose with those that occur in the verse, I isolate the changes that the compositor made to justify his type.</w:t>
      </w:r>
    </w:p>
    <w:p w14:paraId="64080B20" w14:textId="4CFFC7B2" w:rsidR="00277E53" w:rsidRPr="0021550A" w:rsidRDefault="00277E53" w:rsidP="000737CB">
      <w:r w:rsidRPr="0021550A">
        <w:t xml:space="preserve">Finally, the Tales selected for analysis were set by the same compositor: the Parson’s Tale and the Tale of Melibee—both prose—and the Nuns Priest’s Tale and the Manciple’s Prologue and Tale—all verse. Bordalejo </w:t>
      </w:r>
      <w:r w:rsidR="00791F19">
        <w:t xml:space="preserve">and </w:t>
      </w:r>
      <w:r w:rsidR="00791F19" w:rsidRPr="0021550A">
        <w:t xml:space="preserve">Hellinga </w:t>
      </w:r>
      <w:r w:rsidR="00E350F2">
        <w:t>and</w:t>
      </w:r>
      <w:r w:rsidR="00791F19">
        <w:t xml:space="preserve"> Painter </w:t>
      </w:r>
      <w:r w:rsidRPr="0021550A">
        <w:t xml:space="preserve">claim independently that these Tales were set by one compositor </w:t>
      </w:r>
      <w:r w:rsidR="00791F19">
        <w:t>(Bordalejo 2005,</w:t>
      </w:r>
      <w:r w:rsidR="00791F19" w:rsidRPr="00791F19">
        <w:t xml:space="preserve"> Hellinga &amp; Painter 2007)</w:t>
      </w:r>
      <w:r w:rsidRPr="0021550A">
        <w:t>. The sample size from each tale is</w:t>
      </w:r>
      <w:r w:rsidR="004205DA">
        <w:t xml:space="preserve"> c. 2,500 words: </w:t>
      </w:r>
      <w:r w:rsidRPr="0021550A">
        <w:t xml:space="preserve">the length of the Manciple’s Prologue and Manciple’s Tale combined. Because the prose and verse sections in Cx2 were both set by the same compositor, we would expect any habitual changes to spellings to occur in both prose and verse. For example, the compositor hardly ever changed </w:t>
      </w:r>
      <w:r w:rsidRPr="0021550A">
        <w:rPr>
          <w:i/>
        </w:rPr>
        <w:t xml:space="preserve">y </w:t>
      </w:r>
      <w:r w:rsidRPr="0021550A">
        <w:rPr>
          <w:iCs/>
        </w:rPr>
        <w:t xml:space="preserve">to </w:t>
      </w:r>
      <w:r w:rsidRPr="0021550A">
        <w:rPr>
          <w:i/>
        </w:rPr>
        <w:t xml:space="preserve">i </w:t>
      </w:r>
      <w:r w:rsidRPr="0021550A">
        <w:rPr>
          <w:iCs/>
        </w:rPr>
        <w:t xml:space="preserve">but frequently changed </w:t>
      </w:r>
      <w:r w:rsidRPr="0021550A">
        <w:rPr>
          <w:i/>
        </w:rPr>
        <w:t>i</w:t>
      </w:r>
      <w:r w:rsidRPr="0021550A">
        <w:rPr>
          <w:iCs/>
        </w:rPr>
        <w:t xml:space="preserve"> to </w:t>
      </w:r>
      <w:r w:rsidRPr="0021550A">
        <w:rPr>
          <w:i/>
        </w:rPr>
        <w:t xml:space="preserve">y </w:t>
      </w:r>
      <w:r w:rsidRPr="0021550A">
        <w:rPr>
          <w:iCs/>
        </w:rPr>
        <w:t xml:space="preserve">(697 examples out of a corpus of 1637 total changes). The </w:t>
      </w:r>
      <w:r w:rsidRPr="0021550A">
        <w:rPr>
          <w:i/>
        </w:rPr>
        <w:t>y</w:t>
      </w:r>
      <w:r w:rsidRPr="0021550A">
        <w:rPr>
          <w:iCs/>
        </w:rPr>
        <w:t xml:space="preserve"> variant appears to be the compositor’s preferred spelling, and of the 697 changes, 376 of them appear in the verse and 321 in the prose. This split is quite even (53.9% to 46.1%), and suggests that because the changes were made in the verse as well as the prose—i.e. these changes were made regardless of the requirement for justification—the changes were made because they were the compositor’s usual spellings</w:t>
      </w:r>
      <w:r w:rsidR="00D86867">
        <w:rPr>
          <w:iCs/>
        </w:rPr>
        <w:t xml:space="preserve"> and form part of their idiolect</w:t>
      </w:r>
      <w:r w:rsidRPr="0021550A">
        <w:rPr>
          <w:iCs/>
        </w:rPr>
        <w:t>. We would expect changes that were made for the sake of justification to appear mainly in the prose.</w:t>
      </w:r>
    </w:p>
    <w:p w14:paraId="239FBCE5" w14:textId="7F2ACD67" w:rsidR="00277E53" w:rsidRPr="0021550A" w:rsidRDefault="00277E53" w:rsidP="000737CB">
      <w:r w:rsidRPr="0021550A">
        <w:t xml:space="preserve">Now that we are looking at text within one book, written by one author, and </w:t>
      </w:r>
      <w:r w:rsidR="00E350F2">
        <w:t>type</w:t>
      </w:r>
      <w:r w:rsidRPr="0021550A">
        <w:t xml:space="preserve">set by one compositor, the only difference between the sections of verse and the sections of prose should be the requirement for justification within the latter. When compiling the record of spelling changes between the two editions, I recorded whether the new spelling would have taken up more or less space on the compositor’s line. This is an important distinction. </w:t>
      </w:r>
      <w:r w:rsidR="006D1EEC" w:rsidRPr="0021550A">
        <w:rPr>
          <w:rFonts w:cs="Courier New"/>
        </w:rPr>
        <w:t>For</w:t>
      </w:r>
      <w:r w:rsidRPr="0021550A">
        <w:rPr>
          <w:rFonts w:cs="Courier New"/>
        </w:rPr>
        <w:t xml:space="preserve"> a printer to justify type by changing spellings, it only makes sense to change the spellings to ones that take up more or less space on the compositor’s </w:t>
      </w:r>
      <w:r w:rsidRPr="0021550A">
        <w:rPr>
          <w:rFonts w:cs="Courier New"/>
        </w:rPr>
        <w:lastRenderedPageBreak/>
        <w:t xml:space="preserve">stick, and therefore wedge the type more tightly into the chase. Any changes </w:t>
      </w:r>
      <w:r w:rsidR="00D86867">
        <w:rPr>
          <w:rFonts w:cs="Courier New"/>
        </w:rPr>
        <w:t xml:space="preserve">to spellings </w:t>
      </w:r>
      <w:r w:rsidRPr="0021550A">
        <w:rPr>
          <w:rFonts w:cs="Courier New"/>
        </w:rPr>
        <w:t xml:space="preserve">that did not alter the space taken up by the type would not aid in justification, and </w:t>
      </w:r>
      <w:r w:rsidR="00D86867">
        <w:rPr>
          <w:rFonts w:cs="Courier New"/>
        </w:rPr>
        <w:t xml:space="preserve">these spellings </w:t>
      </w:r>
      <w:r w:rsidRPr="0021550A">
        <w:rPr>
          <w:rFonts w:cs="Courier New"/>
        </w:rPr>
        <w:t xml:space="preserve">were either one of the compositor’s own spellings, or a mistake. </w:t>
      </w:r>
      <w:r w:rsidRPr="0021550A">
        <w:t xml:space="preserve">It is important, then, to record whether the new word </w:t>
      </w:r>
      <w:r w:rsidR="00D86867">
        <w:t>takes</w:t>
      </w:r>
      <w:r w:rsidRPr="0021550A">
        <w:t xml:space="preserve"> up more or less space than the </w:t>
      </w:r>
      <w:r w:rsidR="00D86867">
        <w:t>corresponding spelling in the copy text</w:t>
      </w:r>
      <w:r w:rsidRPr="0021550A">
        <w:t>.</w:t>
      </w:r>
    </w:p>
    <w:p w14:paraId="421E50BE" w14:textId="77777777" w:rsidR="00277E53" w:rsidRPr="0021550A" w:rsidRDefault="00277E53" w:rsidP="000737CB">
      <w:r w:rsidRPr="0021550A">
        <w:t xml:space="preserve">In addition to the method laid out here, I also recorded where on the page changes in spelling variation take place. We would expect that compositors deviate from their copy text when they realise that they are running out of space. To test whether this is true, each page was divided into ten vertical segments. Of interest are changes in spelling that take place in the tenth segment—the area of the page that is closest to the right-side margin, when the compositor is low on space towards the end of the line. This aspect of the method involves close visual analysis of the two texts undergoing comparison, unlike the quantitative comparison of rates of spelling change in verse and prose sections of text that forms the earlier part of the analysis. </w:t>
      </w:r>
    </w:p>
    <w:p w14:paraId="200C61AA" w14:textId="77777777" w:rsidR="00277E53" w:rsidRPr="0021550A" w:rsidRDefault="00277E53" w:rsidP="000737CB">
      <w:r w:rsidRPr="0021550A">
        <w:t xml:space="preserve">This study is undertaken on a small sample of the books that were produced by Caxton for several reasons. The first reason is the unique case of the </w:t>
      </w:r>
      <w:r w:rsidRPr="0021550A">
        <w:rPr>
          <w:i/>
        </w:rPr>
        <w:t>Canterbury Tales</w:t>
      </w:r>
      <w:r w:rsidRPr="0021550A">
        <w:t xml:space="preserve">. The </w:t>
      </w:r>
      <w:r w:rsidRPr="0021550A">
        <w:rPr>
          <w:i/>
        </w:rPr>
        <w:t>Canterbury Tales</w:t>
      </w:r>
      <w:r w:rsidRPr="0021550A">
        <w:t xml:space="preserve"> is unique in the books produced by Caxton because it includes long sections of prose and verse that can be compared against each other, unlike any of his other texts. It is this comparison between prose and verse that allows us to isolate the difference in the rate of spelling change between text that is visually justified and text that is not. Without this comparison, it is not possible to discover whether there are spellings that were changed to justify the type. The second reason that this study cannot be replicated over a large number of texts is the </w:t>
      </w:r>
      <w:r w:rsidRPr="006D1EEC">
        <w:rPr>
          <w:i/>
        </w:rPr>
        <w:t>EEBO</w:t>
      </w:r>
      <w:r w:rsidRPr="0021550A">
        <w:t xml:space="preserve">-TCP dataset and digitisation policy. When digitising books that were published by Caxton’s printing house, preference has been given to first editions. This policy of preference for first editions has a direct impact on researching texts and their copy texts. While there is an </w:t>
      </w:r>
      <w:r w:rsidRPr="006D1EEC">
        <w:rPr>
          <w:i/>
        </w:rPr>
        <w:t>EEBO</w:t>
      </w:r>
      <w:r w:rsidRPr="0021550A">
        <w:t xml:space="preserve">-TCP edition of Cx1, there is not a plain text edition for Cx2, and the same is true for many second or third editions of Caxton’s work. Without a plain text edition of Cx2, a full comparison of Cx1 and Cx2 is not possible for the present study, due to constraints of time and resources, and analysis must be undertaken through a manual comparison of the images of the texts available through </w:t>
      </w:r>
      <w:r w:rsidRPr="006D1EEC">
        <w:rPr>
          <w:i/>
        </w:rPr>
        <w:t>EEBO</w:t>
      </w:r>
      <w:r w:rsidRPr="0021550A">
        <w:t xml:space="preserve">. Finally, the nature of the visual analysis of spelling changes requires that analysis cannot be automated (or rather, automation may be possible but the time taken to achieve the same results is probably equal to the time taken to manually analyse the data). </w:t>
      </w:r>
      <w:r w:rsidRPr="006D1EEC">
        <w:rPr>
          <w:i/>
        </w:rPr>
        <w:t>EEBO</w:t>
      </w:r>
      <w:r w:rsidRPr="0021550A">
        <w:t xml:space="preserve">-TCP plain text editions do not provide the line breaks for Caxton’s prose texts, and so it is not possible to determine the proximity of spelling changes to the right-side margin. To automate this process, plain text editions would need to be created for both editions undergoing comparison, and each word would need to be tagged with the vertical segment </w:t>
      </w:r>
      <w:r w:rsidRPr="0021550A">
        <w:lastRenderedPageBreak/>
        <w:t xml:space="preserve">it appears in, in order to record the proximity of spelling changes to the right-side margin. For these three reasons, analysis in the present study is restricted to comparisons between the prose and verse sections of Caxton’s second edition of the </w:t>
      </w:r>
      <w:r w:rsidRPr="0021550A">
        <w:rPr>
          <w:i/>
        </w:rPr>
        <w:t>Canterbury Tales</w:t>
      </w:r>
      <w:r w:rsidRPr="0021550A">
        <w:t xml:space="preserve">, and replication across a wider dataset is not possible at present. </w:t>
      </w:r>
    </w:p>
    <w:p w14:paraId="160B8C07" w14:textId="77777777" w:rsidR="00277E53" w:rsidRPr="0021550A" w:rsidRDefault="00277E53" w:rsidP="000737CB">
      <w:r w:rsidRPr="0021550A">
        <w:t xml:space="preserve">The result of this investigation is a database of spelling changes that occurred between the first and second editions of Caxton’s </w:t>
      </w:r>
      <w:r w:rsidRPr="0021550A">
        <w:rPr>
          <w:i/>
          <w:iCs/>
        </w:rPr>
        <w:t>Canterbury Tales</w:t>
      </w:r>
      <w:r w:rsidRPr="0021550A">
        <w:t xml:space="preserve">, broken down into text type—whether prose or poetry—and the type of spelling change—whether the new spellings took up more space on the compositor’s line than the originals. It was this database that I analysed to investigate whether printers changed spellings to justify their type. Further supporting analysis was also provided from Richard Pynson’s edition of </w:t>
      </w:r>
      <w:r w:rsidRPr="0021550A">
        <w:rPr>
          <w:i/>
        </w:rPr>
        <w:t>Reynard the Fox</w:t>
      </w:r>
      <w:r w:rsidRPr="0021550A">
        <w:t xml:space="preserve">. </w:t>
      </w:r>
    </w:p>
    <w:p w14:paraId="5407B724" w14:textId="77777777" w:rsidR="00277E53" w:rsidRPr="0021550A" w:rsidRDefault="00277E53" w:rsidP="000737CB"/>
    <w:p w14:paraId="4709CEAC" w14:textId="77777777" w:rsidR="00277E53" w:rsidRPr="0021550A" w:rsidRDefault="00277E53" w:rsidP="000737CB">
      <w:pPr>
        <w:pStyle w:val="Heading3"/>
      </w:pPr>
      <w:r w:rsidRPr="0021550A">
        <w:t xml:space="preserve">Pynson’s </w:t>
      </w:r>
      <w:r w:rsidRPr="006D1EEC">
        <w:rPr>
          <w:i/>
        </w:rPr>
        <w:t>Reynard</w:t>
      </w:r>
    </w:p>
    <w:p w14:paraId="6A3F9919" w14:textId="75E5E209" w:rsidR="00277E53" w:rsidRPr="0021550A" w:rsidRDefault="00277E53" w:rsidP="000737CB">
      <w:r w:rsidRPr="0021550A">
        <w:t xml:space="preserve">This study focuses on Caxton’s editions of the </w:t>
      </w:r>
      <w:r w:rsidRPr="0021550A">
        <w:rPr>
          <w:i/>
        </w:rPr>
        <w:t xml:space="preserve">Canterbury Tales </w:t>
      </w:r>
      <w:r w:rsidRPr="0021550A">
        <w:t xml:space="preserve">and draws on supporting analysis of Richard Pynson’s edition of </w:t>
      </w:r>
      <w:r w:rsidRPr="0021550A">
        <w:rPr>
          <w:i/>
        </w:rPr>
        <w:t>Reynard the Fox</w:t>
      </w:r>
      <w:r w:rsidRPr="0021550A">
        <w:t xml:space="preserve">. This study investigates the extent to which spelling variants are altered by compositors when space is tight, and so Pynson’s edition is a valuable addition to the analysis, because the spatial constraints are more severe in Pynson’s </w:t>
      </w:r>
      <w:r w:rsidRPr="0021550A">
        <w:rPr>
          <w:i/>
        </w:rPr>
        <w:t>Reynard</w:t>
      </w:r>
      <w:r w:rsidRPr="0021550A">
        <w:t xml:space="preserve"> than the spatial constraints in Cx2. If compositors were changing spellings when space is tight, we would expect to find a far higher rate of spelling change in Pynson’s </w:t>
      </w:r>
      <w:r w:rsidRPr="0021550A">
        <w:rPr>
          <w:i/>
        </w:rPr>
        <w:t>Reynard</w:t>
      </w:r>
      <w:r w:rsidR="00D86867">
        <w:t xml:space="preserve"> than in the prose of Cx2. </w:t>
      </w:r>
      <w:r w:rsidRPr="0021550A">
        <w:t xml:space="preserve">Visually justifying type is difficult because extra space must be redistributed between words, and the difficulty increases when the line lengths are shortened. When the process of visual justification is complete, the line needs to look neat without the spacing between words being either noticeably wide or narrow. In the prose of Cx2 this is not an unduly difficult task—the line lengths have an average length of </w:t>
      </w:r>
      <w:r w:rsidR="006D1EEC">
        <w:t>fifteen</w:t>
      </w:r>
      <w:r w:rsidRPr="0021550A">
        <w:t xml:space="preserve"> words, so there are </w:t>
      </w:r>
      <w:r w:rsidR="006D1EEC">
        <w:t>fourteen</w:t>
      </w:r>
      <w:r w:rsidRPr="0021550A">
        <w:t xml:space="preserve"> gaps in which to redistribute spacing. However, for other texts, justification was made harder through having far shorter line lengths. Richard Pynson’s print of </w:t>
      </w:r>
      <w:r w:rsidRPr="0021550A">
        <w:rPr>
          <w:i/>
        </w:rPr>
        <w:t>Reynard the Fox</w:t>
      </w:r>
      <w:r w:rsidRPr="0021550A">
        <w:t xml:space="preserve"> is one such example. </w:t>
      </w:r>
    </w:p>
    <w:p w14:paraId="24E13D5C" w14:textId="77777777" w:rsidR="00277E53" w:rsidRPr="0021550A" w:rsidRDefault="00277E53" w:rsidP="000737CB"/>
    <w:p w14:paraId="6FFBADC3" w14:textId="0CB21696" w:rsidR="00277E53" w:rsidRPr="0021550A" w:rsidRDefault="00277E53" w:rsidP="005E4E1A">
      <w:pPr>
        <w:ind w:firstLine="0"/>
      </w:pPr>
      <w:r w:rsidRPr="0021550A">
        <w:rPr>
          <w:noProof/>
          <w:lang w:eastAsia="en-GB"/>
        </w:rPr>
        <w:lastRenderedPageBreak/>
        <w:drawing>
          <wp:inline distT="0" distB="0" distL="0" distR="0" wp14:anchorId="04F9CD54" wp14:editId="7E46C982">
            <wp:extent cx="4504544" cy="2556284"/>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ure04.tif"/>
                    <pic:cNvPicPr/>
                  </pic:nvPicPr>
                  <pic:blipFill rotWithShape="1">
                    <a:blip r:embed="rId22">
                      <a:extLst>
                        <a:ext uri="{28A0092B-C50C-407E-A947-70E740481C1C}">
                          <a14:useLocalDpi xmlns:a14="http://schemas.microsoft.com/office/drawing/2010/main"/>
                        </a:ext>
                      </a:extLst>
                    </a:blip>
                    <a:srcRect l="4218" t="9055" r="5245" b="8"/>
                    <a:stretch/>
                  </pic:blipFill>
                  <pic:spPr bwMode="auto">
                    <a:xfrm>
                      <a:off x="0" y="0"/>
                      <a:ext cx="4505702" cy="2556941"/>
                    </a:xfrm>
                    <a:prstGeom prst="rect">
                      <a:avLst/>
                    </a:prstGeom>
                    <a:ln>
                      <a:noFill/>
                    </a:ln>
                    <a:extLst>
                      <a:ext uri="{53640926-AAD7-44D8-BBD7-CCE9431645EC}">
                        <a14:shadowObscured xmlns:a14="http://schemas.microsoft.com/office/drawing/2010/main"/>
                      </a:ext>
                    </a:extLst>
                  </pic:spPr>
                </pic:pic>
              </a:graphicData>
            </a:graphic>
          </wp:inline>
        </w:drawing>
      </w:r>
    </w:p>
    <w:p w14:paraId="25460CA6" w14:textId="5A2819EE" w:rsidR="00277E53" w:rsidRPr="0021550A" w:rsidRDefault="00277E53" w:rsidP="000737CB">
      <w:pPr>
        <w:pStyle w:val="Caption"/>
      </w:pPr>
      <w:bookmarkStart w:id="47" w:name="_Ref442882983"/>
      <w:bookmarkStart w:id="48" w:name="_Toc443641628"/>
      <w:bookmarkStart w:id="49" w:name="_Toc499753508"/>
      <w:r w:rsidRPr="0021550A">
        <w:t xml:space="preserve">Figure </w:t>
      </w:r>
      <w:r w:rsidR="00C5013D">
        <w:fldChar w:fldCharType="begin"/>
      </w:r>
      <w:r w:rsidR="00C5013D">
        <w:instrText xml:space="preserve"> STYLEREF 1 \s </w:instrText>
      </w:r>
      <w:r w:rsidR="00C5013D">
        <w:fldChar w:fldCharType="separate"/>
      </w:r>
      <w:r w:rsidR="00C5013D">
        <w:rPr>
          <w:noProof/>
        </w:rPr>
        <w:t>3</w:t>
      </w:r>
      <w:r w:rsidR="00C5013D">
        <w:fldChar w:fldCharType="end"/>
      </w:r>
      <w:r w:rsidR="00C5013D">
        <w:t>.</w:t>
      </w:r>
      <w:r w:rsidR="00C5013D">
        <w:fldChar w:fldCharType="begin"/>
      </w:r>
      <w:r w:rsidR="00C5013D">
        <w:instrText xml:space="preserve"> SEQ Figure \* ARABIC \s 1 </w:instrText>
      </w:r>
      <w:r w:rsidR="00C5013D">
        <w:fldChar w:fldCharType="separate"/>
      </w:r>
      <w:r w:rsidR="00C5013D">
        <w:rPr>
          <w:noProof/>
        </w:rPr>
        <w:t>4</w:t>
      </w:r>
      <w:r w:rsidR="00C5013D">
        <w:fldChar w:fldCharType="end"/>
      </w:r>
      <w:bookmarkEnd w:id="47"/>
      <w:r w:rsidRPr="0021550A">
        <w:t xml:space="preserve">: Richard Pynson’s </w:t>
      </w:r>
      <w:r w:rsidRPr="0021550A">
        <w:rPr>
          <w:i/>
        </w:rPr>
        <w:t>Reynard the Fox</w:t>
      </w:r>
      <w:r w:rsidRPr="0021550A">
        <w:t xml:space="preserve"> printed in two columns, </w:t>
      </w:r>
      <w:r w:rsidR="00D86867">
        <w:t xml:space="preserve">p. </w:t>
      </w:r>
      <w:r w:rsidRPr="0021550A">
        <w:t>1</w:t>
      </w:r>
      <w:bookmarkEnd w:id="48"/>
      <w:r w:rsidR="00D86867" w:rsidRPr="00D86867">
        <w:rPr>
          <w:vertAlign w:val="superscript"/>
        </w:rPr>
        <w:t>a</w:t>
      </w:r>
      <w:bookmarkEnd w:id="49"/>
    </w:p>
    <w:p w14:paraId="0B600B0F" w14:textId="77777777" w:rsidR="00277E53" w:rsidRPr="0021550A" w:rsidRDefault="00277E53" w:rsidP="000737CB"/>
    <w:p w14:paraId="7E94EE40" w14:textId="11490C23" w:rsidR="00277E53" w:rsidRPr="0021550A" w:rsidRDefault="00E12429" w:rsidP="000737CB">
      <w:r>
        <w:fldChar w:fldCharType="begin"/>
      </w:r>
      <w:r>
        <w:instrText xml:space="preserve"> REF _Ref442882983 </w:instrText>
      </w:r>
      <w:r>
        <w:fldChar w:fldCharType="separate"/>
      </w:r>
      <w:r w:rsidR="00D11844" w:rsidRPr="0021550A">
        <w:t xml:space="preserve">Figure </w:t>
      </w:r>
      <w:r w:rsidR="00D11844">
        <w:rPr>
          <w:noProof/>
        </w:rPr>
        <w:t>3</w:t>
      </w:r>
      <w:r w:rsidR="00D11844">
        <w:t>.</w:t>
      </w:r>
      <w:r w:rsidR="00D11844">
        <w:rPr>
          <w:noProof/>
        </w:rPr>
        <w:t>4</w:t>
      </w:r>
      <w:r>
        <w:rPr>
          <w:noProof/>
        </w:rPr>
        <w:fldChar w:fldCharType="end"/>
      </w:r>
      <w:r w:rsidR="00277E53" w:rsidRPr="0021550A">
        <w:t xml:space="preserve"> shows the top of the first page of Pynson’s</w:t>
      </w:r>
      <w:r w:rsidR="00277E53" w:rsidRPr="0021550A">
        <w:rPr>
          <w:i/>
        </w:rPr>
        <w:t xml:space="preserve"> Reynard</w:t>
      </w:r>
      <w:r w:rsidR="00277E53" w:rsidRPr="0021550A">
        <w:t xml:space="preserve"> presented in two columns, with spaces left at the beginning of the two paragraphs for decorated initial letters. The text is printed in two columns with an average line length of </w:t>
      </w:r>
      <w:r w:rsidR="006D1EEC">
        <w:t>only six</w:t>
      </w:r>
      <w:r w:rsidR="00277E53" w:rsidRPr="0021550A">
        <w:t xml:space="preserve"> words. To justify Pynson’s lines, any excess spacing can be spread only across the five spaces between words, potentially leaving wide gaps in the line. Compared with the average </w:t>
      </w:r>
      <w:r w:rsidR="006D1EEC">
        <w:t>of fifteen</w:t>
      </w:r>
      <w:r w:rsidR="00277E53" w:rsidRPr="0021550A">
        <w:t xml:space="preserve"> words a line in Cx2, this makes Pynson’s task of justifying the text far harder. An excess of spacing would be very noticeable on a shorter line, making justification more difficult (see </w:t>
      </w:r>
      <w:r w:rsidR="00AE3C75">
        <w:fldChar w:fldCharType="begin"/>
      </w:r>
      <w:r w:rsidR="00AE3C75">
        <w:instrText xml:space="preserve"> REF _Ref442882983  \* MERGEFORMAT </w:instrText>
      </w:r>
      <w:r w:rsidR="00AE3C75">
        <w:fldChar w:fldCharType="separate"/>
      </w:r>
      <w:r w:rsidR="00D11844" w:rsidRPr="0021550A">
        <w:t xml:space="preserve">Figure </w:t>
      </w:r>
      <w:r w:rsidR="00D11844">
        <w:t>3.4</w:t>
      </w:r>
      <w:r w:rsidR="00AE3C75">
        <w:fldChar w:fldCharType="end"/>
      </w:r>
      <w:r w:rsidR="00277E53" w:rsidRPr="0021550A">
        <w:t xml:space="preserve">, above, compared with </w:t>
      </w:r>
      <w:r w:rsidR="00AE3C75">
        <w:fldChar w:fldCharType="begin"/>
      </w:r>
      <w:r w:rsidR="00AE3C75">
        <w:instrText xml:space="preserve"> REF _Ref442882991  \* MERGEFORMAT </w:instrText>
      </w:r>
      <w:r w:rsidR="00AE3C75">
        <w:fldChar w:fldCharType="separate"/>
      </w:r>
      <w:r w:rsidR="00D11844" w:rsidRPr="0021550A">
        <w:t xml:space="preserve">Figure </w:t>
      </w:r>
      <w:r w:rsidR="00D11844">
        <w:t>3.5</w:t>
      </w:r>
      <w:r w:rsidR="00AE3C75">
        <w:fldChar w:fldCharType="end"/>
      </w:r>
      <w:r w:rsidR="00277E53" w:rsidRPr="0021550A">
        <w:t>).</w:t>
      </w:r>
    </w:p>
    <w:p w14:paraId="3285091C" w14:textId="77777777" w:rsidR="00277E53" w:rsidRPr="00C844B3" w:rsidRDefault="00277E53" w:rsidP="000737CB">
      <w:pPr>
        <w:rPr>
          <w:sz w:val="6"/>
        </w:rPr>
      </w:pPr>
    </w:p>
    <w:p w14:paraId="34BB3464" w14:textId="0802A699" w:rsidR="00277E53" w:rsidRPr="0021550A" w:rsidRDefault="00277E53" w:rsidP="005E4E1A">
      <w:pPr>
        <w:ind w:firstLine="0"/>
      </w:pPr>
      <w:r w:rsidRPr="0021550A">
        <w:rPr>
          <w:noProof/>
          <w:lang w:eastAsia="en-GB"/>
        </w:rPr>
        <w:drawing>
          <wp:inline distT="0" distB="0" distL="0" distR="0" wp14:anchorId="7CAD70B1" wp14:editId="7D5AFFFE">
            <wp:extent cx="5058666" cy="2696587"/>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igure05.tif"/>
                    <pic:cNvPicPr/>
                  </pic:nvPicPr>
                  <pic:blipFill>
                    <a:blip r:embed="rId23">
                      <a:extLst>
                        <a:ext uri="{28A0092B-C50C-407E-A947-70E740481C1C}">
                          <a14:useLocalDpi xmlns:a14="http://schemas.microsoft.com/office/drawing/2010/main"/>
                        </a:ext>
                      </a:extLst>
                    </a:blip>
                    <a:stretch>
                      <a:fillRect/>
                    </a:stretch>
                  </pic:blipFill>
                  <pic:spPr>
                    <a:xfrm>
                      <a:off x="0" y="0"/>
                      <a:ext cx="5123718" cy="2731264"/>
                    </a:xfrm>
                    <a:prstGeom prst="rect">
                      <a:avLst/>
                    </a:prstGeom>
                  </pic:spPr>
                </pic:pic>
              </a:graphicData>
            </a:graphic>
          </wp:inline>
        </w:drawing>
      </w:r>
    </w:p>
    <w:p w14:paraId="0CD5A32B" w14:textId="7DCE2181" w:rsidR="00277E53" w:rsidRPr="0021550A" w:rsidRDefault="00277E53" w:rsidP="000737CB">
      <w:pPr>
        <w:pStyle w:val="Caption"/>
      </w:pPr>
      <w:bookmarkStart w:id="50" w:name="_Ref442882991"/>
      <w:bookmarkStart w:id="51" w:name="_Toc443641629"/>
      <w:bookmarkStart w:id="52" w:name="_Toc499753509"/>
      <w:r w:rsidRPr="0021550A">
        <w:t xml:space="preserve">Figure </w:t>
      </w:r>
      <w:r w:rsidR="00C5013D">
        <w:fldChar w:fldCharType="begin"/>
      </w:r>
      <w:r w:rsidR="00C5013D">
        <w:instrText xml:space="preserve"> STYLEREF 1 \s </w:instrText>
      </w:r>
      <w:r w:rsidR="00C5013D">
        <w:fldChar w:fldCharType="separate"/>
      </w:r>
      <w:r w:rsidR="00C5013D">
        <w:rPr>
          <w:noProof/>
        </w:rPr>
        <w:t>3</w:t>
      </w:r>
      <w:r w:rsidR="00C5013D">
        <w:fldChar w:fldCharType="end"/>
      </w:r>
      <w:r w:rsidR="00C5013D">
        <w:t>.</w:t>
      </w:r>
      <w:r w:rsidR="00C5013D">
        <w:fldChar w:fldCharType="begin"/>
      </w:r>
      <w:r w:rsidR="00C5013D">
        <w:instrText xml:space="preserve"> SEQ Figure \* ARABIC \s 1 </w:instrText>
      </w:r>
      <w:r w:rsidR="00C5013D">
        <w:fldChar w:fldCharType="separate"/>
      </w:r>
      <w:r w:rsidR="00C5013D">
        <w:rPr>
          <w:noProof/>
        </w:rPr>
        <w:t>5</w:t>
      </w:r>
      <w:r w:rsidR="00C5013D">
        <w:fldChar w:fldCharType="end"/>
      </w:r>
      <w:bookmarkEnd w:id="50"/>
      <w:r w:rsidRPr="0021550A">
        <w:t xml:space="preserve">: Beginning of the Tale of Melibee in </w:t>
      </w:r>
      <w:r w:rsidR="00D86867">
        <w:t>Cx2,</w:t>
      </w:r>
      <w:r w:rsidRPr="0021550A">
        <w:t xml:space="preserve"> </w:t>
      </w:r>
      <w:r w:rsidR="00D86867">
        <w:t xml:space="preserve">p. </w:t>
      </w:r>
      <w:r w:rsidRPr="0021550A">
        <w:t>232</w:t>
      </w:r>
      <w:bookmarkEnd w:id="51"/>
      <w:r w:rsidR="00D86867" w:rsidRPr="00D86867">
        <w:rPr>
          <w:vertAlign w:val="superscript"/>
        </w:rPr>
        <w:t>a</w:t>
      </w:r>
      <w:bookmarkEnd w:id="52"/>
    </w:p>
    <w:p w14:paraId="7AE15CFE" w14:textId="77777777" w:rsidR="00277E53" w:rsidRPr="0021550A" w:rsidRDefault="00277E53" w:rsidP="000737CB"/>
    <w:p w14:paraId="5BD24701" w14:textId="66CC0BEF" w:rsidR="004D0978" w:rsidRPr="0021550A" w:rsidRDefault="00277E53" w:rsidP="005E4E1A">
      <w:r w:rsidRPr="0021550A">
        <w:t xml:space="preserve">We would expect that if Caxton’s compositor changed spellings in Cx2 </w:t>
      </w:r>
      <w:r w:rsidR="006D1EEC" w:rsidRPr="0021550A">
        <w:t>to</w:t>
      </w:r>
      <w:r w:rsidRPr="0021550A">
        <w:t xml:space="preserve"> justify his type, then Pynson’s compositor would alter spellings with greater frequency because </w:t>
      </w:r>
      <w:r w:rsidRPr="0021550A">
        <w:lastRenderedPageBreak/>
        <w:t xml:space="preserve">of the increased difficulty in justifying </w:t>
      </w:r>
      <w:r w:rsidRPr="0021550A">
        <w:rPr>
          <w:i/>
        </w:rPr>
        <w:t>Reynard the Fox</w:t>
      </w:r>
      <w:r w:rsidRPr="0021550A">
        <w:t xml:space="preserve">. To investigate whether this is the case, I compared Pynson’s </w:t>
      </w:r>
      <w:r w:rsidRPr="0021550A">
        <w:rPr>
          <w:i/>
        </w:rPr>
        <w:t>Reynard</w:t>
      </w:r>
      <w:r w:rsidRPr="0021550A">
        <w:t xml:space="preserve"> with its copy text—Caxton’s translation and first edition of </w:t>
      </w:r>
      <w:r w:rsidRPr="0021550A">
        <w:rPr>
          <w:i/>
        </w:rPr>
        <w:t>Reynard</w:t>
      </w:r>
      <w:r w:rsidRPr="0021550A">
        <w:t xml:space="preserve">—identified by Norman Blake </w:t>
      </w:r>
      <w:r w:rsidR="00D86867" w:rsidRPr="00D86867">
        <w:t>(1991b:</w:t>
      </w:r>
      <w:r w:rsidR="00D86867">
        <w:t xml:space="preserve"> </w:t>
      </w:r>
      <w:r w:rsidR="00D86867" w:rsidRPr="00D86867">
        <w:t>259)</w:t>
      </w:r>
      <w:r w:rsidRPr="0021550A">
        <w:t xml:space="preserve">. Adding Pynson’s </w:t>
      </w:r>
      <w:r w:rsidRPr="0021550A">
        <w:rPr>
          <w:i/>
        </w:rPr>
        <w:t>Reynard</w:t>
      </w:r>
      <w:r w:rsidRPr="0021550A">
        <w:t xml:space="preserve"> to the analysis fulfils several roles. Firstly, because of</w:t>
      </w:r>
      <w:r w:rsidRPr="0021550A">
        <w:rPr>
          <w:rFonts w:cs="Courier New"/>
        </w:rPr>
        <w:t xml:space="preserve"> the shorter lines on Pynson’s two-column layout</w:t>
      </w:r>
      <w:r w:rsidRPr="0021550A">
        <w:t xml:space="preserve">, we can see that use of justification methods increases when the compositors have less space. Secondly, it enables us to see that the compositors of at least two printing houses—Caxton and Pynson—used the same methods of justification. Finally, Pynson’s </w:t>
      </w:r>
      <w:r w:rsidRPr="0021550A">
        <w:rPr>
          <w:i/>
        </w:rPr>
        <w:t>Reynard</w:t>
      </w:r>
      <w:r w:rsidRPr="0021550A">
        <w:t xml:space="preserve"> was printed </w:t>
      </w:r>
      <w:r w:rsidRPr="0021550A">
        <w:rPr>
          <w:rFonts w:cs="Courier New"/>
        </w:rPr>
        <w:t xml:space="preserve">later than Caxton’s </w:t>
      </w:r>
      <w:r w:rsidRPr="0021550A">
        <w:rPr>
          <w:rFonts w:cs="Courier New"/>
          <w:i/>
        </w:rPr>
        <w:t>Canterbury Tales</w:t>
      </w:r>
      <w:r w:rsidRPr="0021550A">
        <w:rPr>
          <w:rFonts w:cs="Courier New"/>
        </w:rPr>
        <w:t xml:space="preserve"> text—1494 to Caxton’s 1477 and 1483—therefore covering </w:t>
      </w:r>
      <w:r w:rsidR="00EE7F9C">
        <w:rPr>
          <w:rFonts w:cs="Courier New"/>
        </w:rPr>
        <w:t>most of</w:t>
      </w:r>
      <w:r w:rsidRPr="0021550A">
        <w:rPr>
          <w:rFonts w:cs="Courier New"/>
        </w:rPr>
        <w:t xml:space="preserve"> the printing period in England in the fifteenth century.</w:t>
      </w:r>
      <w:r w:rsidRPr="005C54CE">
        <w:rPr>
          <w:rStyle w:val="FootnoteReference"/>
        </w:rPr>
        <w:footnoteReference w:id="5"/>
      </w:r>
      <w:r w:rsidRPr="0021550A">
        <w:rPr>
          <w:rFonts w:cs="Courier New"/>
        </w:rPr>
        <w:t xml:space="preserve"> This shows us that printers did not change to different justification methods within the fifteenth century.</w:t>
      </w:r>
    </w:p>
    <w:p w14:paraId="2CFADE3C" w14:textId="77777777" w:rsidR="004D0978" w:rsidRPr="0021550A" w:rsidRDefault="004D0978" w:rsidP="000737CB"/>
    <w:p w14:paraId="08BC1244" w14:textId="249D8977" w:rsidR="00277E53" w:rsidRPr="0021550A" w:rsidRDefault="00277E53" w:rsidP="000737CB">
      <w:pPr>
        <w:pStyle w:val="Heading2"/>
      </w:pPr>
      <w:bookmarkStart w:id="53" w:name="_Ref492907207"/>
      <w:bookmarkStart w:id="54" w:name="_Toc497899845"/>
      <w:r w:rsidRPr="0021550A">
        <w:t>Spellings were not changed to justify type</w:t>
      </w:r>
      <w:bookmarkEnd w:id="53"/>
      <w:bookmarkEnd w:id="54"/>
    </w:p>
    <w:p w14:paraId="7D02576E" w14:textId="07748010" w:rsidR="00277E53" w:rsidRPr="0021550A" w:rsidRDefault="00277E53" w:rsidP="000737CB">
      <w:r w:rsidRPr="0021550A">
        <w:t xml:space="preserve">My results suggest that Caxton’s compositor did not change spellings </w:t>
      </w:r>
      <w:r w:rsidR="00EE7F9C" w:rsidRPr="0021550A">
        <w:t>to</w:t>
      </w:r>
      <w:r w:rsidRPr="0021550A">
        <w:t xml:space="preserve"> justify his type. This finding was contrary to my expectations on setting out and in contrast with claims made in earlier scholarship. Salmon </w:t>
      </w:r>
      <w:r w:rsidR="00D86867" w:rsidRPr="00D86867">
        <w:t>(2000:</w:t>
      </w:r>
      <w:r w:rsidR="00D86867">
        <w:t xml:space="preserve"> </w:t>
      </w:r>
      <w:r w:rsidR="00D86867" w:rsidRPr="00D86867">
        <w:t>19)</w:t>
      </w:r>
      <w:r w:rsidRPr="0021550A">
        <w:t xml:space="preserve"> states that printers were more likely to use shorter spellings when altering a text: avoiding doubling letters and final </w:t>
      </w:r>
      <w:r w:rsidRPr="0021550A">
        <w:rPr>
          <w:i/>
        </w:rPr>
        <w:t>-e</w:t>
      </w:r>
      <w:r w:rsidRPr="0021550A">
        <w:t xml:space="preserve">. Gaskell </w:t>
      </w:r>
      <w:r w:rsidR="00D86867" w:rsidRPr="00D86867">
        <w:t>(1972:</w:t>
      </w:r>
      <w:r w:rsidR="005509E7">
        <w:t xml:space="preserve"> </w:t>
      </w:r>
      <w:r w:rsidR="00D86867" w:rsidRPr="00D86867">
        <w:t xml:space="preserve">349) </w:t>
      </w:r>
      <w:r w:rsidRPr="0021550A">
        <w:t xml:space="preserve">also says that printers preferred to remove letters, rather than add them. We would have expected a higher proportion of uses of </w:t>
      </w:r>
      <w:r w:rsidRPr="0021550A">
        <w:rPr>
          <w:i/>
        </w:rPr>
        <w:t>had</w:t>
      </w:r>
      <w:r w:rsidRPr="0021550A">
        <w:t xml:space="preserve"> over </w:t>
      </w:r>
      <w:r w:rsidRPr="0021550A">
        <w:rPr>
          <w:i/>
        </w:rPr>
        <w:t>hadde</w:t>
      </w:r>
      <w:r w:rsidRPr="0021550A">
        <w:t>, for example, in the printed texts, in comparison with a scribal copy from the same time. However, there is an almost equal distribution of spelling changes that shorten and lengthen words in question (245 total number of words lengthened by adding letters; 249 words shortened). Within the 245 lengthened words, 172 are lengthened through adding final –</w:t>
      </w:r>
      <w:r w:rsidRPr="0021550A">
        <w:rPr>
          <w:i/>
          <w:iCs/>
        </w:rPr>
        <w:t>e</w:t>
      </w:r>
      <w:r w:rsidRPr="0021550A">
        <w:t>; of the 249 shortened words, 142 are shortened by deleting final –</w:t>
      </w:r>
      <w:r w:rsidRPr="0021550A">
        <w:rPr>
          <w:i/>
          <w:iCs/>
        </w:rPr>
        <w:t>e</w:t>
      </w:r>
      <w:r w:rsidRPr="0021550A">
        <w:t>. The compositor did not appear to move towards actively removing final –</w:t>
      </w:r>
      <w:r w:rsidRPr="0021550A">
        <w:rPr>
          <w:i/>
          <w:iCs/>
        </w:rPr>
        <w:t>e</w:t>
      </w:r>
      <w:r w:rsidRPr="0021550A">
        <w:t xml:space="preserve"> from the text, as Salmon and Gaskell suggest. </w:t>
      </w:r>
    </w:p>
    <w:p w14:paraId="5DE10747" w14:textId="77777777" w:rsidR="00277E53" w:rsidRPr="0021550A" w:rsidRDefault="00277E53" w:rsidP="000737CB"/>
    <w:p w14:paraId="1CE1136D" w14:textId="77777777" w:rsidR="00277E53" w:rsidRPr="0021550A" w:rsidRDefault="00277E53" w:rsidP="000737CB">
      <w:pPr>
        <w:pStyle w:val="Heading3"/>
      </w:pPr>
      <w:r w:rsidRPr="0021550A">
        <w:t>Frequency of changes</w:t>
      </w:r>
    </w:p>
    <w:p w14:paraId="485D7E53" w14:textId="521E07A5" w:rsidR="00277E53" w:rsidRPr="0021550A" w:rsidRDefault="00277E53" w:rsidP="000737CB">
      <w:r w:rsidRPr="0021550A">
        <w:t xml:space="preserve">The frequencies of spelling change support the conclusion that the compositors under examination did not change spellings to justify type. Of importance for this study, the rate at which spellings are changed do not differ notably between justified and non-justified text. </w:t>
      </w:r>
      <w:r w:rsidR="00EE7F9C" w:rsidRPr="0021550A">
        <w:rPr>
          <w:rFonts w:cs="Courier New"/>
        </w:rPr>
        <w:t>For</w:t>
      </w:r>
      <w:r w:rsidRPr="0021550A">
        <w:rPr>
          <w:rFonts w:cs="Courier New"/>
        </w:rPr>
        <w:t xml:space="preserve"> a printer to justify type by changing spellings, it only makes sense to change the spellings to ones that take up more or less space on the compositor’s stick. Therefore, </w:t>
      </w:r>
      <w:r w:rsidRPr="0021550A">
        <w:t>it was necessary to classify spelling change by the spacing</w:t>
      </w:r>
      <w:r w:rsidR="00EA4324">
        <w:t xml:space="preserve"> that the new spelling </w:t>
      </w:r>
      <w:r w:rsidR="00EA4324">
        <w:lastRenderedPageBreak/>
        <w:t>took up.</w:t>
      </w:r>
      <w:r w:rsidRPr="0021550A">
        <w:t xml:space="preserve"> I classified three types of spelling change: addition, replacement, reduction. </w:t>
      </w:r>
      <w:r w:rsidRPr="00EA4324">
        <w:t>Addition</w:t>
      </w:r>
      <w:r w:rsidRPr="0021550A">
        <w:t xml:space="preserve"> </w:t>
      </w:r>
      <w:r w:rsidR="00E350F2">
        <w:t xml:space="preserve">is </w:t>
      </w:r>
      <w:r w:rsidRPr="0021550A">
        <w:t xml:space="preserve">when the word in the second edition was respelled with more letters than in the first edition and therefore took up more space on the compositor’s line; </w:t>
      </w:r>
      <w:r w:rsidRPr="00EA4324">
        <w:t>replacement</w:t>
      </w:r>
      <w:r w:rsidRPr="0021550A">
        <w:t xml:space="preserve"> comprises the set of words whose spelling is altered, but the length of the word remains the same; </w:t>
      </w:r>
      <w:r w:rsidRPr="00EA4324">
        <w:t>reduction</w:t>
      </w:r>
      <w:r w:rsidRPr="0021550A">
        <w:t xml:space="preserve"> </w:t>
      </w:r>
      <w:r w:rsidR="00E350F2">
        <w:t xml:space="preserve">is </w:t>
      </w:r>
      <w:r w:rsidRPr="0021550A">
        <w:t>when the second edition features a shorter word than the first.</w:t>
      </w:r>
    </w:p>
    <w:p w14:paraId="45C413F7" w14:textId="77777777" w:rsidR="00277E53" w:rsidRPr="0021550A" w:rsidRDefault="00277E53" w:rsidP="000737CB"/>
    <w:tbl>
      <w:tblPr>
        <w:tblStyle w:val="GridTable1Light1"/>
        <w:tblW w:w="8129" w:type="dxa"/>
        <w:jc w:val="center"/>
        <w:tblLayout w:type="fixed"/>
        <w:tblLook w:val="04A0" w:firstRow="1" w:lastRow="0" w:firstColumn="1" w:lastColumn="0" w:noHBand="0" w:noVBand="1"/>
      </w:tblPr>
      <w:tblGrid>
        <w:gridCol w:w="1166"/>
        <w:gridCol w:w="932"/>
        <w:gridCol w:w="1503"/>
        <w:gridCol w:w="1503"/>
        <w:gridCol w:w="1503"/>
        <w:gridCol w:w="1522"/>
      </w:tblGrid>
      <w:tr w:rsidR="00277E53" w:rsidRPr="0021550A" w14:paraId="631792BD" w14:textId="77777777" w:rsidTr="005509E7">
        <w:trPr>
          <w:cnfStyle w:val="100000000000" w:firstRow="1" w:lastRow="0" w:firstColumn="0" w:lastColumn="0" w:oddVBand="0" w:evenVBand="0" w:oddHBand="0" w:evenHBand="0" w:firstRowFirstColumn="0" w:firstRowLastColumn="0" w:lastRowFirstColumn="0" w:lastRowLastColumn="0"/>
          <w:trHeight w:val="302"/>
          <w:jc w:val="center"/>
        </w:trPr>
        <w:tc>
          <w:tcPr>
            <w:cnfStyle w:val="001000000000" w:firstRow="0" w:lastRow="0" w:firstColumn="1" w:lastColumn="0" w:oddVBand="0" w:evenVBand="0" w:oddHBand="0" w:evenHBand="0" w:firstRowFirstColumn="0" w:firstRowLastColumn="0" w:lastRowFirstColumn="0" w:lastRowLastColumn="0"/>
            <w:tcW w:w="2098" w:type="dxa"/>
            <w:gridSpan w:val="2"/>
            <w:vMerge w:val="restart"/>
            <w:vAlign w:val="center"/>
          </w:tcPr>
          <w:p w14:paraId="0E3EC519" w14:textId="77777777" w:rsidR="00277E53" w:rsidRPr="0021550A" w:rsidRDefault="00277E53" w:rsidP="005E4E1A">
            <w:pPr>
              <w:ind w:firstLine="0"/>
              <w:jc w:val="center"/>
            </w:pPr>
          </w:p>
        </w:tc>
        <w:tc>
          <w:tcPr>
            <w:tcW w:w="6031" w:type="dxa"/>
            <w:gridSpan w:val="4"/>
            <w:tcBorders>
              <w:bottom w:val="single" w:sz="6" w:space="0" w:color="7F7F7F" w:themeColor="text1" w:themeTint="80"/>
            </w:tcBorders>
            <w:vAlign w:val="center"/>
          </w:tcPr>
          <w:p w14:paraId="191C05CF" w14:textId="77777777" w:rsidR="00277E53" w:rsidRPr="00EE7F9C" w:rsidRDefault="00277E53" w:rsidP="005E4E1A">
            <w:pPr>
              <w:ind w:firstLine="0"/>
              <w:jc w:val="center"/>
              <w:cnfStyle w:val="100000000000" w:firstRow="1" w:lastRow="0" w:firstColumn="0" w:lastColumn="0" w:oddVBand="0" w:evenVBand="0" w:oddHBand="0" w:evenHBand="0" w:firstRowFirstColumn="0" w:firstRowLastColumn="0" w:lastRowFirstColumn="0" w:lastRowLastColumn="0"/>
            </w:pPr>
            <w:r w:rsidRPr="00EE7F9C">
              <w:t>Type of Change</w:t>
            </w:r>
          </w:p>
        </w:tc>
      </w:tr>
      <w:tr w:rsidR="005509E7" w:rsidRPr="0021550A" w14:paraId="08ABDCD5" w14:textId="77777777" w:rsidTr="005509E7">
        <w:trPr>
          <w:trHeight w:val="289"/>
          <w:jc w:val="center"/>
        </w:trPr>
        <w:tc>
          <w:tcPr>
            <w:cnfStyle w:val="001000000000" w:firstRow="0" w:lastRow="0" w:firstColumn="1" w:lastColumn="0" w:oddVBand="0" w:evenVBand="0" w:oddHBand="0" w:evenHBand="0" w:firstRowFirstColumn="0" w:firstRowLastColumn="0" w:lastRowFirstColumn="0" w:lastRowLastColumn="0"/>
            <w:tcW w:w="2098" w:type="dxa"/>
            <w:gridSpan w:val="2"/>
            <w:vMerge/>
            <w:tcBorders>
              <w:bottom w:val="single" w:sz="12" w:space="0" w:color="7F7F7F" w:themeColor="text1" w:themeTint="80"/>
            </w:tcBorders>
            <w:vAlign w:val="center"/>
          </w:tcPr>
          <w:p w14:paraId="1A6553E0" w14:textId="77777777" w:rsidR="00277E53" w:rsidRPr="0021550A" w:rsidRDefault="00277E53" w:rsidP="005E4E1A">
            <w:pPr>
              <w:ind w:firstLine="0"/>
              <w:jc w:val="center"/>
            </w:pPr>
          </w:p>
        </w:tc>
        <w:tc>
          <w:tcPr>
            <w:tcW w:w="1503" w:type="dxa"/>
            <w:tcBorders>
              <w:top w:val="single" w:sz="6" w:space="0" w:color="7F7F7F" w:themeColor="text1" w:themeTint="80"/>
              <w:bottom w:val="single" w:sz="12" w:space="0" w:color="7F7F7F" w:themeColor="text1" w:themeTint="80"/>
            </w:tcBorders>
            <w:vAlign w:val="center"/>
          </w:tcPr>
          <w:p w14:paraId="3C4F6B7A" w14:textId="77777777" w:rsidR="00277E53" w:rsidRPr="0021550A" w:rsidRDefault="00277E53" w:rsidP="005E4E1A">
            <w:pPr>
              <w:ind w:firstLine="0"/>
              <w:jc w:val="center"/>
              <w:cnfStyle w:val="000000000000" w:firstRow="0" w:lastRow="0" w:firstColumn="0" w:lastColumn="0" w:oddVBand="0" w:evenVBand="0" w:oddHBand="0" w:evenHBand="0" w:firstRowFirstColumn="0" w:firstRowLastColumn="0" w:lastRowFirstColumn="0" w:lastRowLastColumn="0"/>
            </w:pPr>
            <w:r w:rsidRPr="0021550A">
              <w:t>Addition</w:t>
            </w:r>
          </w:p>
        </w:tc>
        <w:tc>
          <w:tcPr>
            <w:tcW w:w="1503" w:type="dxa"/>
            <w:tcBorders>
              <w:top w:val="single" w:sz="6" w:space="0" w:color="7F7F7F" w:themeColor="text1" w:themeTint="80"/>
              <w:bottom w:val="single" w:sz="12" w:space="0" w:color="7F7F7F" w:themeColor="text1" w:themeTint="80"/>
            </w:tcBorders>
            <w:vAlign w:val="center"/>
          </w:tcPr>
          <w:p w14:paraId="4DDAFC83" w14:textId="77777777" w:rsidR="00277E53" w:rsidRPr="0021550A" w:rsidRDefault="00277E53" w:rsidP="005E4E1A">
            <w:pPr>
              <w:ind w:firstLine="0"/>
              <w:jc w:val="center"/>
              <w:cnfStyle w:val="000000000000" w:firstRow="0" w:lastRow="0" w:firstColumn="0" w:lastColumn="0" w:oddVBand="0" w:evenVBand="0" w:oddHBand="0" w:evenHBand="0" w:firstRowFirstColumn="0" w:firstRowLastColumn="0" w:lastRowFirstColumn="0" w:lastRowLastColumn="0"/>
            </w:pPr>
            <w:r w:rsidRPr="0021550A">
              <w:t>Reduction</w:t>
            </w:r>
          </w:p>
        </w:tc>
        <w:tc>
          <w:tcPr>
            <w:tcW w:w="1503" w:type="dxa"/>
            <w:tcBorders>
              <w:top w:val="single" w:sz="6" w:space="0" w:color="7F7F7F" w:themeColor="text1" w:themeTint="80"/>
              <w:bottom w:val="single" w:sz="12" w:space="0" w:color="7F7F7F" w:themeColor="text1" w:themeTint="80"/>
            </w:tcBorders>
            <w:vAlign w:val="center"/>
          </w:tcPr>
          <w:p w14:paraId="65161B95" w14:textId="77777777" w:rsidR="00277E53" w:rsidRPr="0021550A" w:rsidRDefault="00277E53" w:rsidP="005E4E1A">
            <w:pPr>
              <w:ind w:firstLine="0"/>
              <w:jc w:val="center"/>
              <w:cnfStyle w:val="000000000000" w:firstRow="0" w:lastRow="0" w:firstColumn="0" w:lastColumn="0" w:oddVBand="0" w:evenVBand="0" w:oddHBand="0" w:evenHBand="0" w:firstRowFirstColumn="0" w:firstRowLastColumn="0" w:lastRowFirstColumn="0" w:lastRowLastColumn="0"/>
            </w:pPr>
            <w:r w:rsidRPr="0021550A">
              <w:t>Replacement</w:t>
            </w:r>
          </w:p>
        </w:tc>
        <w:tc>
          <w:tcPr>
            <w:tcW w:w="1522" w:type="dxa"/>
            <w:tcBorders>
              <w:top w:val="single" w:sz="6" w:space="0" w:color="7F7F7F" w:themeColor="text1" w:themeTint="80"/>
              <w:bottom w:val="single" w:sz="12" w:space="0" w:color="7F7F7F" w:themeColor="text1" w:themeTint="80"/>
            </w:tcBorders>
            <w:vAlign w:val="center"/>
          </w:tcPr>
          <w:p w14:paraId="1C2D15D9" w14:textId="77777777" w:rsidR="00277E53" w:rsidRPr="0021550A" w:rsidRDefault="00277E53" w:rsidP="005E4E1A">
            <w:pPr>
              <w:ind w:firstLine="0"/>
              <w:jc w:val="center"/>
              <w:cnfStyle w:val="000000000000" w:firstRow="0" w:lastRow="0" w:firstColumn="0" w:lastColumn="0" w:oddVBand="0" w:evenVBand="0" w:oddHBand="0" w:evenHBand="0" w:firstRowFirstColumn="0" w:firstRowLastColumn="0" w:lastRowFirstColumn="0" w:lastRowLastColumn="0"/>
            </w:pPr>
            <w:r w:rsidRPr="0021550A">
              <w:t>Total</w:t>
            </w:r>
          </w:p>
        </w:tc>
      </w:tr>
      <w:tr w:rsidR="005509E7" w:rsidRPr="0021550A" w14:paraId="31C5717A" w14:textId="77777777" w:rsidTr="005509E7">
        <w:trPr>
          <w:trHeight w:val="289"/>
          <w:jc w:val="center"/>
        </w:trPr>
        <w:tc>
          <w:tcPr>
            <w:cnfStyle w:val="001000000000" w:firstRow="0" w:lastRow="0" w:firstColumn="1" w:lastColumn="0" w:oddVBand="0" w:evenVBand="0" w:oddHBand="0" w:evenHBand="0" w:firstRowFirstColumn="0" w:firstRowLastColumn="0" w:lastRowFirstColumn="0" w:lastRowLastColumn="0"/>
            <w:tcW w:w="1166" w:type="dxa"/>
            <w:vMerge w:val="restart"/>
            <w:tcBorders>
              <w:top w:val="single" w:sz="12" w:space="0" w:color="7F7F7F" w:themeColor="text1" w:themeTint="80"/>
            </w:tcBorders>
            <w:vAlign w:val="center"/>
          </w:tcPr>
          <w:p w14:paraId="4443974B" w14:textId="77777777" w:rsidR="00277E53" w:rsidRPr="0021550A" w:rsidRDefault="00277E53" w:rsidP="005E4E1A">
            <w:pPr>
              <w:ind w:firstLine="0"/>
              <w:jc w:val="center"/>
            </w:pPr>
            <w:r w:rsidRPr="00EE7F9C">
              <w:t>Text</w:t>
            </w:r>
            <w:r w:rsidRPr="0021550A">
              <w:t xml:space="preserve"> </w:t>
            </w:r>
            <w:r w:rsidRPr="00EE7F9C">
              <w:t>type</w:t>
            </w:r>
          </w:p>
        </w:tc>
        <w:tc>
          <w:tcPr>
            <w:tcW w:w="932" w:type="dxa"/>
            <w:tcBorders>
              <w:top w:val="single" w:sz="12" w:space="0" w:color="7F7F7F" w:themeColor="text1" w:themeTint="80"/>
            </w:tcBorders>
            <w:vAlign w:val="center"/>
          </w:tcPr>
          <w:p w14:paraId="700FEFC2" w14:textId="77777777" w:rsidR="00277E53" w:rsidRPr="0021550A" w:rsidRDefault="00277E53" w:rsidP="005E4E1A">
            <w:pPr>
              <w:ind w:firstLine="0"/>
              <w:jc w:val="center"/>
              <w:cnfStyle w:val="000000000000" w:firstRow="0" w:lastRow="0" w:firstColumn="0" w:lastColumn="0" w:oddVBand="0" w:evenVBand="0" w:oddHBand="0" w:evenHBand="0" w:firstRowFirstColumn="0" w:firstRowLastColumn="0" w:lastRowFirstColumn="0" w:lastRowLastColumn="0"/>
            </w:pPr>
            <w:r w:rsidRPr="0021550A">
              <w:t>Verse</w:t>
            </w:r>
          </w:p>
        </w:tc>
        <w:tc>
          <w:tcPr>
            <w:tcW w:w="1503" w:type="dxa"/>
            <w:tcBorders>
              <w:top w:val="single" w:sz="12" w:space="0" w:color="7F7F7F" w:themeColor="text1" w:themeTint="80"/>
            </w:tcBorders>
            <w:vAlign w:val="center"/>
          </w:tcPr>
          <w:p w14:paraId="2E6DEBAD" w14:textId="77777777" w:rsidR="00277E53" w:rsidRPr="0021550A" w:rsidRDefault="00277E53" w:rsidP="005E4E1A">
            <w:pPr>
              <w:ind w:firstLine="0"/>
              <w:jc w:val="center"/>
              <w:cnfStyle w:val="000000000000" w:firstRow="0" w:lastRow="0" w:firstColumn="0" w:lastColumn="0" w:oddVBand="0" w:evenVBand="0" w:oddHBand="0" w:evenHBand="0" w:firstRowFirstColumn="0" w:firstRowLastColumn="0" w:lastRowFirstColumn="0" w:lastRowLastColumn="0"/>
            </w:pPr>
            <w:r w:rsidRPr="0021550A">
              <w:t>25.55</w:t>
            </w:r>
          </w:p>
        </w:tc>
        <w:tc>
          <w:tcPr>
            <w:tcW w:w="1503" w:type="dxa"/>
            <w:tcBorders>
              <w:top w:val="single" w:sz="12" w:space="0" w:color="7F7F7F" w:themeColor="text1" w:themeTint="80"/>
            </w:tcBorders>
            <w:vAlign w:val="center"/>
          </w:tcPr>
          <w:p w14:paraId="49F70B9D" w14:textId="77777777" w:rsidR="00277E53" w:rsidRPr="0021550A" w:rsidRDefault="00277E53" w:rsidP="005E4E1A">
            <w:pPr>
              <w:ind w:firstLine="0"/>
              <w:jc w:val="center"/>
              <w:cnfStyle w:val="000000000000" w:firstRow="0" w:lastRow="0" w:firstColumn="0" w:lastColumn="0" w:oddVBand="0" w:evenVBand="0" w:oddHBand="0" w:evenHBand="0" w:firstRowFirstColumn="0" w:firstRowLastColumn="0" w:lastRowFirstColumn="0" w:lastRowLastColumn="0"/>
            </w:pPr>
            <w:r w:rsidRPr="0021550A">
              <w:t>22.01</w:t>
            </w:r>
          </w:p>
        </w:tc>
        <w:tc>
          <w:tcPr>
            <w:tcW w:w="1503" w:type="dxa"/>
            <w:tcBorders>
              <w:top w:val="single" w:sz="12" w:space="0" w:color="7F7F7F" w:themeColor="text1" w:themeTint="80"/>
            </w:tcBorders>
            <w:vAlign w:val="center"/>
          </w:tcPr>
          <w:p w14:paraId="25854F9E" w14:textId="77777777" w:rsidR="00277E53" w:rsidRPr="0021550A" w:rsidRDefault="00277E53" w:rsidP="005E4E1A">
            <w:pPr>
              <w:ind w:firstLine="0"/>
              <w:jc w:val="center"/>
              <w:cnfStyle w:val="000000000000" w:firstRow="0" w:lastRow="0" w:firstColumn="0" w:lastColumn="0" w:oddVBand="0" w:evenVBand="0" w:oddHBand="0" w:evenHBand="0" w:firstRowFirstColumn="0" w:firstRowLastColumn="0" w:lastRowFirstColumn="0" w:lastRowLastColumn="0"/>
            </w:pPr>
            <w:r w:rsidRPr="0021550A">
              <w:t>100.99</w:t>
            </w:r>
          </w:p>
        </w:tc>
        <w:tc>
          <w:tcPr>
            <w:tcW w:w="1522" w:type="dxa"/>
            <w:tcBorders>
              <w:top w:val="single" w:sz="12" w:space="0" w:color="7F7F7F" w:themeColor="text1" w:themeTint="80"/>
            </w:tcBorders>
            <w:vAlign w:val="center"/>
          </w:tcPr>
          <w:p w14:paraId="064C221D" w14:textId="77777777" w:rsidR="00277E53" w:rsidRPr="00EE7F9C" w:rsidRDefault="00277E53" w:rsidP="005E4E1A">
            <w:pPr>
              <w:ind w:firstLine="0"/>
              <w:jc w:val="center"/>
              <w:cnfStyle w:val="000000000000" w:firstRow="0" w:lastRow="0" w:firstColumn="0" w:lastColumn="0" w:oddVBand="0" w:evenVBand="0" w:oddHBand="0" w:evenHBand="0" w:firstRowFirstColumn="0" w:firstRowLastColumn="0" w:lastRowFirstColumn="0" w:lastRowLastColumn="0"/>
            </w:pPr>
            <w:r w:rsidRPr="00EE7F9C">
              <w:t>148.55</w:t>
            </w:r>
          </w:p>
        </w:tc>
      </w:tr>
      <w:tr w:rsidR="005509E7" w:rsidRPr="0021550A" w14:paraId="3FBC80A0" w14:textId="77777777" w:rsidTr="005509E7">
        <w:trPr>
          <w:trHeight w:val="144"/>
          <w:jc w:val="center"/>
        </w:trPr>
        <w:tc>
          <w:tcPr>
            <w:cnfStyle w:val="001000000000" w:firstRow="0" w:lastRow="0" w:firstColumn="1" w:lastColumn="0" w:oddVBand="0" w:evenVBand="0" w:oddHBand="0" w:evenHBand="0" w:firstRowFirstColumn="0" w:firstRowLastColumn="0" w:lastRowFirstColumn="0" w:lastRowLastColumn="0"/>
            <w:tcW w:w="1166" w:type="dxa"/>
            <w:vMerge/>
            <w:vAlign w:val="center"/>
          </w:tcPr>
          <w:p w14:paraId="7E9F1EF9" w14:textId="77777777" w:rsidR="00277E53" w:rsidRPr="0021550A" w:rsidRDefault="00277E53" w:rsidP="005E4E1A">
            <w:pPr>
              <w:ind w:firstLine="0"/>
              <w:jc w:val="center"/>
            </w:pPr>
          </w:p>
        </w:tc>
        <w:tc>
          <w:tcPr>
            <w:tcW w:w="932" w:type="dxa"/>
            <w:vAlign w:val="center"/>
          </w:tcPr>
          <w:p w14:paraId="39742580" w14:textId="77777777" w:rsidR="00277E53" w:rsidRPr="0021550A" w:rsidRDefault="00277E53" w:rsidP="005E4E1A">
            <w:pPr>
              <w:ind w:firstLine="0"/>
              <w:jc w:val="center"/>
              <w:cnfStyle w:val="000000000000" w:firstRow="0" w:lastRow="0" w:firstColumn="0" w:lastColumn="0" w:oddVBand="0" w:evenVBand="0" w:oddHBand="0" w:evenHBand="0" w:firstRowFirstColumn="0" w:firstRowLastColumn="0" w:lastRowFirstColumn="0" w:lastRowLastColumn="0"/>
            </w:pPr>
            <w:r w:rsidRPr="0021550A">
              <w:t>Prose</w:t>
            </w:r>
          </w:p>
        </w:tc>
        <w:tc>
          <w:tcPr>
            <w:tcW w:w="1503" w:type="dxa"/>
            <w:vAlign w:val="center"/>
          </w:tcPr>
          <w:p w14:paraId="37CF80D5" w14:textId="77777777" w:rsidR="00277E53" w:rsidRPr="0021550A" w:rsidRDefault="00277E53" w:rsidP="005E4E1A">
            <w:pPr>
              <w:ind w:firstLine="0"/>
              <w:jc w:val="center"/>
              <w:cnfStyle w:val="000000000000" w:firstRow="0" w:lastRow="0" w:firstColumn="0" w:lastColumn="0" w:oddVBand="0" w:evenVBand="0" w:oddHBand="0" w:evenHBand="0" w:firstRowFirstColumn="0" w:firstRowLastColumn="0" w:lastRowFirstColumn="0" w:lastRowLastColumn="0"/>
            </w:pPr>
            <w:r w:rsidRPr="0021550A">
              <w:t>16.84</w:t>
            </w:r>
          </w:p>
        </w:tc>
        <w:tc>
          <w:tcPr>
            <w:tcW w:w="1503" w:type="dxa"/>
            <w:vAlign w:val="center"/>
          </w:tcPr>
          <w:p w14:paraId="2E8E4359" w14:textId="77777777" w:rsidR="00277E53" w:rsidRPr="0021550A" w:rsidRDefault="00277E53" w:rsidP="005E4E1A">
            <w:pPr>
              <w:ind w:firstLine="0"/>
              <w:jc w:val="center"/>
              <w:cnfStyle w:val="000000000000" w:firstRow="0" w:lastRow="0" w:firstColumn="0" w:lastColumn="0" w:oddVBand="0" w:evenVBand="0" w:oddHBand="0" w:evenHBand="0" w:firstRowFirstColumn="0" w:firstRowLastColumn="0" w:lastRowFirstColumn="0" w:lastRowLastColumn="0"/>
            </w:pPr>
            <w:r w:rsidRPr="0021550A">
              <w:t>20.84</w:t>
            </w:r>
          </w:p>
        </w:tc>
        <w:tc>
          <w:tcPr>
            <w:tcW w:w="1503" w:type="dxa"/>
            <w:vAlign w:val="center"/>
          </w:tcPr>
          <w:p w14:paraId="22BA6A40" w14:textId="77777777" w:rsidR="00277E53" w:rsidRPr="0021550A" w:rsidRDefault="00277E53" w:rsidP="005E4E1A">
            <w:pPr>
              <w:ind w:firstLine="0"/>
              <w:jc w:val="center"/>
              <w:cnfStyle w:val="000000000000" w:firstRow="0" w:lastRow="0" w:firstColumn="0" w:lastColumn="0" w:oddVBand="0" w:evenVBand="0" w:oddHBand="0" w:evenHBand="0" w:firstRowFirstColumn="0" w:firstRowLastColumn="0" w:lastRowFirstColumn="0" w:lastRowLastColumn="0"/>
            </w:pPr>
            <w:r w:rsidRPr="0021550A">
              <w:t>74.55</w:t>
            </w:r>
          </w:p>
        </w:tc>
        <w:tc>
          <w:tcPr>
            <w:tcW w:w="1522" w:type="dxa"/>
            <w:vAlign w:val="center"/>
          </w:tcPr>
          <w:p w14:paraId="648AE693" w14:textId="77777777" w:rsidR="00277E53" w:rsidRPr="00EE7F9C" w:rsidRDefault="00277E53" w:rsidP="005E4E1A">
            <w:pPr>
              <w:ind w:firstLine="0"/>
              <w:jc w:val="center"/>
              <w:cnfStyle w:val="000000000000" w:firstRow="0" w:lastRow="0" w:firstColumn="0" w:lastColumn="0" w:oddVBand="0" w:evenVBand="0" w:oddHBand="0" w:evenHBand="0" w:firstRowFirstColumn="0" w:firstRowLastColumn="0" w:lastRowFirstColumn="0" w:lastRowLastColumn="0"/>
            </w:pPr>
            <w:r w:rsidRPr="00EE7F9C">
              <w:t>112.23</w:t>
            </w:r>
          </w:p>
        </w:tc>
      </w:tr>
      <w:tr w:rsidR="005509E7" w:rsidRPr="0021550A" w14:paraId="4DEE25A7" w14:textId="77777777" w:rsidTr="005509E7">
        <w:trPr>
          <w:trHeight w:val="144"/>
          <w:jc w:val="center"/>
        </w:trPr>
        <w:tc>
          <w:tcPr>
            <w:cnfStyle w:val="001000000000" w:firstRow="0" w:lastRow="0" w:firstColumn="1" w:lastColumn="0" w:oddVBand="0" w:evenVBand="0" w:oddHBand="0" w:evenHBand="0" w:firstRowFirstColumn="0" w:firstRowLastColumn="0" w:lastRowFirstColumn="0" w:lastRowLastColumn="0"/>
            <w:tcW w:w="1166" w:type="dxa"/>
            <w:vMerge/>
            <w:vAlign w:val="center"/>
          </w:tcPr>
          <w:p w14:paraId="3D9F5131" w14:textId="77777777" w:rsidR="00277E53" w:rsidRPr="0021550A" w:rsidRDefault="00277E53" w:rsidP="005E4E1A">
            <w:pPr>
              <w:ind w:firstLine="0"/>
              <w:jc w:val="center"/>
            </w:pPr>
          </w:p>
        </w:tc>
        <w:tc>
          <w:tcPr>
            <w:tcW w:w="932" w:type="dxa"/>
            <w:vAlign w:val="center"/>
          </w:tcPr>
          <w:p w14:paraId="23FAA130" w14:textId="77777777" w:rsidR="00277E53" w:rsidRPr="0021550A" w:rsidRDefault="00277E53" w:rsidP="005E4E1A">
            <w:pPr>
              <w:ind w:firstLine="0"/>
              <w:jc w:val="center"/>
              <w:cnfStyle w:val="000000000000" w:firstRow="0" w:lastRow="0" w:firstColumn="0" w:lastColumn="0" w:oddVBand="0" w:evenVBand="0" w:oddHBand="0" w:evenHBand="0" w:firstRowFirstColumn="0" w:firstRowLastColumn="0" w:lastRowFirstColumn="0" w:lastRowLastColumn="0"/>
            </w:pPr>
            <w:r w:rsidRPr="0021550A">
              <w:t>Total</w:t>
            </w:r>
          </w:p>
        </w:tc>
        <w:tc>
          <w:tcPr>
            <w:tcW w:w="1503" w:type="dxa"/>
            <w:vAlign w:val="center"/>
          </w:tcPr>
          <w:p w14:paraId="610686DA" w14:textId="77777777" w:rsidR="00277E53" w:rsidRPr="00EE7F9C" w:rsidRDefault="00277E53" w:rsidP="005E4E1A">
            <w:pPr>
              <w:ind w:firstLine="0"/>
              <w:jc w:val="center"/>
              <w:cnfStyle w:val="000000000000" w:firstRow="0" w:lastRow="0" w:firstColumn="0" w:lastColumn="0" w:oddVBand="0" w:evenVBand="0" w:oddHBand="0" w:evenHBand="0" w:firstRowFirstColumn="0" w:firstRowLastColumn="0" w:lastRowFirstColumn="0" w:lastRowLastColumn="0"/>
            </w:pPr>
            <w:r w:rsidRPr="00EE7F9C">
              <w:t>42.39</w:t>
            </w:r>
          </w:p>
        </w:tc>
        <w:tc>
          <w:tcPr>
            <w:tcW w:w="1503" w:type="dxa"/>
            <w:vAlign w:val="center"/>
          </w:tcPr>
          <w:p w14:paraId="52703FEC" w14:textId="77777777" w:rsidR="00277E53" w:rsidRPr="00EE7F9C" w:rsidRDefault="00277E53" w:rsidP="005E4E1A">
            <w:pPr>
              <w:ind w:firstLine="0"/>
              <w:jc w:val="center"/>
              <w:cnfStyle w:val="000000000000" w:firstRow="0" w:lastRow="0" w:firstColumn="0" w:lastColumn="0" w:oddVBand="0" w:evenVBand="0" w:oddHBand="0" w:evenHBand="0" w:firstRowFirstColumn="0" w:firstRowLastColumn="0" w:lastRowFirstColumn="0" w:lastRowLastColumn="0"/>
            </w:pPr>
            <w:r w:rsidRPr="00EE7F9C">
              <w:t>42.85</w:t>
            </w:r>
          </w:p>
        </w:tc>
        <w:tc>
          <w:tcPr>
            <w:tcW w:w="1503" w:type="dxa"/>
            <w:vAlign w:val="center"/>
          </w:tcPr>
          <w:p w14:paraId="37511BB3" w14:textId="77777777" w:rsidR="00277E53" w:rsidRPr="00EE7F9C" w:rsidRDefault="00277E53" w:rsidP="005E4E1A">
            <w:pPr>
              <w:ind w:firstLine="0"/>
              <w:jc w:val="center"/>
              <w:cnfStyle w:val="000000000000" w:firstRow="0" w:lastRow="0" w:firstColumn="0" w:lastColumn="0" w:oddVBand="0" w:evenVBand="0" w:oddHBand="0" w:evenHBand="0" w:firstRowFirstColumn="0" w:firstRowLastColumn="0" w:lastRowFirstColumn="0" w:lastRowLastColumn="0"/>
            </w:pPr>
            <w:r w:rsidRPr="00EE7F9C">
              <w:t>175.54</w:t>
            </w:r>
          </w:p>
        </w:tc>
        <w:tc>
          <w:tcPr>
            <w:tcW w:w="1522" w:type="dxa"/>
            <w:vAlign w:val="center"/>
          </w:tcPr>
          <w:p w14:paraId="3DA06922" w14:textId="77777777" w:rsidR="00277E53" w:rsidRPr="00EE7F9C" w:rsidRDefault="00277E53" w:rsidP="005E4E1A">
            <w:pPr>
              <w:ind w:firstLine="0"/>
              <w:jc w:val="center"/>
              <w:cnfStyle w:val="000000000000" w:firstRow="0" w:lastRow="0" w:firstColumn="0" w:lastColumn="0" w:oddVBand="0" w:evenVBand="0" w:oddHBand="0" w:evenHBand="0" w:firstRowFirstColumn="0" w:firstRowLastColumn="0" w:lastRowFirstColumn="0" w:lastRowLastColumn="0"/>
            </w:pPr>
            <w:r w:rsidRPr="00EE7F9C">
              <w:t>260.78</w:t>
            </w:r>
          </w:p>
        </w:tc>
      </w:tr>
    </w:tbl>
    <w:p w14:paraId="44274B83" w14:textId="1C93AE03" w:rsidR="00277E53" w:rsidRPr="0021550A" w:rsidRDefault="00982319" w:rsidP="000737CB">
      <w:pPr>
        <w:pStyle w:val="Caption"/>
      </w:pPr>
      <w:bookmarkStart w:id="55" w:name="_Toc499753469"/>
      <w:r>
        <w:t>Table 3.6:</w:t>
      </w:r>
      <w:r w:rsidR="00277E53" w:rsidRPr="0021550A">
        <w:t xml:space="preserve"> Frequency of spelling change in Cx2, per 1,000 words</w:t>
      </w:r>
      <w:bookmarkEnd w:id="55"/>
    </w:p>
    <w:p w14:paraId="3288C43F" w14:textId="77777777" w:rsidR="00277E53" w:rsidRPr="0021550A" w:rsidRDefault="00277E53" w:rsidP="000737CB"/>
    <w:p w14:paraId="43DD6EB1" w14:textId="2FFC35A7" w:rsidR="00277E53" w:rsidRPr="0021550A" w:rsidRDefault="00277E53" w:rsidP="000737CB">
      <w:r w:rsidRPr="0021550A">
        <w:t>The frequencies</w:t>
      </w:r>
      <w:r w:rsidR="00EE7F9C">
        <w:t xml:space="preserve"> in </w:t>
      </w:r>
      <w:r w:rsidR="00982319">
        <w:t xml:space="preserve"> Table 3.6</w:t>
      </w:r>
      <w:r w:rsidRPr="0021550A">
        <w:t>, whether considered together or broken down into these three categories, do not suggest that there was any great difference between the prose and the verse texts. In fact</w:t>
      </w:r>
      <w:r w:rsidR="00EE7F9C">
        <w:t>,</w:t>
      </w:r>
      <w:r w:rsidRPr="0021550A">
        <w:t xml:space="preserve"> a greater number of spellings was changed in the verse than in the prose. As the verse acts as a baseline measure for the variation without justification, the fact that the prose has a similar distribution of locations and similar frequencies of change supports my hypothesis that the prose is not altered for the purposes of justification.</w:t>
      </w:r>
    </w:p>
    <w:p w14:paraId="20EC52EC" w14:textId="238191A3" w:rsidR="00277E53" w:rsidRPr="0021550A" w:rsidRDefault="00277E53" w:rsidP="000737CB">
      <w:r w:rsidRPr="0021550A">
        <w:t xml:space="preserve">Additionally, there was no patterning as to </w:t>
      </w:r>
      <w:r w:rsidRPr="00EE7F9C">
        <w:rPr>
          <w:iCs/>
        </w:rPr>
        <w:t>where</w:t>
      </w:r>
      <w:r w:rsidRPr="0021550A">
        <w:t xml:space="preserve"> the spelling changes occurred on the page. Gaskell </w:t>
      </w:r>
      <w:r w:rsidR="005D4F90" w:rsidRPr="00483D32">
        <w:t>(1972:</w:t>
      </w:r>
      <w:r w:rsidR="005D4F90">
        <w:t xml:space="preserve"> </w:t>
      </w:r>
      <w:r w:rsidR="005D4F90" w:rsidRPr="00483D32">
        <w:t>346)</w:t>
      </w:r>
      <w:r w:rsidR="005D4F90">
        <w:t xml:space="preserve"> states</w:t>
      </w:r>
      <w:r w:rsidRPr="0021550A">
        <w:t xml:space="preserve"> that compositors were more likely to change spellings towards the ends of lines, or towards the ends of pages when they realised that they were running out of space. This tendency would make sense: it is easier for the compositor to change words that are near the rightmost side of the line, purely because of the difficulty in getting letters in and out that are already sandwiched between type. Therefore, words which have been changed at the end of a line are also perhaps more likely to be candidates for change for justification. This is not </w:t>
      </w:r>
      <w:r w:rsidR="00EE7F9C">
        <w:t>what I have found in this study</w:t>
      </w:r>
      <w:r w:rsidRPr="0021550A">
        <w:t xml:space="preserve">. Instead, I found that in both the prose and the verse, there was no statistically significant result as to where on the page the spelling changes occurred. </w:t>
      </w:r>
    </w:p>
    <w:p w14:paraId="53E33E6B" w14:textId="4699154C" w:rsidR="005D4F90" w:rsidRPr="0021550A" w:rsidRDefault="00982319" w:rsidP="005D4F90">
      <w:r>
        <w:t>Figure 3.7</w:t>
      </w:r>
      <w:r w:rsidR="005D4F90" w:rsidRPr="0021550A">
        <w:t xml:space="preserve"> represents the cumulative distribution of the location on the page of spelling changes in the prose samples of Cx2. Here, the </w:t>
      </w:r>
      <w:r w:rsidR="005D4F90" w:rsidRPr="00CC25D5">
        <w:rPr>
          <w:i/>
        </w:rPr>
        <w:t>x</w:t>
      </w:r>
      <w:r w:rsidR="005D4F90" w:rsidRPr="0021550A">
        <w:t xml:space="preserve">-axis represents the distance across the page that spelling changes occurred, and the </w:t>
      </w:r>
      <w:r w:rsidR="005D4F90" w:rsidRPr="00CC25D5">
        <w:rPr>
          <w:i/>
        </w:rPr>
        <w:t>y</w:t>
      </w:r>
      <w:r w:rsidR="005D4F90" w:rsidRPr="0021550A">
        <w:t xml:space="preserve">-axis shows the line number of the page—each page I analysed in Cx2 had 38 lines of type. The area of the graph represents the printable area on Caxton’s page. Each circle represents one spelling change within the prose, located by its line number and its distance across the width of the page. These are the changes of all spelling changes I observed in Cx2 superimposed onto one </w:t>
      </w:r>
      <w:r w:rsidR="005D4F90" w:rsidRPr="0021550A">
        <w:lastRenderedPageBreak/>
        <w:t xml:space="preserve">graph. We can see that the spelling changes are distributed across all areas of the page. Had the compositors been altering spellings towards the ends of the lines, as Salmon suggested, we would see a far stronger clustering of changes along the far right of the page, or in this case, the graph. As it is, the spelling changes are distributed evenly across the page both in terms of how far across they occur, and how far down the page they occur. </w:t>
      </w:r>
    </w:p>
    <w:p w14:paraId="2535DA50" w14:textId="77777777" w:rsidR="00277E53" w:rsidRPr="0021550A" w:rsidRDefault="00277E53" w:rsidP="000737CB">
      <w:pPr>
        <w:rPr>
          <w:lang w:eastAsia="zh-CN"/>
        </w:rPr>
      </w:pPr>
    </w:p>
    <w:p w14:paraId="1E04F9D8" w14:textId="73933CFD" w:rsidR="00277E53" w:rsidRPr="0021550A" w:rsidRDefault="00CC25D5" w:rsidP="00740B8C">
      <w:pPr>
        <w:ind w:firstLine="0"/>
      </w:pPr>
      <w:r>
        <w:rPr>
          <w:noProof/>
          <w:lang w:eastAsia="en-GB"/>
        </w:rPr>
        <w:drawing>
          <wp:inline distT="0" distB="0" distL="0" distR="0" wp14:anchorId="5E5DED06" wp14:editId="56E5690A">
            <wp:extent cx="3044825" cy="3882683"/>
            <wp:effectExtent l="0" t="0" r="3175" b="381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Figure 6.pdf"/>
                    <pic:cNvPicPr/>
                  </pic:nvPicPr>
                  <pic:blipFill rotWithShape="1">
                    <a:blip r:embed="rId24">
                      <a:extLst>
                        <a:ext uri="{28A0092B-C50C-407E-A947-70E740481C1C}">
                          <a14:useLocalDpi xmlns:a14="http://schemas.microsoft.com/office/drawing/2010/main"/>
                        </a:ext>
                      </a:extLst>
                    </a:blip>
                    <a:srcRect l="11914" t="9206" r="34914" b="38401"/>
                    <a:stretch/>
                  </pic:blipFill>
                  <pic:spPr bwMode="auto">
                    <a:xfrm>
                      <a:off x="0" y="0"/>
                      <a:ext cx="3045566" cy="3883628"/>
                    </a:xfrm>
                    <a:prstGeom prst="rect">
                      <a:avLst/>
                    </a:prstGeom>
                    <a:ln>
                      <a:noFill/>
                    </a:ln>
                    <a:extLst>
                      <a:ext uri="{53640926-AAD7-44D8-BBD7-CCE9431645EC}">
                        <a14:shadowObscured xmlns:a14="http://schemas.microsoft.com/office/drawing/2010/main"/>
                      </a:ext>
                    </a:extLst>
                  </pic:spPr>
                </pic:pic>
              </a:graphicData>
            </a:graphic>
          </wp:inline>
        </w:drawing>
      </w:r>
    </w:p>
    <w:p w14:paraId="3FF19196" w14:textId="46358CDE" w:rsidR="00277E53" w:rsidRPr="0021550A" w:rsidRDefault="00982319" w:rsidP="000737CB">
      <w:pPr>
        <w:pStyle w:val="Caption"/>
      </w:pPr>
      <w:bookmarkStart w:id="56" w:name="_Toc443641630"/>
      <w:bookmarkStart w:id="57" w:name="_Toc499753510"/>
      <w:r>
        <w:t>Figure 3.7</w:t>
      </w:r>
      <w:r w:rsidR="00D36157">
        <w:t xml:space="preserve"> D</w:t>
      </w:r>
      <w:r w:rsidR="00277E53" w:rsidRPr="0021550A">
        <w:t xml:space="preserve">istribution of spelling changes in the </w:t>
      </w:r>
      <w:r w:rsidR="00277E53" w:rsidRPr="005E4E1A">
        <w:rPr>
          <w:i/>
        </w:rPr>
        <w:t>Canterbury Tales</w:t>
      </w:r>
      <w:r w:rsidR="00277E53" w:rsidRPr="0021550A">
        <w:t xml:space="preserve"> prose</w:t>
      </w:r>
      <w:bookmarkEnd w:id="56"/>
      <w:bookmarkEnd w:id="57"/>
    </w:p>
    <w:p w14:paraId="316AF139" w14:textId="77777777" w:rsidR="00277E53" w:rsidRDefault="00277E53" w:rsidP="000737CB"/>
    <w:p w14:paraId="0188BFBC" w14:textId="71CDF0DF" w:rsidR="005D4F90" w:rsidRPr="0021550A" w:rsidRDefault="005D4F90" w:rsidP="005D4F90">
      <w:r w:rsidRPr="0021550A">
        <w:t xml:space="preserve">The spelling changes are similarly distributed in Pynson’s </w:t>
      </w:r>
      <w:r w:rsidRPr="0021550A">
        <w:rPr>
          <w:i/>
          <w:iCs/>
        </w:rPr>
        <w:t>Reynard</w:t>
      </w:r>
      <w:r>
        <w:t xml:space="preserve">, shown in </w:t>
      </w:r>
      <w:r w:rsidR="00982319">
        <w:fldChar w:fldCharType="begin"/>
      </w:r>
      <w:r w:rsidR="00982319">
        <w:instrText xml:space="preserve"> REF _Ref442883098  \* MERGEFORMAT </w:instrText>
      </w:r>
      <w:r w:rsidR="00982319">
        <w:fldChar w:fldCharType="separate"/>
      </w:r>
      <w:r w:rsidR="00982319" w:rsidRPr="0021550A">
        <w:t xml:space="preserve">Figure </w:t>
      </w:r>
      <w:r w:rsidR="00982319">
        <w:t>3.8</w:t>
      </w:r>
      <w:r w:rsidR="00982319">
        <w:fldChar w:fldCharType="end"/>
      </w:r>
      <w:r>
        <w:t xml:space="preserve">. </w:t>
      </w:r>
      <w:r w:rsidRPr="0021550A">
        <w:t xml:space="preserve">The graph shows clearly the gap between the two columns. Additionally, several pages of the sample that I examined had an extra line 39 on the rightmost column, and this can be seen here through the six spelling changes that occurred on that line throughout the text. Like the distribution of Cx2, there is no significance to the patterning of spelling changes within Pynson’s </w:t>
      </w:r>
      <w:r w:rsidRPr="0021550A">
        <w:rPr>
          <w:i/>
          <w:iCs/>
        </w:rPr>
        <w:t>Reynard</w:t>
      </w:r>
      <w:r w:rsidRPr="0021550A">
        <w:t>. Justification does not, then, seem to have an impact regarding where on the page the spelling changes were made.</w:t>
      </w:r>
    </w:p>
    <w:p w14:paraId="0FB90513" w14:textId="77777777" w:rsidR="005D4F90" w:rsidRPr="0021550A" w:rsidRDefault="005D4F90" w:rsidP="000737CB"/>
    <w:p w14:paraId="36464ED1" w14:textId="49483B6E" w:rsidR="00277E53" w:rsidRPr="0021550A" w:rsidRDefault="00277E53" w:rsidP="00740B8C">
      <w:pPr>
        <w:ind w:firstLine="0"/>
      </w:pPr>
      <w:r w:rsidRPr="0021550A">
        <w:rPr>
          <w:noProof/>
          <w:lang w:eastAsia="en-GB"/>
        </w:rPr>
        <w:lastRenderedPageBreak/>
        <w:drawing>
          <wp:inline distT="0" distB="0" distL="0" distR="0" wp14:anchorId="4F08791B" wp14:editId="6B6091FA">
            <wp:extent cx="3027379" cy="4666615"/>
            <wp:effectExtent l="0" t="0" r="0" b="698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3079509" cy="4746971"/>
                    </a:xfrm>
                    <a:prstGeom prst="rect">
                      <a:avLst/>
                    </a:prstGeom>
                    <a:noFill/>
                    <a:ln>
                      <a:noFill/>
                    </a:ln>
                  </pic:spPr>
                </pic:pic>
              </a:graphicData>
            </a:graphic>
          </wp:inline>
        </w:drawing>
      </w:r>
    </w:p>
    <w:p w14:paraId="424A7780" w14:textId="4888A404" w:rsidR="00277E53" w:rsidRPr="0021550A" w:rsidRDefault="00982319" w:rsidP="000737CB">
      <w:pPr>
        <w:pStyle w:val="Caption"/>
      </w:pPr>
      <w:bookmarkStart w:id="58" w:name="_Toc443641631"/>
      <w:bookmarkStart w:id="59" w:name="_Toc499753511"/>
      <w:r>
        <w:t>Figure 3.8:</w:t>
      </w:r>
      <w:r w:rsidR="00277E53" w:rsidRPr="0021550A">
        <w:t xml:space="preserve"> Cumulative distribution of spelling changes in Pynson’s </w:t>
      </w:r>
      <w:r w:rsidR="00277E53" w:rsidRPr="005E4E1A">
        <w:rPr>
          <w:i/>
        </w:rPr>
        <w:t>Reynard</w:t>
      </w:r>
      <w:bookmarkEnd w:id="58"/>
      <w:bookmarkEnd w:id="59"/>
    </w:p>
    <w:p w14:paraId="3DD73F98" w14:textId="77777777" w:rsidR="00277E53" w:rsidRPr="0021550A" w:rsidRDefault="00277E53" w:rsidP="000737CB"/>
    <w:p w14:paraId="37B7F8A6" w14:textId="77777777" w:rsidR="00277E53" w:rsidRPr="0021550A" w:rsidRDefault="00277E53" w:rsidP="000737CB">
      <w:r w:rsidRPr="0021550A">
        <w:t xml:space="preserve">My research suggests that there was no difference between the way that these compositors changed spellings in the prose and verse sections of text. We find similar frequencies of spelling changes in justified and non-justified text, and the compositor is not more likely to use longer or shorter spelling variants in justified prose. If the compositor does not change more spellings when setting prose then it is likely that he is not introducing changes to justify his type. </w:t>
      </w:r>
    </w:p>
    <w:p w14:paraId="72CD0526" w14:textId="77777777" w:rsidR="005509E7" w:rsidRPr="0021550A" w:rsidRDefault="005509E7" w:rsidP="000737CB"/>
    <w:p w14:paraId="2C203947" w14:textId="20F1BBE5" w:rsidR="00277E53" w:rsidRPr="0021550A" w:rsidRDefault="00277E53" w:rsidP="000737CB">
      <w:pPr>
        <w:pStyle w:val="Heading3"/>
      </w:pPr>
      <w:bookmarkStart w:id="60" w:name="_Ref497202960"/>
      <w:r w:rsidRPr="0021550A">
        <w:t>How did printers justify their texts?</w:t>
      </w:r>
      <w:bookmarkEnd w:id="60"/>
    </w:p>
    <w:p w14:paraId="62B4C404" w14:textId="77777777" w:rsidR="00277E53" w:rsidRPr="0021550A" w:rsidRDefault="00277E53" w:rsidP="000737CB">
      <w:r w:rsidRPr="0021550A">
        <w:t>If the compositors did not justify the texts used in this study through altering spellings, then how did they justify their texts? The results of this investigation suggest that Caxton’s compositor justified his text through three main methods:</w:t>
      </w:r>
    </w:p>
    <w:p w14:paraId="4BD0C676" w14:textId="77777777" w:rsidR="00277E53" w:rsidRPr="0021550A" w:rsidRDefault="00277E53" w:rsidP="000C5425">
      <w:pPr>
        <w:pStyle w:val="ListParagraph"/>
        <w:numPr>
          <w:ilvl w:val="0"/>
          <w:numId w:val="4"/>
        </w:numPr>
      </w:pPr>
      <w:r w:rsidRPr="0021550A">
        <w:t>Breaking words over lines</w:t>
      </w:r>
    </w:p>
    <w:p w14:paraId="235A841F" w14:textId="77777777" w:rsidR="00277E53" w:rsidRPr="0021550A" w:rsidRDefault="00277E53" w:rsidP="000C5425">
      <w:pPr>
        <w:pStyle w:val="ListParagraph"/>
        <w:numPr>
          <w:ilvl w:val="0"/>
          <w:numId w:val="4"/>
        </w:numPr>
      </w:pPr>
      <w:r w:rsidRPr="0021550A">
        <w:t>Abbreviation</w:t>
      </w:r>
    </w:p>
    <w:p w14:paraId="628B5846" w14:textId="77777777" w:rsidR="00277E53" w:rsidRPr="0021550A" w:rsidRDefault="00277E53" w:rsidP="000C5425">
      <w:pPr>
        <w:pStyle w:val="ListParagraph"/>
        <w:numPr>
          <w:ilvl w:val="0"/>
          <w:numId w:val="4"/>
        </w:numPr>
      </w:pPr>
      <w:r w:rsidRPr="0021550A">
        <w:t>Altering spaces between words</w:t>
      </w:r>
    </w:p>
    <w:p w14:paraId="553A096E" w14:textId="77777777" w:rsidR="00277E53" w:rsidRPr="0021550A" w:rsidRDefault="00277E53" w:rsidP="000737CB">
      <w:pPr>
        <w:pStyle w:val="Heading4"/>
      </w:pPr>
      <w:r w:rsidRPr="0021550A">
        <w:lastRenderedPageBreak/>
        <w:t>Breaking words over lines</w:t>
      </w:r>
    </w:p>
    <w:p w14:paraId="4ACF8ED3" w14:textId="07895E4E" w:rsidR="00277E53" w:rsidRPr="0021550A" w:rsidRDefault="00277E53" w:rsidP="000737CB">
      <w:r w:rsidRPr="0021550A">
        <w:t xml:space="preserve">In both Cx2 and Pynson’s </w:t>
      </w:r>
      <w:r w:rsidRPr="0021550A">
        <w:rPr>
          <w:i/>
          <w:iCs/>
        </w:rPr>
        <w:t xml:space="preserve">Reynard, </w:t>
      </w:r>
      <w:r w:rsidRPr="0021550A">
        <w:t xml:space="preserve">some lines have not been fully justified. Instead, the last word in the line is hyphenated and completed on the next line, or in some cases the line breaks mid-word without hyphenation. We can see this in </w:t>
      </w:r>
      <w:r w:rsidR="00982319">
        <w:t>Figure 3.9,</w:t>
      </w:r>
      <w:r w:rsidR="005E4E1A">
        <w:t xml:space="preserve"> below. </w:t>
      </w:r>
    </w:p>
    <w:p w14:paraId="17A70B92" w14:textId="77777777" w:rsidR="00277E53" w:rsidRPr="0021550A" w:rsidRDefault="00277E53" w:rsidP="000737CB"/>
    <w:p w14:paraId="7E73AE7C" w14:textId="7E7D1469" w:rsidR="00277E53" w:rsidRPr="0021550A" w:rsidRDefault="00277E53" w:rsidP="005E4E1A">
      <w:pPr>
        <w:ind w:firstLine="0"/>
      </w:pPr>
      <w:r w:rsidRPr="0021550A">
        <w:rPr>
          <w:noProof/>
          <w:lang w:eastAsia="en-GB"/>
        </w:rPr>
        <w:drawing>
          <wp:inline distT="0" distB="0" distL="0" distR="0" wp14:anchorId="0A456CD5" wp14:editId="7B7552AF">
            <wp:extent cx="2435954" cy="1979213"/>
            <wp:effectExtent l="0" t="0" r="2540" b="25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gure08.tif"/>
                    <pic:cNvPicPr/>
                  </pic:nvPicPr>
                  <pic:blipFill>
                    <a:blip r:embed="rId26">
                      <a:extLst>
                        <a:ext uri="{28A0092B-C50C-407E-A947-70E740481C1C}">
                          <a14:useLocalDpi xmlns:a14="http://schemas.microsoft.com/office/drawing/2010/main"/>
                        </a:ext>
                      </a:extLst>
                    </a:blip>
                    <a:stretch>
                      <a:fillRect/>
                    </a:stretch>
                  </pic:blipFill>
                  <pic:spPr>
                    <a:xfrm>
                      <a:off x="0" y="0"/>
                      <a:ext cx="2467711" cy="2005015"/>
                    </a:xfrm>
                    <a:prstGeom prst="rect">
                      <a:avLst/>
                    </a:prstGeom>
                  </pic:spPr>
                </pic:pic>
              </a:graphicData>
            </a:graphic>
          </wp:inline>
        </w:drawing>
      </w:r>
    </w:p>
    <w:p w14:paraId="36F9D212" w14:textId="3F44C586" w:rsidR="00277E53" w:rsidRPr="0021550A" w:rsidRDefault="00982319" w:rsidP="000737CB">
      <w:pPr>
        <w:pStyle w:val="Caption"/>
      </w:pPr>
      <w:bookmarkStart w:id="61" w:name="_Toc443641632"/>
      <w:bookmarkStart w:id="62" w:name="_Toc499753512"/>
      <w:r>
        <w:t>Figure 3.9</w:t>
      </w:r>
      <w:r w:rsidR="00277E53" w:rsidRPr="0021550A">
        <w:t xml:space="preserve"> Hyphenated lines in Pynson’s </w:t>
      </w:r>
      <w:r w:rsidR="00277E53" w:rsidRPr="005E4E1A">
        <w:rPr>
          <w:i/>
        </w:rPr>
        <w:t>Reynard</w:t>
      </w:r>
      <w:r w:rsidR="00277E53" w:rsidRPr="0021550A">
        <w:t xml:space="preserve">, </w:t>
      </w:r>
      <w:r w:rsidR="00740B8C">
        <w:t>p</w:t>
      </w:r>
      <w:r w:rsidR="00277E53" w:rsidRPr="0021550A">
        <w:t>. 1</w:t>
      </w:r>
      <w:bookmarkEnd w:id="61"/>
      <w:r w:rsidR="00740B8C" w:rsidRPr="00740B8C">
        <w:rPr>
          <w:vertAlign w:val="superscript"/>
        </w:rPr>
        <w:t>a</w:t>
      </w:r>
      <w:bookmarkEnd w:id="62"/>
    </w:p>
    <w:p w14:paraId="28FCBC4E" w14:textId="77777777" w:rsidR="00277E53" w:rsidRPr="0021550A" w:rsidRDefault="00277E53" w:rsidP="000737CB"/>
    <w:p w14:paraId="02D0C5EB" w14:textId="0F544321" w:rsidR="00277E53" w:rsidRPr="0021550A" w:rsidRDefault="00277E53" w:rsidP="000737CB">
      <w:r w:rsidRPr="0021550A">
        <w:t xml:space="preserve">In the sample in </w:t>
      </w:r>
      <w:r w:rsidR="00982319">
        <w:t>Figure 3.9,</w:t>
      </w:r>
      <w:r w:rsidRPr="0021550A">
        <w:t xml:space="preserve"> seven of the ten line-final words are incomplete. Many of the words are hyphenated at the end of the line, i.e. the ends of lines 3, 4, 7, 8, and 9. However, on line 1 </w:t>
      </w:r>
      <w:r w:rsidRPr="0021550A">
        <w:rPr>
          <w:i/>
          <w:iCs/>
        </w:rPr>
        <w:t>penthecoste</w:t>
      </w:r>
      <w:r w:rsidRPr="0021550A">
        <w:t xml:space="preserve"> is split after </w:t>
      </w:r>
      <w:r w:rsidRPr="0021550A">
        <w:rPr>
          <w:i/>
          <w:iCs/>
        </w:rPr>
        <w:t>pen</w:t>
      </w:r>
      <w:r w:rsidRPr="0021550A">
        <w:t xml:space="preserve">, and on line 6 </w:t>
      </w:r>
      <w:r w:rsidRPr="0021550A">
        <w:rPr>
          <w:i/>
          <w:iCs/>
        </w:rPr>
        <w:t>smellynge</w:t>
      </w:r>
      <w:r w:rsidRPr="0021550A">
        <w:t xml:space="preserve"> is split after </w:t>
      </w:r>
      <w:r w:rsidRPr="0021550A">
        <w:rPr>
          <w:i/>
          <w:iCs/>
        </w:rPr>
        <w:t>smel</w:t>
      </w:r>
      <w:r w:rsidRPr="0021550A">
        <w:t xml:space="preserve">. The example provided in </w:t>
      </w:r>
      <w:r w:rsidR="00E12429">
        <w:fldChar w:fldCharType="begin"/>
      </w:r>
      <w:r w:rsidR="00E12429">
        <w:instrText xml:space="preserve"> REF _Ref443577493 </w:instrText>
      </w:r>
      <w:r w:rsidR="00E12429">
        <w:fldChar w:fldCharType="separate"/>
      </w:r>
      <w:r w:rsidR="00D11844" w:rsidRPr="0021550A">
        <w:t xml:space="preserve">Figure </w:t>
      </w:r>
      <w:r w:rsidR="00D11844">
        <w:rPr>
          <w:noProof/>
        </w:rPr>
        <w:t>3</w:t>
      </w:r>
      <w:r w:rsidR="00D11844">
        <w:t>.</w:t>
      </w:r>
      <w:r w:rsidR="00D11844">
        <w:rPr>
          <w:noProof/>
        </w:rPr>
        <w:t>8</w:t>
      </w:r>
      <w:r w:rsidR="00E12429">
        <w:rPr>
          <w:noProof/>
        </w:rPr>
        <w:fldChar w:fldCharType="end"/>
      </w:r>
      <w:r w:rsidRPr="0021550A">
        <w:t xml:space="preserve"> is not unusual; a similar distribution of words completed on the next line can be found throughout the text. </w:t>
      </w:r>
    </w:p>
    <w:p w14:paraId="1E458A16" w14:textId="086AAE00" w:rsidR="00277E53" w:rsidRPr="0021550A" w:rsidRDefault="00277E53" w:rsidP="000737CB">
      <w:r w:rsidRPr="0021550A">
        <w:t>Breaking words over lines one of the most frequent methods used by compositors to justify their texts. Within Caxton’s prose, 12.8%</w:t>
      </w:r>
      <w:r w:rsidRPr="005C54CE">
        <w:rPr>
          <w:rStyle w:val="FootnoteReference"/>
        </w:rPr>
        <w:footnoteReference w:id="6"/>
      </w:r>
      <w:r w:rsidRPr="0021550A">
        <w:t xml:space="preserve"> of lines are not fully justified. The number is greater for Pynson’s </w:t>
      </w:r>
      <w:r w:rsidRPr="0021550A">
        <w:rPr>
          <w:i/>
          <w:iCs/>
        </w:rPr>
        <w:t>Reynard</w:t>
      </w:r>
      <w:r w:rsidRPr="0021550A">
        <w:t xml:space="preserve">, in which 29.3% are not fully justified. It seems likely that the greater spatial pressure on Pynson’s compositor has caused an increased use of line breaks to justify the text. On these hyphenated lines, abbreviations are particularly unlikely to occur: only on 4.7% of hyphenated lines in Pynson’s </w:t>
      </w:r>
      <w:r w:rsidRPr="0021550A">
        <w:rPr>
          <w:i/>
        </w:rPr>
        <w:t>Reynard</w:t>
      </w:r>
      <w:r w:rsidRPr="0021550A">
        <w:t xml:space="preserve"> is there an abbreviation. The use of only one of these methods on any one line suggests that the compositor chooses to use </w:t>
      </w:r>
      <w:r w:rsidRPr="004E5870">
        <w:t>either</w:t>
      </w:r>
      <w:r w:rsidRPr="0021550A">
        <w:t xml:space="preserve"> abbreviation </w:t>
      </w:r>
      <w:r w:rsidRPr="004E5870">
        <w:rPr>
          <w:iCs/>
        </w:rPr>
        <w:t>or</w:t>
      </w:r>
      <w:r w:rsidRPr="0021550A">
        <w:t xml:space="preserve"> word hyphenation as an active </w:t>
      </w:r>
      <w:r w:rsidR="004E5870">
        <w:t>strategy</w:t>
      </w:r>
      <w:r w:rsidRPr="0021550A">
        <w:t xml:space="preserve"> to justify the text.</w:t>
      </w:r>
      <w:r w:rsidRPr="005C54CE">
        <w:rPr>
          <w:rStyle w:val="FootnoteReference"/>
        </w:rPr>
        <w:footnoteReference w:id="7"/>
      </w:r>
    </w:p>
    <w:p w14:paraId="62FBAD7B" w14:textId="77777777" w:rsidR="00277E53" w:rsidRPr="0021550A" w:rsidRDefault="00277E53" w:rsidP="000737CB">
      <w:pPr>
        <w:pStyle w:val="Heading4"/>
      </w:pPr>
      <w:r w:rsidRPr="0021550A">
        <w:lastRenderedPageBreak/>
        <w:t>Abbreviation</w:t>
      </w:r>
    </w:p>
    <w:p w14:paraId="35594E25" w14:textId="24DF6049" w:rsidR="00277E53" w:rsidRPr="0021550A" w:rsidRDefault="00277E53" w:rsidP="000737CB">
      <w:r w:rsidRPr="0021550A">
        <w:t xml:space="preserve">The study showed that </w:t>
      </w:r>
      <w:r w:rsidR="004E5870">
        <w:t>compositors</w:t>
      </w:r>
      <w:r w:rsidRPr="0021550A">
        <w:t xml:space="preserve"> added abbreviation </w:t>
      </w:r>
      <w:r w:rsidR="004E5870">
        <w:t xml:space="preserve">into the text </w:t>
      </w:r>
      <w:r w:rsidRPr="0021550A">
        <w:t>twice as often in Caxton’s prose than verse. The rate of abbreviation in the prose is double that in the verse: 13.5 tokens per 1,000 words in justified text, compared with 6.39 per 1,000 words in text that has not been visually justified. The only difference between the verse and the prose is the requirement for justification. It follows that the difference in abbreviation rates is a result of the compositor using abb</w:t>
      </w:r>
      <w:r w:rsidR="00740B8C">
        <w:t>reviation to justify his type.</w:t>
      </w:r>
    </w:p>
    <w:p w14:paraId="3E17A34E" w14:textId="11DE7D4E" w:rsidR="00277E53" w:rsidRDefault="00277E53" w:rsidP="000737CB">
      <w:r w:rsidRPr="0021550A">
        <w:t xml:space="preserve">Supporting evidence is provided through analysis of Pynson’s </w:t>
      </w:r>
      <w:r w:rsidRPr="0021550A">
        <w:rPr>
          <w:i/>
          <w:iCs/>
        </w:rPr>
        <w:t>Reynard</w:t>
      </w:r>
      <w:r w:rsidRPr="0021550A">
        <w:t xml:space="preserve">. Here the rate of abbreviation is far higher, where the columns are thin and the spacing is tight. Pynson uses 25.49 abbreviations per 1,000 words of text. The most common abbreviation was the replacement of </w:t>
      </w:r>
      <w:r w:rsidRPr="0021550A">
        <w:rPr>
          <w:i/>
        </w:rPr>
        <w:t xml:space="preserve">and </w:t>
      </w:r>
      <w:r w:rsidRPr="0021550A">
        <w:t xml:space="preserve">with an ampersand. However, other abbreviations, such as </w:t>
      </w:r>
      <w:r w:rsidRPr="0021550A">
        <w:rPr>
          <w:i/>
        </w:rPr>
        <w:t xml:space="preserve">that </w:t>
      </w:r>
      <w:r w:rsidRPr="0021550A">
        <w:t xml:space="preserve">&gt; </w:t>
      </w:r>
      <w:r w:rsidRPr="0021550A">
        <w:rPr>
          <w:i/>
        </w:rPr>
        <w:t>þ</w:t>
      </w:r>
      <w:r w:rsidRPr="0021550A">
        <w:rPr>
          <w:i/>
          <w:vertAlign w:val="superscript"/>
        </w:rPr>
        <w:t>t</w:t>
      </w:r>
      <w:r w:rsidRPr="0021550A">
        <w:t xml:space="preserve"> and </w:t>
      </w:r>
      <w:r w:rsidRPr="0021550A">
        <w:rPr>
          <w:i/>
        </w:rPr>
        <w:t xml:space="preserve">the </w:t>
      </w:r>
      <w:r w:rsidRPr="0021550A">
        <w:t xml:space="preserve">&gt; </w:t>
      </w:r>
      <w:r w:rsidRPr="0021550A">
        <w:rPr>
          <w:i/>
        </w:rPr>
        <w:t>þ</w:t>
      </w:r>
      <w:r w:rsidRPr="0021550A">
        <w:rPr>
          <w:i/>
          <w:vertAlign w:val="superscript"/>
        </w:rPr>
        <w:t xml:space="preserve">e </w:t>
      </w:r>
      <w:r w:rsidRPr="0021550A">
        <w:t xml:space="preserve">are also commonly used in all texts. </w:t>
      </w:r>
    </w:p>
    <w:p w14:paraId="246FFB20" w14:textId="77777777" w:rsidR="005509E7" w:rsidRPr="0021550A" w:rsidRDefault="005509E7" w:rsidP="000737CB"/>
    <w:p w14:paraId="2BE0B437" w14:textId="503FBD0C" w:rsidR="00277E53" w:rsidRPr="0021550A" w:rsidRDefault="004E5870" w:rsidP="00740B8C">
      <w:pPr>
        <w:spacing w:line="276" w:lineRule="auto"/>
        <w:ind w:firstLine="0"/>
      </w:pPr>
      <w:r>
        <w:rPr>
          <w:noProof/>
          <w:lang w:eastAsia="en-GB"/>
        </w:rPr>
        <w:drawing>
          <wp:inline distT="0" distB="0" distL="0" distR="0" wp14:anchorId="05FAC8C9" wp14:editId="53F55A03">
            <wp:extent cx="3825158" cy="3084724"/>
            <wp:effectExtent l="0" t="0" r="10795"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Figure 9.pdf"/>
                    <pic:cNvPicPr/>
                  </pic:nvPicPr>
                  <pic:blipFill rotWithShape="1">
                    <a:blip r:embed="rId27">
                      <a:extLst>
                        <a:ext uri="{28A0092B-C50C-407E-A947-70E740481C1C}">
                          <a14:useLocalDpi xmlns:a14="http://schemas.microsoft.com/office/drawing/2010/main"/>
                        </a:ext>
                      </a:extLst>
                    </a:blip>
                    <a:srcRect l="13387" t="9300" r="12440" b="44480"/>
                    <a:stretch/>
                  </pic:blipFill>
                  <pic:spPr bwMode="auto">
                    <a:xfrm>
                      <a:off x="0" y="0"/>
                      <a:ext cx="3882708" cy="3131134"/>
                    </a:xfrm>
                    <a:prstGeom prst="rect">
                      <a:avLst/>
                    </a:prstGeom>
                    <a:ln>
                      <a:noFill/>
                    </a:ln>
                    <a:extLst>
                      <a:ext uri="{53640926-AAD7-44D8-BBD7-CCE9431645EC}">
                        <a14:shadowObscured xmlns:a14="http://schemas.microsoft.com/office/drawing/2010/main"/>
                      </a:ext>
                    </a:extLst>
                  </pic:spPr>
                </pic:pic>
              </a:graphicData>
            </a:graphic>
          </wp:inline>
        </w:drawing>
      </w:r>
    </w:p>
    <w:p w14:paraId="666E6364" w14:textId="689F8674" w:rsidR="00277E53" w:rsidRPr="0021550A" w:rsidRDefault="00982319" w:rsidP="000737CB">
      <w:pPr>
        <w:pStyle w:val="Caption"/>
      </w:pPr>
      <w:bookmarkStart w:id="63" w:name="_Toc443641633"/>
      <w:bookmarkStart w:id="64" w:name="_Toc499753513"/>
      <w:r>
        <w:t>Figure 3.10:</w:t>
      </w:r>
      <w:r w:rsidR="00277E53" w:rsidRPr="0021550A">
        <w:t xml:space="preserve"> Abbreviations added to the new copy, per 1,000 words of text</w:t>
      </w:r>
      <w:bookmarkEnd w:id="63"/>
      <w:bookmarkEnd w:id="64"/>
    </w:p>
    <w:p w14:paraId="34EBCFE0" w14:textId="77777777" w:rsidR="004D0978" w:rsidRPr="0021550A" w:rsidRDefault="004D0978" w:rsidP="000737CB"/>
    <w:p w14:paraId="33E7E31F" w14:textId="508D435E" w:rsidR="00277E53" w:rsidRPr="0021550A" w:rsidRDefault="00982319" w:rsidP="000737CB">
      <w:r>
        <w:t>Figure 3.10 shows</w:t>
      </w:r>
      <w:r w:rsidR="00277E53" w:rsidRPr="0021550A">
        <w:t xml:space="preserve"> the graphical representation of the number of abbreviations per 1,000 words for each of the types of text I have examined. The lowest rate of abbreviation occurs in the verse, where justification is not required. This may be taken as the amount of abbreviation we would expect to be added to any printed text without the requirement for justification. The rate of abbreviation for Caxton’s prose is twice that of Caxton’s verse. </w:t>
      </w:r>
      <w:r w:rsidR="0035498B">
        <w:t>The higher rate of abbreviation in Caxton’s prose relative to its use in the verse</w:t>
      </w:r>
      <w:r w:rsidR="00277E53" w:rsidRPr="0021550A">
        <w:t xml:space="preserve"> means that, although many abbreviations may have already existed in Cx1, the compositor added more at a rate of 13.5 per 1,000 words. The highest rate of abbreviation occurs in </w:t>
      </w:r>
      <w:r w:rsidR="00277E53" w:rsidRPr="0021550A">
        <w:lastRenderedPageBreak/>
        <w:t xml:space="preserve">Pynson’s </w:t>
      </w:r>
      <w:r w:rsidR="00277E53" w:rsidRPr="0021550A">
        <w:rPr>
          <w:i/>
          <w:iCs/>
        </w:rPr>
        <w:t>Reynard</w:t>
      </w:r>
      <w:r w:rsidR="00277E53" w:rsidRPr="0021550A">
        <w:t xml:space="preserve">, where a greater number of abbreviations is required to justify the type. This is contrary to what I had expected: Blake </w:t>
      </w:r>
      <w:r w:rsidR="0023489E">
        <w:t>(1996: 205)</w:t>
      </w:r>
      <w:r w:rsidR="00277E53" w:rsidRPr="0021550A">
        <w:t xml:space="preserve"> tells us that printers preferred not to use abbreviations.</w:t>
      </w:r>
      <w:r w:rsidR="00277E53" w:rsidRPr="005C54CE">
        <w:rPr>
          <w:rStyle w:val="FootnoteReference"/>
        </w:rPr>
        <w:footnoteReference w:id="8"/>
      </w:r>
    </w:p>
    <w:p w14:paraId="59F99499" w14:textId="496AC741" w:rsidR="00277E53" w:rsidRDefault="00277E53" w:rsidP="000737CB">
      <w:r w:rsidRPr="0021550A">
        <w:t xml:space="preserve">The </w:t>
      </w:r>
      <w:r w:rsidR="0035498B">
        <w:t xml:space="preserve">spatial </w:t>
      </w:r>
      <w:r w:rsidRPr="0021550A">
        <w:t xml:space="preserve">distribution of abbreviations is also worth examining, as we can see in </w:t>
      </w:r>
      <w:r w:rsidR="00982319">
        <w:t>Figure 3.11,</w:t>
      </w:r>
      <w:r w:rsidRPr="0021550A">
        <w:t xml:space="preserve"> below. As already discussed, the locations of spelling changes on the page appear to be distributed at random; altered spellings are not more likely to appear at the ends of lines—a hypothesis put forward to support the use of spelling change as a method of justification. However, the distribution of abbreviations is not random. Abbreviations introduced to Cx2 by the compositor </w:t>
      </w:r>
      <w:r w:rsidRPr="0035498B">
        <w:rPr>
          <w:iCs/>
        </w:rPr>
        <w:t>are</w:t>
      </w:r>
      <w:r w:rsidRPr="0021550A">
        <w:t xml:space="preserve"> more likely to occur at the ends of lines:</w:t>
      </w:r>
    </w:p>
    <w:p w14:paraId="42F1B796" w14:textId="77777777" w:rsidR="005E4E1A" w:rsidRPr="0021550A" w:rsidRDefault="005E4E1A" w:rsidP="000737CB"/>
    <w:p w14:paraId="56C6A0D9" w14:textId="57FCFAE5" w:rsidR="00277E53" w:rsidRPr="0021550A" w:rsidRDefault="00277E53" w:rsidP="00740B8C">
      <w:pPr>
        <w:spacing w:line="276" w:lineRule="auto"/>
        <w:ind w:firstLine="0"/>
      </w:pPr>
      <w:r w:rsidRPr="0021550A">
        <w:rPr>
          <w:noProof/>
          <w:lang w:eastAsia="en-GB"/>
        </w:rPr>
        <w:drawing>
          <wp:inline distT="0" distB="0" distL="0" distR="0" wp14:anchorId="281F1117" wp14:editId="375D068D">
            <wp:extent cx="4008931" cy="3127322"/>
            <wp:effectExtent l="0" t="0" r="444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igure10.tif"/>
                    <pic:cNvPicPr/>
                  </pic:nvPicPr>
                  <pic:blipFill rotWithShape="1">
                    <a:blip r:embed="rId28">
                      <a:extLst>
                        <a:ext uri="{28A0092B-C50C-407E-A947-70E740481C1C}">
                          <a14:useLocalDpi xmlns:a14="http://schemas.microsoft.com/office/drawing/2010/main"/>
                        </a:ext>
                      </a:extLst>
                    </a:blip>
                    <a:srcRect b="2532"/>
                    <a:stretch/>
                  </pic:blipFill>
                  <pic:spPr bwMode="auto">
                    <a:xfrm>
                      <a:off x="0" y="0"/>
                      <a:ext cx="4034305" cy="3147116"/>
                    </a:xfrm>
                    <a:prstGeom prst="rect">
                      <a:avLst/>
                    </a:prstGeom>
                    <a:ln>
                      <a:noFill/>
                    </a:ln>
                    <a:extLst>
                      <a:ext uri="{53640926-AAD7-44D8-BBD7-CCE9431645EC}">
                        <a14:shadowObscured xmlns:a14="http://schemas.microsoft.com/office/drawing/2010/main"/>
                      </a:ext>
                    </a:extLst>
                  </pic:spPr>
                </pic:pic>
              </a:graphicData>
            </a:graphic>
          </wp:inline>
        </w:drawing>
      </w:r>
    </w:p>
    <w:p w14:paraId="1D159AEC" w14:textId="4DCA1663" w:rsidR="00277E53" w:rsidRPr="0021550A" w:rsidRDefault="00982319" w:rsidP="005111B3">
      <w:pPr>
        <w:pStyle w:val="Caption"/>
        <w:spacing w:line="276" w:lineRule="auto"/>
      </w:pPr>
      <w:bookmarkStart w:id="65" w:name="_Toc443641634"/>
      <w:bookmarkStart w:id="66" w:name="_Toc499753514"/>
      <w:r>
        <w:t>Figure 3.11:</w:t>
      </w:r>
      <w:r w:rsidR="00277E53" w:rsidRPr="0021550A">
        <w:t xml:space="preserve"> Distribution of abbreviations across the page of Cx2 prose</w:t>
      </w:r>
      <w:bookmarkEnd w:id="65"/>
      <w:bookmarkEnd w:id="66"/>
    </w:p>
    <w:p w14:paraId="60E50D66" w14:textId="77777777" w:rsidR="00277E53" w:rsidRPr="0021550A" w:rsidRDefault="00277E53" w:rsidP="000737CB"/>
    <w:p w14:paraId="4E3FEEB3" w14:textId="1BAADFA0" w:rsidR="00277E53" w:rsidRPr="0021550A" w:rsidRDefault="00982319" w:rsidP="000737CB">
      <w:r>
        <w:t>Figure 3.11</w:t>
      </w:r>
      <w:r w:rsidR="00277E53" w:rsidRPr="0021550A">
        <w:t xml:space="preserve"> shows the number of spelling changes that occurred in each tenth of the width of the page. We can see that the greatest number of abbreviations occurs in the area closest to the right-hand margin—i.e. the bar on the graph furthest to the right. We would expect to see a greater use of abbreviations used towards the right-side of the page when the compositors realised that they were running out of space and had to use abbreviations to justify their type. We see the same distribution in Pynson’s </w:t>
      </w:r>
      <w:r w:rsidR="00277E53" w:rsidRPr="0021550A">
        <w:rPr>
          <w:i/>
          <w:iCs/>
        </w:rPr>
        <w:t>Reynard</w:t>
      </w:r>
      <w:r w:rsidR="0077106E">
        <w:rPr>
          <w:iCs/>
        </w:rPr>
        <w:t xml:space="preserve"> in </w:t>
      </w:r>
      <w:r>
        <w:t>Figure 3.12.</w:t>
      </w:r>
    </w:p>
    <w:p w14:paraId="05B53168" w14:textId="77777777" w:rsidR="00277E53" w:rsidRPr="0021550A" w:rsidRDefault="00277E53" w:rsidP="000737CB"/>
    <w:p w14:paraId="1335173C" w14:textId="0FA91189" w:rsidR="00277E53" w:rsidRPr="0021550A" w:rsidRDefault="0035498B" w:rsidP="00740B8C">
      <w:pPr>
        <w:ind w:firstLine="0"/>
      </w:pPr>
      <w:r>
        <w:rPr>
          <w:noProof/>
          <w:lang w:eastAsia="en-GB"/>
        </w:rPr>
        <w:lastRenderedPageBreak/>
        <w:drawing>
          <wp:inline distT="0" distB="0" distL="0" distR="0" wp14:anchorId="01C5B6C3" wp14:editId="538F25FE">
            <wp:extent cx="3056808" cy="3464108"/>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Figure 11.pdf"/>
                    <pic:cNvPicPr/>
                  </pic:nvPicPr>
                  <pic:blipFill rotWithShape="1">
                    <a:blip r:embed="rId29">
                      <a:extLst>
                        <a:ext uri="{28A0092B-C50C-407E-A947-70E740481C1C}">
                          <a14:useLocalDpi xmlns:a14="http://schemas.microsoft.com/office/drawing/2010/main"/>
                        </a:ext>
                      </a:extLst>
                    </a:blip>
                    <a:srcRect l="12649" t="9300" r="32949" b="43061"/>
                    <a:stretch/>
                  </pic:blipFill>
                  <pic:spPr bwMode="auto">
                    <a:xfrm>
                      <a:off x="0" y="0"/>
                      <a:ext cx="3080351" cy="3490788"/>
                    </a:xfrm>
                    <a:prstGeom prst="rect">
                      <a:avLst/>
                    </a:prstGeom>
                    <a:ln>
                      <a:noFill/>
                    </a:ln>
                    <a:extLst>
                      <a:ext uri="{53640926-AAD7-44D8-BBD7-CCE9431645EC}">
                        <a14:shadowObscured xmlns:a14="http://schemas.microsoft.com/office/drawing/2010/main"/>
                      </a:ext>
                    </a:extLst>
                  </pic:spPr>
                </pic:pic>
              </a:graphicData>
            </a:graphic>
          </wp:inline>
        </w:drawing>
      </w:r>
    </w:p>
    <w:p w14:paraId="76C911F7" w14:textId="1E375791" w:rsidR="00277E53" w:rsidRPr="0021550A" w:rsidRDefault="00982319" w:rsidP="000737CB">
      <w:pPr>
        <w:pStyle w:val="Caption"/>
      </w:pPr>
      <w:bookmarkStart w:id="67" w:name="_Toc443641635"/>
      <w:bookmarkStart w:id="68" w:name="_Toc499753515"/>
      <w:r>
        <w:t>Figure 3.12:</w:t>
      </w:r>
      <w:r w:rsidR="00277E53" w:rsidRPr="0021550A">
        <w:t xml:space="preserve"> Distribution of abbreviations in Pynson’s </w:t>
      </w:r>
      <w:r w:rsidR="00277E53" w:rsidRPr="00324B6C">
        <w:rPr>
          <w:i/>
        </w:rPr>
        <w:t>Reynard</w:t>
      </w:r>
      <w:bookmarkEnd w:id="67"/>
      <w:bookmarkEnd w:id="68"/>
    </w:p>
    <w:p w14:paraId="1AC32146" w14:textId="77777777" w:rsidR="00277E53" w:rsidRPr="0021550A" w:rsidRDefault="00277E53" w:rsidP="000737CB"/>
    <w:p w14:paraId="4AE04DAD" w14:textId="3EEAC680" w:rsidR="00277E53" w:rsidRPr="0021550A" w:rsidRDefault="00277E53" w:rsidP="000737CB">
      <w:r w:rsidRPr="0021550A">
        <w:t xml:space="preserve">In </w:t>
      </w:r>
      <w:r w:rsidR="00982319">
        <w:t>Figure 3.12,</w:t>
      </w:r>
      <w:r w:rsidRPr="0021550A">
        <w:t xml:space="preserve"> again we can see the gap between the two columns. We can also see that at the rightmost side of each column, abbreviations are far more likely to occur</w:t>
      </w:r>
      <w:r w:rsidR="0035498B">
        <w:t xml:space="preserve"> than elsewhere on the page</w:t>
      </w:r>
      <w:r w:rsidRPr="0021550A">
        <w:t xml:space="preserve">. Again, this finding supports the hypothesis that compositors did use justification methods when they realised that they were running out of space, and so abbreviations are more likely to occur near the ends of the compositor’s line. However, we do not see more spelling changes taking place at the ends of lines, which suggests that, while the compositors of Cx2 and Pynson’s </w:t>
      </w:r>
      <w:r w:rsidRPr="0021550A">
        <w:rPr>
          <w:i/>
          <w:iCs/>
        </w:rPr>
        <w:t xml:space="preserve">Reynard </w:t>
      </w:r>
      <w:r w:rsidRPr="0021550A">
        <w:t>used abbreviations to justify their type, they did not change spellings for the same reason.</w:t>
      </w:r>
    </w:p>
    <w:p w14:paraId="1A10B81F" w14:textId="77777777" w:rsidR="00277E53" w:rsidRPr="0021550A" w:rsidRDefault="00277E53" w:rsidP="000737CB"/>
    <w:p w14:paraId="0E7441AD" w14:textId="77777777" w:rsidR="00277E53" w:rsidRPr="0021550A" w:rsidRDefault="00277E53" w:rsidP="000737CB">
      <w:pPr>
        <w:pStyle w:val="Heading4"/>
      </w:pPr>
      <w:r w:rsidRPr="0021550A">
        <w:t>Altering spaces between words</w:t>
      </w:r>
    </w:p>
    <w:p w14:paraId="5F36D58F" w14:textId="2CD7891D" w:rsidR="00277E53" w:rsidRPr="0021550A" w:rsidRDefault="00277E53" w:rsidP="000737CB">
      <w:r w:rsidRPr="0021550A">
        <w:t>Altering spacing between words was the most frequent method by which Caxton and Pynson justified the lines of their texts. It is difficult to determine the distance between the left/rightmost edge of the letter itself and the edge of the piece of type it sits on, which means that it is difficulty to calculate the amount of spacing that has been used between individual words. Furthermore, the design of the type could add more spacing between words depending upon the letters involved. That said, in every justified line</w:t>
      </w:r>
      <w:r w:rsidRPr="0021550A">
        <w:rPr>
          <w:i/>
        </w:rPr>
        <w:t xml:space="preserve"> </w:t>
      </w:r>
      <w:r w:rsidRPr="0021550A">
        <w:t xml:space="preserve">that I examined, the size of the spacing between words differed, even on lines where abbreviations were used, as can be observed in </w:t>
      </w:r>
      <w:r w:rsidR="00982319">
        <w:t>Fgure 3.13.</w:t>
      </w:r>
    </w:p>
    <w:p w14:paraId="55ABA51E" w14:textId="77777777" w:rsidR="00277E53" w:rsidRPr="0021550A" w:rsidRDefault="00277E53" w:rsidP="000737CB"/>
    <w:p w14:paraId="34EA4565" w14:textId="7BEB1EB8" w:rsidR="00277E53" w:rsidRPr="0021550A" w:rsidRDefault="00277E53" w:rsidP="00324B6C">
      <w:pPr>
        <w:ind w:firstLine="0"/>
      </w:pPr>
      <w:r w:rsidRPr="0021550A">
        <w:rPr>
          <w:noProof/>
          <w:lang w:eastAsia="en-GB"/>
        </w:rPr>
        <w:lastRenderedPageBreak/>
        <w:drawing>
          <wp:inline distT="0" distB="0" distL="0" distR="0" wp14:anchorId="6BA14F91" wp14:editId="62A985A6">
            <wp:extent cx="4930346" cy="1882259"/>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igure05.tif"/>
                    <pic:cNvPicPr/>
                  </pic:nvPicPr>
                  <pic:blipFill rotWithShape="1">
                    <a:blip r:embed="rId23">
                      <a:extLst>
                        <a:ext uri="{28A0092B-C50C-407E-A947-70E740481C1C}">
                          <a14:useLocalDpi xmlns:a14="http://schemas.microsoft.com/office/drawing/2010/main"/>
                        </a:ext>
                      </a:extLst>
                    </a:blip>
                    <a:srcRect b="28382"/>
                    <a:stretch/>
                  </pic:blipFill>
                  <pic:spPr bwMode="auto">
                    <a:xfrm>
                      <a:off x="0" y="0"/>
                      <a:ext cx="4946600" cy="1888464"/>
                    </a:xfrm>
                    <a:prstGeom prst="rect">
                      <a:avLst/>
                    </a:prstGeom>
                    <a:ln>
                      <a:noFill/>
                    </a:ln>
                    <a:extLst>
                      <a:ext uri="{53640926-AAD7-44D8-BBD7-CCE9431645EC}">
                        <a14:shadowObscured xmlns:a14="http://schemas.microsoft.com/office/drawing/2010/main"/>
                      </a:ext>
                    </a:extLst>
                  </pic:spPr>
                </pic:pic>
              </a:graphicData>
            </a:graphic>
          </wp:inline>
        </w:drawing>
      </w:r>
    </w:p>
    <w:p w14:paraId="1A74F0D6" w14:textId="376B9A0D" w:rsidR="00277E53" w:rsidRPr="0021550A" w:rsidRDefault="00982319" w:rsidP="000737CB">
      <w:pPr>
        <w:pStyle w:val="Caption"/>
      </w:pPr>
      <w:bookmarkStart w:id="69" w:name="_Ref490494661"/>
      <w:bookmarkStart w:id="70" w:name="_Toc499753516"/>
      <w:r>
        <w:t>Figure 3.13:</w:t>
      </w:r>
      <w:r w:rsidR="00277E53" w:rsidRPr="0021550A">
        <w:t xml:space="preserve"> Beginning of </w:t>
      </w:r>
      <w:r w:rsidR="00DA7F27">
        <w:t xml:space="preserve">the Tale of Melibee in Cx2, p. </w:t>
      </w:r>
      <w:r w:rsidR="00277E53" w:rsidRPr="0021550A">
        <w:t>232</w:t>
      </w:r>
      <w:bookmarkEnd w:id="69"/>
      <w:r w:rsidR="00DA7F27" w:rsidRPr="00DA7F27">
        <w:rPr>
          <w:vertAlign w:val="superscript"/>
        </w:rPr>
        <w:t>a</w:t>
      </w:r>
      <w:bookmarkEnd w:id="70"/>
    </w:p>
    <w:p w14:paraId="1347FD9D" w14:textId="77777777" w:rsidR="00277E53" w:rsidRPr="0021550A" w:rsidRDefault="00277E53" w:rsidP="000737CB"/>
    <w:p w14:paraId="4BD92888" w14:textId="34369E9A" w:rsidR="00277E53" w:rsidRDefault="00277E53" w:rsidP="000737CB">
      <w:r w:rsidRPr="0021550A">
        <w:t xml:space="preserve">For example, on line 1 we can see the difference in spacing between </w:t>
      </w:r>
      <w:r w:rsidRPr="0021550A">
        <w:rPr>
          <w:i/>
          <w:iCs/>
        </w:rPr>
        <w:t xml:space="preserve">called </w:t>
      </w:r>
      <w:r w:rsidRPr="0021550A">
        <w:t xml:space="preserve">and </w:t>
      </w:r>
      <w:r w:rsidRPr="0021550A">
        <w:rPr>
          <w:i/>
          <w:iCs/>
        </w:rPr>
        <w:t>was</w:t>
      </w:r>
      <w:r w:rsidRPr="0021550A">
        <w:t xml:space="preserve">, and between </w:t>
      </w:r>
      <w:r w:rsidRPr="0021550A">
        <w:rPr>
          <w:i/>
          <w:iCs/>
        </w:rPr>
        <w:t>was</w:t>
      </w:r>
      <w:r w:rsidRPr="0021550A">
        <w:t xml:space="preserve"> and </w:t>
      </w:r>
      <w:r w:rsidRPr="0021550A">
        <w:rPr>
          <w:i/>
          <w:iCs/>
        </w:rPr>
        <w:t>mellebeus;</w:t>
      </w:r>
      <w:r w:rsidRPr="0021550A">
        <w:t xml:space="preserve"> on line 2 we can see the difference in spacing between </w:t>
      </w:r>
      <w:r w:rsidRPr="0021550A">
        <w:rPr>
          <w:i/>
          <w:iCs/>
        </w:rPr>
        <w:t>vpon</w:t>
      </w:r>
      <w:r w:rsidRPr="0021550A">
        <w:t xml:space="preserve"> and </w:t>
      </w:r>
      <w:r w:rsidRPr="0021550A">
        <w:rPr>
          <w:i/>
          <w:iCs/>
        </w:rPr>
        <w:t>his</w:t>
      </w:r>
      <w:r w:rsidRPr="0021550A">
        <w:t xml:space="preserve">, and </w:t>
      </w:r>
      <w:r w:rsidRPr="0021550A">
        <w:rPr>
          <w:i/>
          <w:iCs/>
        </w:rPr>
        <w:t>his</w:t>
      </w:r>
      <w:r w:rsidRPr="0021550A">
        <w:t xml:space="preserve"> and </w:t>
      </w:r>
      <w:r w:rsidRPr="0021550A">
        <w:rPr>
          <w:i/>
          <w:iCs/>
        </w:rPr>
        <w:t>wyf</w:t>
      </w:r>
      <w:r w:rsidRPr="0021550A">
        <w:t xml:space="preserve">, etc. In the bottommost line in </w:t>
      </w:r>
      <w:r w:rsidR="00982319">
        <w:t>Figure 3.13</w:t>
      </w:r>
      <w:r w:rsidRPr="0021550A">
        <w:t xml:space="preserve"> the spacing on either side of the virgules (/) is especially wide, though this spacing is not consistent throughout the sample of text in this figure. This variability of spacing appears to be limited to the prose texts, where the text is visually justified. We do not see the same variability of spacing in the verse, demonstrated in </w:t>
      </w:r>
      <w:r w:rsidR="00982319">
        <w:t>Figure 3.14,</w:t>
      </w:r>
      <w:r w:rsidRPr="0021550A">
        <w:t xml:space="preserve"> below. In the poetry, one width of spacing appears to be used between words, and the line is justified by moving spacing to the right side of the type.</w:t>
      </w:r>
    </w:p>
    <w:p w14:paraId="3CB62386" w14:textId="77777777" w:rsidR="005509E7" w:rsidRPr="0021550A" w:rsidRDefault="005509E7" w:rsidP="000737CB"/>
    <w:p w14:paraId="64F4C198" w14:textId="5251EAE3" w:rsidR="00277E53" w:rsidRPr="0021550A" w:rsidRDefault="00277E53" w:rsidP="00660E2C">
      <w:pPr>
        <w:ind w:firstLine="0"/>
      </w:pPr>
      <w:r w:rsidRPr="0021550A">
        <w:rPr>
          <w:noProof/>
          <w:lang w:eastAsia="en-GB"/>
        </w:rPr>
        <w:drawing>
          <wp:inline distT="0" distB="0" distL="0" distR="0" wp14:anchorId="236E7B98" wp14:editId="0717F246">
            <wp:extent cx="2715354" cy="2070089"/>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igure12.tif"/>
                    <pic:cNvPicPr/>
                  </pic:nvPicPr>
                  <pic:blipFill>
                    <a:blip r:embed="rId30">
                      <a:extLst>
                        <a:ext uri="{28A0092B-C50C-407E-A947-70E740481C1C}">
                          <a14:useLocalDpi xmlns:a14="http://schemas.microsoft.com/office/drawing/2010/main"/>
                        </a:ext>
                      </a:extLst>
                    </a:blip>
                    <a:stretch>
                      <a:fillRect/>
                    </a:stretch>
                  </pic:blipFill>
                  <pic:spPr>
                    <a:xfrm>
                      <a:off x="0" y="0"/>
                      <a:ext cx="2778191" cy="2117993"/>
                    </a:xfrm>
                    <a:prstGeom prst="rect">
                      <a:avLst/>
                    </a:prstGeom>
                  </pic:spPr>
                </pic:pic>
              </a:graphicData>
            </a:graphic>
          </wp:inline>
        </w:drawing>
      </w:r>
      <w:r w:rsidRPr="0021550A">
        <w:t xml:space="preserve"> </w:t>
      </w:r>
    </w:p>
    <w:p w14:paraId="1CB3DC68" w14:textId="6FC7D91A" w:rsidR="00277E53" w:rsidRPr="0021550A" w:rsidRDefault="00982319" w:rsidP="000737CB">
      <w:pPr>
        <w:pStyle w:val="Caption"/>
        <w:rPr>
          <w:rFonts w:eastAsia="Times New Roman"/>
        </w:rPr>
      </w:pPr>
      <w:bookmarkStart w:id="71" w:name="_Toc443641636"/>
      <w:bookmarkStart w:id="72" w:name="_Toc499753517"/>
      <w:r>
        <w:t>Figure 3.14:</w:t>
      </w:r>
      <w:r w:rsidR="00277E53" w:rsidRPr="0021550A">
        <w:t xml:space="preserve"> Caxton’s </w:t>
      </w:r>
      <w:r w:rsidR="00277E53" w:rsidRPr="00324B6C">
        <w:rPr>
          <w:i/>
        </w:rPr>
        <w:t>Canterbury Tales</w:t>
      </w:r>
      <w:r w:rsidR="00277E53" w:rsidRPr="0021550A">
        <w:t xml:space="preserve">, 2nd edn, </w:t>
      </w:r>
      <w:r w:rsidR="00234BB8">
        <w:t xml:space="preserve">p. </w:t>
      </w:r>
      <w:r w:rsidR="00277E53" w:rsidRPr="0021550A">
        <w:t>3</w:t>
      </w:r>
      <w:bookmarkEnd w:id="71"/>
      <w:r w:rsidR="00740B8C" w:rsidRPr="00740B8C">
        <w:rPr>
          <w:vertAlign w:val="superscript"/>
        </w:rPr>
        <w:t>a</w:t>
      </w:r>
      <w:bookmarkEnd w:id="72"/>
    </w:p>
    <w:p w14:paraId="3B1B42BF" w14:textId="77777777" w:rsidR="00277E53" w:rsidRPr="0021550A" w:rsidRDefault="00277E53" w:rsidP="000737CB"/>
    <w:p w14:paraId="1FDC5F5F" w14:textId="00F1CE85" w:rsidR="00277E53" w:rsidRPr="0021550A" w:rsidRDefault="00277E53" w:rsidP="000737CB">
      <w:r w:rsidRPr="0021550A">
        <w:t xml:space="preserve">There is one clear reason that compositors chose to respace their lines in order to justify the text: speed. Speed in typesetting is important—compositors had a set number of pages that they needed to set each day in order to get paid </w:t>
      </w:r>
      <w:r w:rsidR="00660E2C" w:rsidRPr="00660E2C">
        <w:t>(Gaskell 1972:</w:t>
      </w:r>
      <w:r w:rsidR="00660E2C">
        <w:t xml:space="preserve"> </w:t>
      </w:r>
      <w:r w:rsidR="00660E2C" w:rsidRPr="00660E2C">
        <w:t>132)</w:t>
      </w:r>
      <w:r w:rsidRPr="0021550A">
        <w:t xml:space="preserve">, so to make a decent living compositors would need to be both fast and accurate. Altering the spacing between words is a quick and easy way to justify type because it involves few processes. The compositor sets out the type as demonstrated in the copy text until it </w:t>
      </w:r>
      <w:r w:rsidRPr="0021550A">
        <w:lastRenderedPageBreak/>
        <w:t xml:space="preserve">becomes clear that the last word on his line will not fit. At this point he goes back over the line and adds more spacing between the words, or replaces spacing with two thinner spaces that together are slightly wider than the original—as we saw in </w:t>
      </w:r>
      <w:r w:rsidR="00AE3C75">
        <w:fldChar w:fldCharType="begin"/>
      </w:r>
      <w:r w:rsidR="00AE3C75">
        <w:instrText xml:space="preserve"> REF _Ref442882739  \* MERGEFORMAT </w:instrText>
      </w:r>
      <w:r w:rsidR="00AE3C75">
        <w:fldChar w:fldCharType="separate"/>
      </w:r>
      <w:r w:rsidR="00D11844" w:rsidRPr="0021550A">
        <w:t xml:space="preserve">Figure </w:t>
      </w:r>
      <w:r w:rsidR="00D11844">
        <w:t>3.3</w:t>
      </w:r>
      <w:r w:rsidR="00AE3C75">
        <w:fldChar w:fldCharType="end"/>
      </w:r>
      <w:r w:rsidRPr="0021550A">
        <w:t xml:space="preserve">. This is the fastest way to justify type because there are few processes involved: if the type does not fit, the compositor adds more spaces. If this does not work, he uses a combination of spaces that are collectively the width required. </w:t>
      </w:r>
    </w:p>
    <w:p w14:paraId="64438C03" w14:textId="77777777" w:rsidR="00277E53" w:rsidRPr="0021550A" w:rsidRDefault="00277E53" w:rsidP="000737CB">
      <w:r w:rsidRPr="0021550A">
        <w:t xml:space="preserve">Abbreviating words involves more processes, and this may be why abbreviations were used as a justification method with relative infrequency compared with respacing. To abbreviate, the compositor must remember all the words that can be abbreviated, such as </w:t>
      </w:r>
      <w:r w:rsidRPr="0021550A">
        <w:rPr>
          <w:i/>
        </w:rPr>
        <w:t>and</w:t>
      </w:r>
      <w:r w:rsidRPr="0021550A">
        <w:t xml:space="preserve"> &gt; ampersand, etc. Then the compositor has to look back over the line, examining each word (written left to right, but appearing to him upside down and each letter a mirror image). It takes time to read back what he has done, and to assess whether any of the words on his line can be replaced with a valid abbreviation. It takes more time still to select the word to be abbreviated, remove the letters on the line, and replace them with the corresponding abbreviation. Even then the line may need further respacing if the abbreviation has not justified perfectly. This procedure is not as quick as padding gaps out with extra spacing, or squeezing more type onto the line by reducing spacing. </w:t>
      </w:r>
    </w:p>
    <w:p w14:paraId="0E5F3A64" w14:textId="12C9179E" w:rsidR="00277E53" w:rsidRPr="0021550A" w:rsidRDefault="00277E53" w:rsidP="000737CB">
      <w:r w:rsidRPr="0021550A">
        <w:t>It is unlikely then that the compositors would have used respelling as an alternative to the processes that they already used. It would take more time and involve more processes to change spelling in order to justify type than it would for abbreviation, which I have already suggested was time consuming.</w:t>
      </w:r>
      <w:r w:rsidRPr="005C54CE">
        <w:rPr>
          <w:rStyle w:val="FootnoteReference"/>
        </w:rPr>
        <w:footnoteReference w:id="9"/>
      </w:r>
      <w:r w:rsidRPr="0021550A">
        <w:t xml:space="preserve"> Changing a spelling is not too dissimilar to abbreviation: instead of remembering which words can be abbreviated (a small and limited list), the printer instead has to analyse every word to determine which could be spelt differently, which variant spellings were generally accepted, and which ones would add (or remove) the length he needed in order to justify the line. The key difference here is that abbreviation involves just a small number of words, but respelling could involve far more; a high proportion of words could be spelt variably during the fifteenth century. I found that, in line with this observation, the compositors of the texts under examination did not alter spellings to justify their texts. When spellings were changed between editions, these were introduced by the compositor, either because they were his preferred spellings, or because they were representative of the natural variation in spelling at that time.</w:t>
      </w:r>
    </w:p>
    <w:p w14:paraId="7605C78E" w14:textId="77777777" w:rsidR="004D0978" w:rsidRDefault="004D0978" w:rsidP="000737CB">
      <w:pPr>
        <w:rPr>
          <w:lang w:eastAsia="zh-CN"/>
        </w:rPr>
      </w:pPr>
    </w:p>
    <w:p w14:paraId="0EC2498C" w14:textId="77777777" w:rsidR="0077106E" w:rsidRPr="0021550A" w:rsidRDefault="0077106E" w:rsidP="000737CB">
      <w:pPr>
        <w:rPr>
          <w:lang w:eastAsia="zh-CN"/>
        </w:rPr>
      </w:pPr>
    </w:p>
    <w:p w14:paraId="6D6BC643" w14:textId="678C743C" w:rsidR="00277E53" w:rsidRPr="0021550A" w:rsidRDefault="00277E53" w:rsidP="000737CB">
      <w:pPr>
        <w:pStyle w:val="Heading2"/>
      </w:pPr>
      <w:bookmarkStart w:id="73" w:name="_Toc497899846"/>
      <w:bookmarkStart w:id="74" w:name="_Ref498589424"/>
      <w:r w:rsidRPr="0021550A">
        <w:lastRenderedPageBreak/>
        <w:t xml:space="preserve">Chapter </w:t>
      </w:r>
      <w:bookmarkEnd w:id="73"/>
      <w:bookmarkEnd w:id="74"/>
      <w:r w:rsidR="00740B8C">
        <w:t>conclusions</w:t>
      </w:r>
    </w:p>
    <w:p w14:paraId="0EEA3A32" w14:textId="77777777" w:rsidR="00277E53" w:rsidRPr="0021550A" w:rsidRDefault="00277E53" w:rsidP="000737CB">
      <w:r w:rsidRPr="0021550A">
        <w:t xml:space="preserve">This study has shown that compositors working for Caxton and Pynson were not changing spellings to justify their type, even when justification was particularly difficult to achieve, as was the case in Pynson’s </w:t>
      </w:r>
      <w:r w:rsidRPr="0021550A">
        <w:rPr>
          <w:i/>
          <w:iCs/>
        </w:rPr>
        <w:t>Reynard</w:t>
      </w:r>
      <w:r w:rsidRPr="0021550A">
        <w:t xml:space="preserve">. The frequencies of altered spellings in justified and non-justified text are not significantly different; had the compositors been changing spellings to justify their type we would expect higher frequencies of spellings changed in the justified text. Nor is there any statistical significance behind the distribution of spelling changes on the page. It seems most likely that printers did not utilise spelling as a method of justification because of the time it would take, relative to that of the other options at their disposal. </w:t>
      </w:r>
    </w:p>
    <w:p w14:paraId="23C3E6C1" w14:textId="77777777" w:rsidR="00AC51D5" w:rsidRDefault="00277E53" w:rsidP="000737CB">
      <w:r w:rsidRPr="0021550A">
        <w:t>Instead, compositors justified their type by using a far greater number of abbreviations, altering the spacing between words, and breaking whole words over two lines. Spelling changes were evenly distributed throughout the page in both prose and verse, and changes were not more likely to occur at the rightmost side of lines or towards the end of the page, as has been suggested</w:t>
      </w:r>
      <w:r w:rsidR="00660E2C">
        <w:t xml:space="preserve"> </w:t>
      </w:r>
      <w:r w:rsidR="00660E2C" w:rsidRPr="00660E2C">
        <w:t>(Salmon 2000)</w:t>
      </w:r>
      <w:r w:rsidRPr="0021550A">
        <w:t xml:space="preserve">. However, in justified text we see both a higher frequency of use and significant placement in the use of abbreviation. It appears possible that printers used abbreviation to justify their type. The idea that the printer altered spellings to fit type to the page is a prevalent one in the history of English narrative. This study suggests that at least two compositors in the fifteenth-century did not utilise this practice in their work. Instead, spelling change is introduced by the individual setting the type. </w:t>
      </w:r>
    </w:p>
    <w:p w14:paraId="603847EB" w14:textId="76D4930A" w:rsidR="005509E7" w:rsidRPr="0077106E" w:rsidRDefault="00277E53" w:rsidP="0077106E">
      <w:pPr>
        <w:sectPr w:rsidR="005509E7" w:rsidRPr="0077106E" w:rsidSect="00BB5184">
          <w:headerReference w:type="default" r:id="rId31"/>
          <w:footerReference w:type="even" r:id="rId32"/>
          <w:footerReference w:type="default" r:id="rId33"/>
          <w:type w:val="continuous"/>
          <w:pgSz w:w="11900" w:h="16840"/>
          <w:pgMar w:top="1440" w:right="1440" w:bottom="1440" w:left="1440" w:header="720" w:footer="1008" w:gutter="1152"/>
          <w:cols w:space="720"/>
          <w:docGrid w:linePitch="360"/>
        </w:sectPr>
      </w:pPr>
      <w:r w:rsidRPr="0021550A">
        <w:rPr>
          <w:iCs/>
        </w:rPr>
        <w:t>The results of this research suggest that Caxton’s compositor did not alter spellings to justify type, and more broadly the</w:t>
      </w:r>
      <w:r w:rsidRPr="0021550A">
        <w:t xml:space="preserve"> processes involved in printing do not affect the spellings that are used in early printed texts. The input for printed texts is analogous to that of their hand-written counterparts, where the source of spelling variants is a combination of the copy text and the scribe. The rest of this thesis introduces two quantitative methods designed to explore these two sources of spelling variation</w:t>
      </w:r>
      <w:r w:rsidR="002C53B3">
        <w:t>—cluster analysis and similarity measurements</w:t>
      </w:r>
      <w:r w:rsidRPr="0021550A">
        <w:t xml:space="preserve">. The next </w:t>
      </w:r>
      <w:r w:rsidR="002C53B3">
        <w:t>section, Section Two,</w:t>
      </w:r>
      <w:r w:rsidRPr="0021550A">
        <w:t xml:space="preserve"> introduces </w:t>
      </w:r>
      <w:r w:rsidR="002C53B3">
        <w:t xml:space="preserve">these methods </w:t>
      </w:r>
      <w:r w:rsidRPr="0021550A">
        <w:t>and demonstrates how we can use cluster analysis to explore the internal spelling variation in Caxton’s texts</w:t>
      </w:r>
      <w:bookmarkStart w:id="75" w:name="_Toc497899847"/>
      <w:bookmarkEnd w:id="0"/>
    </w:p>
    <w:bookmarkEnd w:id="75"/>
    <w:p w14:paraId="71ACCA83" w14:textId="77777777" w:rsidR="0077106E" w:rsidRDefault="0077106E" w:rsidP="0077106E"/>
    <w:p w14:paraId="028B3744" w14:textId="77777777" w:rsidR="0077106E" w:rsidRDefault="0077106E" w:rsidP="0077106E"/>
    <w:p w14:paraId="462B2D67" w14:textId="77777777" w:rsidR="0077106E" w:rsidRDefault="0077106E" w:rsidP="0077106E"/>
    <w:p w14:paraId="62EDC63C" w14:textId="77777777" w:rsidR="0077106E" w:rsidRDefault="0077106E" w:rsidP="0077106E"/>
    <w:p w14:paraId="558496D2" w14:textId="77777777" w:rsidR="0077106E" w:rsidRPr="0077106E" w:rsidRDefault="0077106E" w:rsidP="0077106E"/>
    <w:p w14:paraId="6D31750D" w14:textId="0CE20272" w:rsidR="0077106E" w:rsidRPr="005F5314" w:rsidRDefault="0077106E" w:rsidP="0077106E">
      <w:pPr>
        <w:pStyle w:val="Title"/>
        <w:jc w:val="center"/>
        <w:rPr>
          <w:smallCaps/>
        </w:rPr>
        <w:sectPr w:rsidR="0077106E" w:rsidRPr="005F5314" w:rsidSect="005F5314">
          <w:footerReference w:type="default" r:id="rId34"/>
          <w:pgSz w:w="11900" w:h="16840"/>
          <w:pgMar w:top="1440" w:right="1440" w:bottom="1440" w:left="1440" w:header="720" w:footer="720" w:gutter="1152"/>
          <w:cols w:space="720"/>
          <w:docGrid w:linePitch="360"/>
        </w:sectPr>
      </w:pPr>
      <w:r w:rsidRPr="005F5314">
        <w:rPr>
          <w:smallCaps/>
        </w:rPr>
        <w:t>Section Two – Developing and testing quantitative methods</w:t>
      </w:r>
    </w:p>
    <w:p w14:paraId="2198AF61" w14:textId="77777777" w:rsidR="005F5314" w:rsidRDefault="005F5314" w:rsidP="0077106E">
      <w:pPr>
        <w:ind w:firstLine="0"/>
        <w:rPr>
          <w:smallCaps/>
        </w:rPr>
        <w:sectPr w:rsidR="005F5314" w:rsidSect="00BB5184">
          <w:footerReference w:type="default" r:id="rId35"/>
          <w:pgSz w:w="11900" w:h="16840"/>
          <w:pgMar w:top="1440" w:right="1440" w:bottom="1440" w:left="1440" w:header="720" w:footer="1008" w:gutter="1152"/>
          <w:cols w:space="720"/>
          <w:docGrid w:linePitch="360"/>
        </w:sectPr>
      </w:pPr>
    </w:p>
    <w:p w14:paraId="2D33CC2E" w14:textId="24C73DBF" w:rsidR="00E13B92" w:rsidRDefault="005509E7" w:rsidP="00173DDA">
      <w:pPr>
        <w:pStyle w:val="Heading1"/>
      </w:pPr>
      <w:bookmarkStart w:id="76" w:name="_Toc497899848"/>
      <w:r>
        <w:lastRenderedPageBreak/>
        <w:t>M</w:t>
      </w:r>
      <w:r w:rsidR="00DD1AD3">
        <w:t>ethodological design</w:t>
      </w:r>
      <w:bookmarkEnd w:id="76"/>
    </w:p>
    <w:p w14:paraId="4E31B93D" w14:textId="3B910241" w:rsidR="00F70660" w:rsidRDefault="000B03E8" w:rsidP="000737CB">
      <w:r>
        <w:t xml:space="preserve">This thesis </w:t>
      </w:r>
      <w:r w:rsidR="00EE3DBE">
        <w:t>develops and tests two</w:t>
      </w:r>
      <w:r>
        <w:t xml:space="preserve"> quantitative methods to explore the spelling variants used in Caxton’s printed texts</w:t>
      </w:r>
      <w:r w:rsidR="00AF4B30">
        <w:t xml:space="preserve">—cluster analysis and similarity measurements. </w:t>
      </w:r>
      <w:r w:rsidR="004977C1">
        <w:t xml:space="preserve">These methods take the spelling variants in Caxton’s texts as their input data, and </w:t>
      </w:r>
      <w:r w:rsidR="00C21D30">
        <w:t>the</w:t>
      </w:r>
      <w:r w:rsidR="00F57E76">
        <w:t xml:space="preserve"> output </w:t>
      </w:r>
      <w:r w:rsidR="00C21D30">
        <w:t xml:space="preserve">from these methods </w:t>
      </w:r>
      <w:r w:rsidR="00F57E76">
        <w:t xml:space="preserve">can be used to analyse the composition of the text, with regard to the people who were involved in the written form of the text, i.e. the scribe(s) who wrote the copy text, and the compositors who set the type. </w:t>
      </w:r>
      <w:r w:rsidR="00976D91">
        <w:t xml:space="preserve">This section </w:t>
      </w:r>
      <w:r w:rsidR="00E80301">
        <w:t>is divided into three chapters.</w:t>
      </w:r>
      <w:r w:rsidR="008467FF">
        <w:t xml:space="preserve"> </w:t>
      </w:r>
      <w:r w:rsidR="00E80301">
        <w:t>T</w:t>
      </w:r>
      <w:r w:rsidR="0012162D">
        <w:t xml:space="preserve">he present chapter, </w:t>
      </w:r>
      <w:r w:rsidR="008467FF">
        <w:t>Chapter 4</w:t>
      </w:r>
      <w:r w:rsidR="0012162D">
        <w:t>,</w:t>
      </w:r>
      <w:r w:rsidR="008467FF">
        <w:t xml:space="preserve"> describes the </w:t>
      </w:r>
      <w:r w:rsidR="00684BDB">
        <w:t xml:space="preserve">concepts and </w:t>
      </w:r>
      <w:r w:rsidR="008467FF">
        <w:t xml:space="preserve">principles that underlie the quantitative approach to this study, and </w:t>
      </w:r>
      <w:r w:rsidR="003D4221">
        <w:t>then</w:t>
      </w:r>
      <w:r w:rsidR="00684BDB">
        <w:t xml:space="preserve"> provide</w:t>
      </w:r>
      <w:r w:rsidR="003D4221">
        <w:t>s</w:t>
      </w:r>
      <w:r w:rsidR="008467FF">
        <w:t xml:space="preserve"> details on the choices made in </w:t>
      </w:r>
      <w:r w:rsidR="00606AAA">
        <w:t>the research design of</w:t>
      </w:r>
      <w:r w:rsidR="008467FF">
        <w:t xml:space="preserve"> this study, including the selection</w:t>
      </w:r>
      <w:r w:rsidR="00D62ED8">
        <w:t xml:space="preserve"> and annotation</w:t>
      </w:r>
      <w:r w:rsidR="0012162D">
        <w:t xml:space="preserve"> of the data (Section </w:t>
      </w:r>
      <w:r w:rsidR="0012162D">
        <w:fldChar w:fldCharType="begin"/>
      </w:r>
      <w:r w:rsidR="0012162D">
        <w:instrText xml:space="preserve"> REF _Ref495654983 \r </w:instrText>
      </w:r>
      <w:r w:rsidR="0012162D">
        <w:fldChar w:fldCharType="separate"/>
      </w:r>
      <w:r w:rsidR="00D11844">
        <w:t>4.1</w:t>
      </w:r>
      <w:r w:rsidR="0012162D">
        <w:fldChar w:fldCharType="end"/>
      </w:r>
      <w:r w:rsidR="0012162D">
        <w:t>)</w:t>
      </w:r>
      <w:r w:rsidR="00D62ED8">
        <w:t>,</w:t>
      </w:r>
      <w:r w:rsidR="00606AAA">
        <w:t xml:space="preserve"> and the preparations undertaken for </w:t>
      </w:r>
      <w:r w:rsidR="0012162D">
        <w:t>analysis (</w:t>
      </w:r>
      <w:r w:rsidR="00CA54DE">
        <w:t xml:space="preserve">Section </w:t>
      </w:r>
      <w:r w:rsidR="00CA54DE">
        <w:fldChar w:fldCharType="begin"/>
      </w:r>
      <w:r w:rsidR="00CA54DE">
        <w:instrText xml:space="preserve"> REF _Ref496278569 \r </w:instrText>
      </w:r>
      <w:r w:rsidR="00CA54DE">
        <w:fldChar w:fldCharType="separate"/>
      </w:r>
      <w:r w:rsidR="00D11844">
        <w:t>4.2</w:t>
      </w:r>
      <w:r w:rsidR="00CA54DE">
        <w:fldChar w:fldCharType="end"/>
      </w:r>
      <w:r w:rsidR="00CA54DE">
        <w:t xml:space="preserve"> and </w:t>
      </w:r>
      <w:r w:rsidR="0012162D">
        <w:t xml:space="preserve">Section </w:t>
      </w:r>
      <w:r w:rsidR="0012162D">
        <w:fldChar w:fldCharType="begin"/>
      </w:r>
      <w:r w:rsidR="0012162D">
        <w:instrText xml:space="preserve"> REF _Ref495654932 \r </w:instrText>
      </w:r>
      <w:r w:rsidR="0012162D">
        <w:fldChar w:fldCharType="separate"/>
      </w:r>
      <w:r w:rsidR="00D11844">
        <w:t>4.3</w:t>
      </w:r>
      <w:r w:rsidR="0012162D">
        <w:fldChar w:fldCharType="end"/>
      </w:r>
      <w:r w:rsidR="0012162D">
        <w:t>)</w:t>
      </w:r>
      <w:r w:rsidR="008467FF">
        <w:t xml:space="preserve">. </w:t>
      </w:r>
      <w:r w:rsidR="00107F00">
        <w:t xml:space="preserve">Following the broader discussion of </w:t>
      </w:r>
      <w:r w:rsidR="00EA0AA6">
        <w:t xml:space="preserve">the selection and preparation of data for quantitative research, Chapter 5 and Chapter 6 focus on the development of </w:t>
      </w:r>
      <w:r w:rsidR="00C966CB">
        <w:t xml:space="preserve">the two methods introduced in this thesis. Chapter 5 </w:t>
      </w:r>
      <w:r w:rsidR="00CD48E6">
        <w:t xml:space="preserve">introduces the use of cluster analysis for </w:t>
      </w:r>
      <w:r w:rsidR="00913514">
        <w:t xml:space="preserve">exploring where within a text a change in spellings has taken place, and for exploring which texts in the dataset contain the most similar spellings overall. Chapter 6 introduces the use of </w:t>
      </w:r>
      <w:r w:rsidR="00A97F70">
        <w:t xml:space="preserve">similarity measurements to </w:t>
      </w:r>
      <w:r w:rsidR="00C2345E">
        <w:t xml:space="preserve">determine how similar the spellings are that are used in different sections of the same text. </w:t>
      </w:r>
      <w:r w:rsidR="00A70CA6">
        <w:t>Both these methodological chapters introduce the background for the use of the method, discuss any necessary amendments for use of the method with spelling data, and demonstrate the use of the me</w:t>
      </w:r>
      <w:r w:rsidR="001779FB">
        <w:t>thod on one of Caxton’s texts.</w:t>
      </w:r>
    </w:p>
    <w:p w14:paraId="45E22C7D" w14:textId="77777777" w:rsidR="0099714A" w:rsidRPr="0099714A" w:rsidRDefault="0099714A" w:rsidP="00665568">
      <w:pPr>
        <w:ind w:firstLine="0"/>
      </w:pPr>
    </w:p>
    <w:p w14:paraId="60E8E4A4" w14:textId="4536D6EA" w:rsidR="00EB4C28" w:rsidRDefault="00EB4C28" w:rsidP="00FA00EA">
      <w:pPr>
        <w:pStyle w:val="Heading2"/>
      </w:pPr>
      <w:bookmarkStart w:id="77" w:name="_Ref496270130"/>
      <w:bookmarkStart w:id="78" w:name="_Toc497899851"/>
      <w:bookmarkStart w:id="79" w:name="_Ref495654983"/>
      <w:r>
        <w:t>Data selection</w:t>
      </w:r>
      <w:bookmarkEnd w:id="77"/>
      <w:bookmarkEnd w:id="78"/>
      <w:r>
        <w:t xml:space="preserve"> </w:t>
      </w:r>
    </w:p>
    <w:bookmarkEnd w:id="79"/>
    <w:p w14:paraId="2E33ACD5" w14:textId="3BD6D173" w:rsidR="007F1975" w:rsidRDefault="000E0705" w:rsidP="000737CB">
      <w:r>
        <w:t xml:space="preserve">This study uses the texts printed by William Caxton in the late fifteenth century in order to explore the spellings used in early printed texts. Caxton’s texts are ideal for this study for several reasons. First, </w:t>
      </w:r>
      <w:r w:rsidR="00DD69DA">
        <w:t xml:space="preserve">Caxton’s texts are a source of information about how printing was undertaken in England in the very earliest years of Caxton’s work. </w:t>
      </w:r>
      <w:r w:rsidR="00D47B30">
        <w:t xml:space="preserve">Second, </w:t>
      </w:r>
      <w:r>
        <w:t xml:space="preserve">the texts are easily accessible in a plain text edition—that is, the texts have been typed up as part of the </w:t>
      </w:r>
      <w:r>
        <w:rPr>
          <w:i/>
        </w:rPr>
        <w:t>Early English Books Online</w:t>
      </w:r>
      <w:r>
        <w:t xml:space="preserve"> Text Creation Partnership (</w:t>
      </w:r>
      <w:r>
        <w:rPr>
          <w:i/>
        </w:rPr>
        <w:t>EEBO</w:t>
      </w:r>
      <w:r>
        <w:t>-TCP) project. Without this level of accessibility, the texts would otherwise need to be typed up or read by a machine (</w:t>
      </w:r>
      <w:r w:rsidR="003F5572">
        <w:t>and this thesis would be</w:t>
      </w:r>
      <w:r w:rsidR="00FC12F9">
        <w:t xml:space="preserve"> based on</w:t>
      </w:r>
      <w:r>
        <w:t xml:space="preserve"> an entirely different set of problems)</w:t>
      </w:r>
      <w:r w:rsidR="0085766A">
        <w:t>.</w:t>
      </w:r>
    </w:p>
    <w:p w14:paraId="19FD9868" w14:textId="66133152" w:rsidR="00DD69DA" w:rsidRDefault="0085766A" w:rsidP="000737CB">
      <w:r>
        <w:t xml:space="preserve">The availability of these texts through </w:t>
      </w:r>
      <w:r>
        <w:rPr>
          <w:i/>
        </w:rPr>
        <w:t>EEBO</w:t>
      </w:r>
      <w:r>
        <w:t xml:space="preserve">-TCP does not make the task of </w:t>
      </w:r>
      <w:r w:rsidR="00793F7E">
        <w:t>undertaking quantitative analysis entirely problem free, however. The dat</w:t>
      </w:r>
      <w:r w:rsidR="00300E8B">
        <w:t xml:space="preserve">a must be prepared and cleaned, and editorial decisions made, and these processes must be optimised for the analysis of spelling variation in the texts. Even so, further complications arise—for </w:t>
      </w:r>
      <w:r w:rsidR="00300E8B">
        <w:lastRenderedPageBreak/>
        <w:t xml:space="preserve">example, Section </w:t>
      </w:r>
      <w:r w:rsidR="00300E8B">
        <w:fldChar w:fldCharType="begin"/>
      </w:r>
      <w:r w:rsidR="00300E8B">
        <w:instrText xml:space="preserve"> REF _Ref495319917 \r \h </w:instrText>
      </w:r>
      <w:r w:rsidR="00300E8B">
        <w:fldChar w:fldCharType="separate"/>
      </w:r>
      <w:r w:rsidR="00D11844">
        <w:t>5.1.1</w:t>
      </w:r>
      <w:r w:rsidR="00300E8B">
        <w:fldChar w:fldCharType="end"/>
      </w:r>
      <w:r w:rsidR="00300E8B">
        <w:t xml:space="preserve"> discusses the </w:t>
      </w:r>
      <w:r w:rsidR="00FC12F9">
        <w:t xml:space="preserve">significant </w:t>
      </w:r>
      <w:r w:rsidR="00300E8B">
        <w:t xml:space="preserve">issues that arise for preparing the data in order for cluster analysis to be undertaken on quires. </w:t>
      </w:r>
      <w:r w:rsidR="00E53B8C">
        <w:t xml:space="preserve">The processes used to prepare the data for quantitative analysis of spellings are time consuming, and as such it is only possible to analyse a selection of texts rather than all the available plain-text editions of Caxton’s texts. The texts that are used in this thesis are presented in </w:t>
      </w:r>
      <w:r w:rsidR="00E12429">
        <w:fldChar w:fldCharType="begin"/>
      </w:r>
      <w:r w:rsidR="00E12429">
        <w:instrText xml:space="preserve"> REF _Ref495321202 </w:instrText>
      </w:r>
      <w:r w:rsidR="00E12429">
        <w:fldChar w:fldCharType="separate"/>
      </w:r>
      <w:r w:rsidR="00D11844">
        <w:t xml:space="preserve">Table </w:t>
      </w:r>
      <w:r w:rsidR="00D11844">
        <w:rPr>
          <w:noProof/>
        </w:rPr>
        <w:t>4</w:t>
      </w:r>
      <w:r w:rsidR="00D11844">
        <w:t>.</w:t>
      </w:r>
      <w:r w:rsidR="00D11844">
        <w:rPr>
          <w:noProof/>
        </w:rPr>
        <w:t>1</w:t>
      </w:r>
      <w:r w:rsidR="00E12429">
        <w:rPr>
          <w:noProof/>
        </w:rPr>
        <w:fldChar w:fldCharType="end"/>
      </w:r>
      <w:r w:rsidR="00E53B8C">
        <w:t>.</w:t>
      </w:r>
    </w:p>
    <w:p w14:paraId="3FB573FE" w14:textId="77777777" w:rsidR="00E53B8C" w:rsidRDefault="00E53B8C" w:rsidP="000737CB"/>
    <w:tbl>
      <w:tblPr>
        <w:tblStyle w:val="GridTable1Light1"/>
        <w:tblW w:w="0" w:type="auto"/>
        <w:tblLook w:val="04A0" w:firstRow="1" w:lastRow="0" w:firstColumn="1" w:lastColumn="0" w:noHBand="0" w:noVBand="1"/>
      </w:tblPr>
      <w:tblGrid>
        <w:gridCol w:w="5125"/>
      </w:tblGrid>
      <w:tr w:rsidR="00EA28DE" w:rsidRPr="0021550A" w14:paraId="1F0362E8" w14:textId="77777777" w:rsidTr="00EE3D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25" w:type="dxa"/>
          </w:tcPr>
          <w:p w14:paraId="6A09A4B4" w14:textId="7A9985B4" w:rsidR="00E53B8C" w:rsidRPr="00EE3DBE" w:rsidRDefault="00E53B8C" w:rsidP="000737CB">
            <w:r w:rsidRPr="00EE3DBE">
              <w:t>Text</w:t>
            </w:r>
            <w:r w:rsidR="00457861" w:rsidRPr="00EE3DBE">
              <w:t>s</w:t>
            </w:r>
            <w:r w:rsidRPr="00EE3DBE">
              <w:t xml:space="preserve"> in the Caxton dataset</w:t>
            </w:r>
          </w:p>
        </w:tc>
      </w:tr>
      <w:tr w:rsidR="00EA28DE" w:rsidRPr="0021550A" w14:paraId="07A136F2" w14:textId="77777777" w:rsidTr="00EE3DBE">
        <w:tc>
          <w:tcPr>
            <w:cnfStyle w:val="001000000000" w:firstRow="0" w:lastRow="0" w:firstColumn="1" w:lastColumn="0" w:oddVBand="0" w:evenVBand="0" w:oddHBand="0" w:evenHBand="0" w:firstRowFirstColumn="0" w:firstRowLastColumn="0" w:lastRowFirstColumn="0" w:lastRowLastColumn="0"/>
            <w:tcW w:w="5125" w:type="dxa"/>
          </w:tcPr>
          <w:p w14:paraId="5FF62CA8" w14:textId="4D7FB7E9" w:rsidR="00E53B8C" w:rsidRPr="00EE3DBE" w:rsidRDefault="00E53B8C" w:rsidP="00710B98">
            <w:pPr>
              <w:rPr>
                <w:b w:val="0"/>
              </w:rPr>
            </w:pPr>
            <w:r w:rsidRPr="00EE3DBE">
              <w:rPr>
                <w:b w:val="0"/>
              </w:rPr>
              <w:t xml:space="preserve">Game of Chess </w:t>
            </w:r>
            <w:r w:rsidR="00710B98">
              <w:rPr>
                <w:b w:val="0"/>
              </w:rPr>
              <w:t>(1473)</w:t>
            </w:r>
          </w:p>
        </w:tc>
      </w:tr>
      <w:tr w:rsidR="00EA28DE" w:rsidRPr="0021550A" w14:paraId="47EACD4E" w14:textId="77777777" w:rsidTr="00EE3DBE">
        <w:tc>
          <w:tcPr>
            <w:cnfStyle w:val="001000000000" w:firstRow="0" w:lastRow="0" w:firstColumn="1" w:lastColumn="0" w:oddVBand="0" w:evenVBand="0" w:oddHBand="0" w:evenHBand="0" w:firstRowFirstColumn="0" w:firstRowLastColumn="0" w:lastRowFirstColumn="0" w:lastRowLastColumn="0"/>
            <w:tcW w:w="5125" w:type="dxa"/>
          </w:tcPr>
          <w:p w14:paraId="4EC59D2F" w14:textId="05C533BB" w:rsidR="00E53B8C" w:rsidRPr="00EE3DBE" w:rsidRDefault="00E53B8C" w:rsidP="00710B98">
            <w:pPr>
              <w:rPr>
                <w:b w:val="0"/>
              </w:rPr>
            </w:pPr>
            <w:r w:rsidRPr="00EE3DBE">
              <w:rPr>
                <w:b w:val="0"/>
              </w:rPr>
              <w:t xml:space="preserve">Canterbury Tales </w:t>
            </w:r>
            <w:r w:rsidR="00710B98">
              <w:rPr>
                <w:b w:val="0"/>
              </w:rPr>
              <w:t>(1477)</w:t>
            </w:r>
          </w:p>
        </w:tc>
      </w:tr>
      <w:tr w:rsidR="00EA28DE" w:rsidRPr="0021550A" w14:paraId="5C516E23" w14:textId="77777777" w:rsidTr="00EE3DBE">
        <w:tc>
          <w:tcPr>
            <w:cnfStyle w:val="001000000000" w:firstRow="0" w:lastRow="0" w:firstColumn="1" w:lastColumn="0" w:oddVBand="0" w:evenVBand="0" w:oddHBand="0" w:evenHBand="0" w:firstRowFirstColumn="0" w:firstRowLastColumn="0" w:lastRowFirstColumn="0" w:lastRowLastColumn="0"/>
            <w:tcW w:w="5125" w:type="dxa"/>
          </w:tcPr>
          <w:p w14:paraId="15D2F6E4" w14:textId="4AA74453" w:rsidR="00E53B8C" w:rsidRPr="00EE3DBE" w:rsidRDefault="00E53B8C" w:rsidP="00710B98">
            <w:pPr>
              <w:rPr>
                <w:b w:val="0"/>
              </w:rPr>
            </w:pPr>
            <w:r w:rsidRPr="00EE3DBE">
              <w:rPr>
                <w:b w:val="0"/>
              </w:rPr>
              <w:t xml:space="preserve">Dicts and Sayings of the Philosophers </w:t>
            </w:r>
            <w:r w:rsidR="00710B98">
              <w:rPr>
                <w:b w:val="0"/>
              </w:rPr>
              <w:t>(1477)</w:t>
            </w:r>
          </w:p>
        </w:tc>
      </w:tr>
      <w:tr w:rsidR="00EA28DE" w:rsidRPr="0021550A" w14:paraId="3C1E1502" w14:textId="77777777" w:rsidTr="00EE3DBE">
        <w:tc>
          <w:tcPr>
            <w:cnfStyle w:val="001000000000" w:firstRow="0" w:lastRow="0" w:firstColumn="1" w:lastColumn="0" w:oddVBand="0" w:evenVBand="0" w:oddHBand="0" w:evenHBand="0" w:firstRowFirstColumn="0" w:firstRowLastColumn="0" w:lastRowFirstColumn="0" w:lastRowLastColumn="0"/>
            <w:tcW w:w="5125" w:type="dxa"/>
          </w:tcPr>
          <w:p w14:paraId="3AFB123A" w14:textId="60621B92" w:rsidR="00E53B8C" w:rsidRPr="00EE3DBE" w:rsidRDefault="00710B98" w:rsidP="00710B98">
            <w:pPr>
              <w:rPr>
                <w:b w:val="0"/>
              </w:rPr>
            </w:pPr>
            <w:r>
              <w:rPr>
                <w:b w:val="0"/>
              </w:rPr>
              <w:t>Boethius (1480)</w:t>
            </w:r>
          </w:p>
        </w:tc>
      </w:tr>
      <w:tr w:rsidR="00EA28DE" w:rsidRPr="0021550A" w14:paraId="30E99BC2" w14:textId="77777777" w:rsidTr="00EE3DBE">
        <w:tc>
          <w:tcPr>
            <w:cnfStyle w:val="001000000000" w:firstRow="0" w:lastRow="0" w:firstColumn="1" w:lastColumn="0" w:oddVBand="0" w:evenVBand="0" w:oddHBand="0" w:evenHBand="0" w:firstRowFirstColumn="0" w:firstRowLastColumn="0" w:lastRowFirstColumn="0" w:lastRowLastColumn="0"/>
            <w:tcW w:w="5125" w:type="dxa"/>
          </w:tcPr>
          <w:p w14:paraId="6918CE4F" w14:textId="4F1D325D" w:rsidR="00E53B8C" w:rsidRPr="00EE3DBE" w:rsidRDefault="00E53B8C" w:rsidP="00710B98">
            <w:pPr>
              <w:rPr>
                <w:b w:val="0"/>
              </w:rPr>
            </w:pPr>
            <w:r w:rsidRPr="00EE3DBE">
              <w:rPr>
                <w:b w:val="0"/>
              </w:rPr>
              <w:t xml:space="preserve">Chronicles of England </w:t>
            </w:r>
            <w:r w:rsidR="00710B98">
              <w:rPr>
                <w:b w:val="0"/>
              </w:rPr>
              <w:t>(1480)</w:t>
            </w:r>
          </w:p>
        </w:tc>
      </w:tr>
      <w:tr w:rsidR="00EA28DE" w:rsidRPr="0021550A" w14:paraId="14513383" w14:textId="77777777" w:rsidTr="00EE3DBE">
        <w:tc>
          <w:tcPr>
            <w:cnfStyle w:val="001000000000" w:firstRow="0" w:lastRow="0" w:firstColumn="1" w:lastColumn="0" w:oddVBand="0" w:evenVBand="0" w:oddHBand="0" w:evenHBand="0" w:firstRowFirstColumn="0" w:firstRowLastColumn="0" w:lastRowFirstColumn="0" w:lastRowLastColumn="0"/>
            <w:tcW w:w="5125" w:type="dxa"/>
          </w:tcPr>
          <w:p w14:paraId="0D092A29" w14:textId="2DA7ABF2" w:rsidR="00E53B8C" w:rsidRPr="00EE3DBE" w:rsidRDefault="00E53B8C" w:rsidP="00710B98">
            <w:pPr>
              <w:rPr>
                <w:b w:val="0"/>
              </w:rPr>
            </w:pPr>
            <w:r w:rsidRPr="00EE3DBE">
              <w:rPr>
                <w:b w:val="0"/>
              </w:rPr>
              <w:t xml:space="preserve">Description of Britain </w:t>
            </w:r>
            <w:r w:rsidR="00710B98">
              <w:rPr>
                <w:b w:val="0"/>
              </w:rPr>
              <w:t>(1480)</w:t>
            </w:r>
          </w:p>
        </w:tc>
      </w:tr>
      <w:tr w:rsidR="00EA28DE" w:rsidRPr="0021550A" w14:paraId="550B816B" w14:textId="77777777" w:rsidTr="00EE3DBE">
        <w:tc>
          <w:tcPr>
            <w:cnfStyle w:val="001000000000" w:firstRow="0" w:lastRow="0" w:firstColumn="1" w:lastColumn="0" w:oddVBand="0" w:evenVBand="0" w:oddHBand="0" w:evenHBand="0" w:firstRowFirstColumn="0" w:firstRowLastColumn="0" w:lastRowFirstColumn="0" w:lastRowLastColumn="0"/>
            <w:tcW w:w="5125" w:type="dxa"/>
          </w:tcPr>
          <w:p w14:paraId="0A31EDC1" w14:textId="78FA75CC" w:rsidR="00E53B8C" w:rsidRPr="00EE3DBE" w:rsidRDefault="00E53B8C" w:rsidP="00710B98">
            <w:pPr>
              <w:rPr>
                <w:b w:val="0"/>
              </w:rPr>
            </w:pPr>
            <w:r w:rsidRPr="00EE3DBE">
              <w:rPr>
                <w:b w:val="0"/>
              </w:rPr>
              <w:t xml:space="preserve">Reynard the Fox </w:t>
            </w:r>
            <w:r w:rsidR="00710B98">
              <w:rPr>
                <w:b w:val="0"/>
              </w:rPr>
              <w:t>(1481)</w:t>
            </w:r>
          </w:p>
        </w:tc>
      </w:tr>
      <w:tr w:rsidR="00EA28DE" w:rsidRPr="0021550A" w14:paraId="05757A5D" w14:textId="77777777" w:rsidTr="00EE3DBE">
        <w:tc>
          <w:tcPr>
            <w:cnfStyle w:val="001000000000" w:firstRow="0" w:lastRow="0" w:firstColumn="1" w:lastColumn="0" w:oddVBand="0" w:evenVBand="0" w:oddHBand="0" w:evenHBand="0" w:firstRowFirstColumn="0" w:firstRowLastColumn="0" w:lastRowFirstColumn="0" w:lastRowLastColumn="0"/>
            <w:tcW w:w="5125" w:type="dxa"/>
          </w:tcPr>
          <w:p w14:paraId="3570BFC9" w14:textId="259E5669" w:rsidR="00E53B8C" w:rsidRPr="00EE3DBE" w:rsidRDefault="00E53B8C" w:rsidP="00710B98">
            <w:pPr>
              <w:rPr>
                <w:b w:val="0"/>
              </w:rPr>
            </w:pPr>
            <w:r w:rsidRPr="00EE3DBE">
              <w:rPr>
                <w:b w:val="0"/>
              </w:rPr>
              <w:t xml:space="preserve">Polychronicon </w:t>
            </w:r>
            <w:r w:rsidR="0030258F">
              <w:rPr>
                <w:b w:val="0"/>
              </w:rPr>
              <w:t>(1482)</w:t>
            </w:r>
          </w:p>
        </w:tc>
      </w:tr>
      <w:tr w:rsidR="00EA28DE" w:rsidRPr="0021550A" w14:paraId="1C3C612D" w14:textId="77777777" w:rsidTr="00EE3DBE">
        <w:tc>
          <w:tcPr>
            <w:cnfStyle w:val="001000000000" w:firstRow="0" w:lastRow="0" w:firstColumn="1" w:lastColumn="0" w:oddVBand="0" w:evenVBand="0" w:oddHBand="0" w:evenHBand="0" w:firstRowFirstColumn="0" w:firstRowLastColumn="0" w:lastRowFirstColumn="0" w:lastRowLastColumn="0"/>
            <w:tcW w:w="5125" w:type="dxa"/>
          </w:tcPr>
          <w:p w14:paraId="06E3E3A8" w14:textId="1F66B3DF" w:rsidR="00E53B8C" w:rsidRPr="00EE3DBE" w:rsidRDefault="00E53B8C" w:rsidP="0030258F">
            <w:pPr>
              <w:rPr>
                <w:b w:val="0"/>
              </w:rPr>
            </w:pPr>
            <w:r w:rsidRPr="00EE3DBE">
              <w:rPr>
                <w:b w:val="0"/>
              </w:rPr>
              <w:t xml:space="preserve">Confessio Amantis </w:t>
            </w:r>
            <w:r w:rsidR="0030258F">
              <w:rPr>
                <w:b w:val="0"/>
              </w:rPr>
              <w:t>(1483)</w:t>
            </w:r>
          </w:p>
        </w:tc>
      </w:tr>
      <w:tr w:rsidR="00EA28DE" w:rsidRPr="0021550A" w14:paraId="43BAA0CD" w14:textId="77777777" w:rsidTr="00EE3DBE">
        <w:tc>
          <w:tcPr>
            <w:cnfStyle w:val="001000000000" w:firstRow="0" w:lastRow="0" w:firstColumn="1" w:lastColumn="0" w:oddVBand="0" w:evenVBand="0" w:oddHBand="0" w:evenHBand="0" w:firstRowFirstColumn="0" w:firstRowLastColumn="0" w:lastRowFirstColumn="0" w:lastRowLastColumn="0"/>
            <w:tcW w:w="5125" w:type="dxa"/>
          </w:tcPr>
          <w:p w14:paraId="5368BE68" w14:textId="2DF8455D" w:rsidR="00E53B8C" w:rsidRPr="00EE3DBE" w:rsidRDefault="00E53B8C" w:rsidP="0030258F">
            <w:pPr>
              <w:rPr>
                <w:b w:val="0"/>
              </w:rPr>
            </w:pPr>
            <w:r w:rsidRPr="00EE3DBE">
              <w:rPr>
                <w:b w:val="0"/>
              </w:rPr>
              <w:t xml:space="preserve">Troilus and Criseyde </w:t>
            </w:r>
            <w:r w:rsidR="0030258F">
              <w:rPr>
                <w:b w:val="0"/>
              </w:rPr>
              <w:t>(1483)</w:t>
            </w:r>
          </w:p>
        </w:tc>
      </w:tr>
      <w:tr w:rsidR="00EA28DE" w:rsidRPr="0021550A" w14:paraId="1D6F88C7" w14:textId="77777777" w:rsidTr="00EE3DBE">
        <w:tc>
          <w:tcPr>
            <w:cnfStyle w:val="001000000000" w:firstRow="0" w:lastRow="0" w:firstColumn="1" w:lastColumn="0" w:oddVBand="0" w:evenVBand="0" w:oddHBand="0" w:evenHBand="0" w:firstRowFirstColumn="0" w:firstRowLastColumn="0" w:lastRowFirstColumn="0" w:lastRowLastColumn="0"/>
            <w:tcW w:w="5125" w:type="dxa"/>
          </w:tcPr>
          <w:p w14:paraId="69B7A7F8" w14:textId="756B2B91" w:rsidR="00E53B8C" w:rsidRPr="00EE3DBE" w:rsidRDefault="00E53B8C" w:rsidP="0030258F">
            <w:pPr>
              <w:rPr>
                <w:b w:val="0"/>
              </w:rPr>
            </w:pPr>
            <w:r w:rsidRPr="00EE3DBE">
              <w:rPr>
                <w:b w:val="0"/>
              </w:rPr>
              <w:t>Life of our Lady</w:t>
            </w:r>
            <w:r w:rsidR="0030258F">
              <w:rPr>
                <w:b w:val="0"/>
              </w:rPr>
              <w:t xml:space="preserve"> (1484)</w:t>
            </w:r>
          </w:p>
        </w:tc>
      </w:tr>
      <w:tr w:rsidR="00EA28DE" w:rsidRPr="0021550A" w14:paraId="1E9EB7FB" w14:textId="77777777" w:rsidTr="00EE3DBE">
        <w:tc>
          <w:tcPr>
            <w:cnfStyle w:val="001000000000" w:firstRow="0" w:lastRow="0" w:firstColumn="1" w:lastColumn="0" w:oddVBand="0" w:evenVBand="0" w:oddHBand="0" w:evenHBand="0" w:firstRowFirstColumn="0" w:firstRowLastColumn="0" w:lastRowFirstColumn="0" w:lastRowLastColumn="0"/>
            <w:tcW w:w="5125" w:type="dxa"/>
          </w:tcPr>
          <w:p w14:paraId="5ADEFB2E" w14:textId="366A0D84" w:rsidR="00E53B8C" w:rsidRPr="00EE3DBE" w:rsidRDefault="00E53B8C" w:rsidP="0030258F">
            <w:pPr>
              <w:rPr>
                <w:b w:val="0"/>
              </w:rPr>
            </w:pPr>
            <w:r w:rsidRPr="00EE3DBE">
              <w:rPr>
                <w:b w:val="0"/>
              </w:rPr>
              <w:t>Paris and</w:t>
            </w:r>
            <w:r w:rsidR="0030258F">
              <w:rPr>
                <w:b w:val="0"/>
              </w:rPr>
              <w:t xml:space="preserve"> Vienne (1485)</w:t>
            </w:r>
          </w:p>
        </w:tc>
      </w:tr>
      <w:tr w:rsidR="00EA28DE" w:rsidRPr="0021550A" w14:paraId="3FA3AC22" w14:textId="77777777" w:rsidTr="00EE3DBE">
        <w:tc>
          <w:tcPr>
            <w:cnfStyle w:val="001000000000" w:firstRow="0" w:lastRow="0" w:firstColumn="1" w:lastColumn="0" w:oddVBand="0" w:evenVBand="0" w:oddHBand="0" w:evenHBand="0" w:firstRowFirstColumn="0" w:firstRowLastColumn="0" w:lastRowFirstColumn="0" w:lastRowLastColumn="0"/>
            <w:tcW w:w="5125" w:type="dxa"/>
          </w:tcPr>
          <w:p w14:paraId="4A04DCBE" w14:textId="6BACBD5B" w:rsidR="00E53B8C" w:rsidRPr="00EE3DBE" w:rsidRDefault="0030258F" w:rsidP="0030258F">
            <w:pPr>
              <w:rPr>
                <w:b w:val="0"/>
              </w:rPr>
            </w:pPr>
            <w:r>
              <w:rPr>
                <w:b w:val="0"/>
              </w:rPr>
              <w:t>Book of Good Manners (1487)</w:t>
            </w:r>
          </w:p>
        </w:tc>
      </w:tr>
      <w:tr w:rsidR="00EA28DE" w:rsidRPr="0021550A" w14:paraId="676C69DA" w14:textId="77777777" w:rsidTr="00EE3DBE">
        <w:tc>
          <w:tcPr>
            <w:cnfStyle w:val="001000000000" w:firstRow="0" w:lastRow="0" w:firstColumn="1" w:lastColumn="0" w:oddVBand="0" w:evenVBand="0" w:oddHBand="0" w:evenHBand="0" w:firstRowFirstColumn="0" w:firstRowLastColumn="0" w:lastRowFirstColumn="0" w:lastRowLastColumn="0"/>
            <w:tcW w:w="5125" w:type="dxa"/>
          </w:tcPr>
          <w:p w14:paraId="050F62CE" w14:textId="3F931D45" w:rsidR="00E53B8C" w:rsidRPr="00EE3DBE" w:rsidRDefault="00E53B8C" w:rsidP="0030258F">
            <w:pPr>
              <w:rPr>
                <w:b w:val="0"/>
              </w:rPr>
            </w:pPr>
            <w:r w:rsidRPr="00EE3DBE">
              <w:rPr>
                <w:b w:val="0"/>
              </w:rPr>
              <w:t>Golden Legend</w:t>
            </w:r>
            <w:r w:rsidR="0030258F">
              <w:rPr>
                <w:b w:val="0"/>
              </w:rPr>
              <w:t xml:space="preserve"> (1487)</w:t>
            </w:r>
          </w:p>
        </w:tc>
      </w:tr>
    </w:tbl>
    <w:p w14:paraId="2F2FB263" w14:textId="0452A04E" w:rsidR="00E53B8C" w:rsidRDefault="00E53B8C" w:rsidP="000737CB">
      <w:pPr>
        <w:pStyle w:val="Caption"/>
      </w:pPr>
      <w:bookmarkStart w:id="80" w:name="_Ref495321202"/>
      <w:bookmarkStart w:id="81" w:name="_Toc499753470"/>
      <w:r>
        <w:t xml:space="preserve">Table </w:t>
      </w:r>
      <w:r w:rsidR="00DE4871">
        <w:fldChar w:fldCharType="begin"/>
      </w:r>
      <w:r w:rsidR="00DE4871">
        <w:instrText xml:space="preserve"> STYLEREF 1 \s </w:instrText>
      </w:r>
      <w:r w:rsidR="00DE4871">
        <w:fldChar w:fldCharType="separate"/>
      </w:r>
      <w:r w:rsidR="00D11844">
        <w:rPr>
          <w:noProof/>
        </w:rPr>
        <w:t>4</w:t>
      </w:r>
      <w:r w:rsidR="00DE4871">
        <w:fldChar w:fldCharType="end"/>
      </w:r>
      <w:r w:rsidR="00DE4871">
        <w:t>.</w:t>
      </w:r>
      <w:r w:rsidR="00DE4871">
        <w:fldChar w:fldCharType="begin"/>
      </w:r>
      <w:r w:rsidR="00DE4871">
        <w:instrText xml:space="preserve"> SEQ Table \* ARABIC \s 1 </w:instrText>
      </w:r>
      <w:r w:rsidR="00DE4871">
        <w:fldChar w:fldCharType="separate"/>
      </w:r>
      <w:r w:rsidR="00D11844">
        <w:rPr>
          <w:noProof/>
        </w:rPr>
        <w:t>1</w:t>
      </w:r>
      <w:r w:rsidR="00DE4871">
        <w:fldChar w:fldCharType="end"/>
      </w:r>
      <w:bookmarkEnd w:id="80"/>
      <w:r>
        <w:t>: Caxton's texts included in this study</w:t>
      </w:r>
      <w:bookmarkEnd w:id="81"/>
    </w:p>
    <w:p w14:paraId="35083ECA" w14:textId="77777777" w:rsidR="00DD69DA" w:rsidRDefault="00DD69DA" w:rsidP="000737CB"/>
    <w:p w14:paraId="146A8C60" w14:textId="69F8DC8A" w:rsidR="0085766A" w:rsidRPr="0085766A" w:rsidRDefault="00E53B8C" w:rsidP="000737CB">
      <w:r>
        <w:t xml:space="preserve">The texts in </w:t>
      </w:r>
      <w:r w:rsidR="00E12429">
        <w:fldChar w:fldCharType="begin"/>
      </w:r>
      <w:r w:rsidR="00E12429">
        <w:instrText xml:space="preserve"> REF _Ref495321202 </w:instrText>
      </w:r>
      <w:r w:rsidR="00E12429">
        <w:fldChar w:fldCharType="separate"/>
      </w:r>
      <w:r w:rsidR="00D11844">
        <w:t xml:space="preserve">Table </w:t>
      </w:r>
      <w:r w:rsidR="00D11844">
        <w:rPr>
          <w:noProof/>
        </w:rPr>
        <w:t>4</w:t>
      </w:r>
      <w:r w:rsidR="00D11844">
        <w:t>.</w:t>
      </w:r>
      <w:r w:rsidR="00D11844">
        <w:rPr>
          <w:noProof/>
        </w:rPr>
        <w:t>1</w:t>
      </w:r>
      <w:r w:rsidR="00E12429">
        <w:rPr>
          <w:noProof/>
        </w:rPr>
        <w:fldChar w:fldCharType="end"/>
      </w:r>
      <w:r>
        <w:t xml:space="preserve"> were selected for several reasons. First, the</w:t>
      </w:r>
      <w:r w:rsidR="00457861">
        <w:t>se</w:t>
      </w:r>
      <w:r>
        <w:t xml:space="preserve"> texts represent</w:t>
      </w:r>
      <w:r w:rsidR="00457861">
        <w:t xml:space="preserve"> a wide range of the texts that were printed by Caxton in English, spanning the majority of Caxton’s career which ran from his early prints that were undertaken in Bruges in 1473 to 1475 until Caxton’s death which took place either in 1491 or 1492. Second, the texts included in this study comprise a combination of texts that were translated by Caxton personally, and texts that Caxton’s printing house reproduced without Caxton’s editorial intervention. This distinction between texts in which Caxton had an editorial or translator role will become important in Chapter 9, which explores Caxton’s editorial and printing practi</w:t>
      </w:r>
      <w:r w:rsidR="00FF0FAE">
        <w:t xml:space="preserve">ces. Finally, </w:t>
      </w:r>
      <w:r w:rsidR="00E3637A">
        <w:t>some of these texts have already been established as being of bibliographical interest. The</w:t>
      </w:r>
      <w:r w:rsidR="00410438">
        <w:t xml:space="preserve"> </w:t>
      </w:r>
      <w:r w:rsidR="00E3637A">
        <w:rPr>
          <w:i/>
        </w:rPr>
        <w:t>Chronicles of England</w:t>
      </w:r>
      <w:r w:rsidR="00E3637A">
        <w:t xml:space="preserve">, </w:t>
      </w:r>
      <w:r w:rsidR="00410438" w:rsidRPr="00410438">
        <w:rPr>
          <w:i/>
        </w:rPr>
        <w:t>Polychronicon</w:t>
      </w:r>
      <w:r w:rsidR="00410438">
        <w:t xml:space="preserve">, </w:t>
      </w:r>
      <w:r w:rsidR="00E3637A" w:rsidRPr="00410438">
        <w:t>and</w:t>
      </w:r>
      <w:r w:rsidR="00E3637A">
        <w:t xml:space="preserve"> the </w:t>
      </w:r>
      <w:r w:rsidR="00E3637A">
        <w:rPr>
          <w:i/>
        </w:rPr>
        <w:t>Golden Legend</w:t>
      </w:r>
      <w:r w:rsidR="00E3637A">
        <w:t xml:space="preserve"> are all texts which have already received scholarly attention. </w:t>
      </w:r>
      <w:r w:rsidR="00410438">
        <w:t xml:space="preserve">The </w:t>
      </w:r>
      <w:r w:rsidR="00410438">
        <w:rPr>
          <w:i/>
        </w:rPr>
        <w:t>Chronicles of England</w:t>
      </w:r>
      <w:r w:rsidR="00410438">
        <w:t xml:space="preserve"> is Caxton’s version of the Middle English prose </w:t>
      </w:r>
      <w:r w:rsidR="00410438">
        <w:rPr>
          <w:i/>
        </w:rPr>
        <w:t>Brut</w:t>
      </w:r>
      <w:r w:rsidR="0052437F">
        <w:t xml:space="preserve"> chronicle</w:t>
      </w:r>
      <w:r w:rsidR="00410438">
        <w:t xml:space="preserve">, which runs until the year 1461. The </w:t>
      </w:r>
      <w:r w:rsidR="00410438">
        <w:rPr>
          <w:i/>
        </w:rPr>
        <w:t>Chronicles of England</w:t>
      </w:r>
      <w:r w:rsidR="00410438">
        <w:t xml:space="preserve"> has been closely linked to Caxton’s </w:t>
      </w:r>
      <w:r w:rsidR="00410438">
        <w:rPr>
          <w:i/>
        </w:rPr>
        <w:lastRenderedPageBreak/>
        <w:t>Polychronicon</w:t>
      </w:r>
      <w:r w:rsidR="00410438">
        <w:t xml:space="preserve">, because the continuation from 1419 to 1461 in the </w:t>
      </w:r>
      <w:r w:rsidR="00410438">
        <w:rPr>
          <w:i/>
        </w:rPr>
        <w:t>Chronicles of England</w:t>
      </w:r>
      <w:r w:rsidR="00410438">
        <w:t xml:space="preserve"> (1480) is reproduced in the additional chapter at the end of Caxton’s edition of the </w:t>
      </w:r>
      <w:r w:rsidR="00410438">
        <w:rPr>
          <w:i/>
        </w:rPr>
        <w:t>Polychronicon</w:t>
      </w:r>
      <w:r w:rsidR="00410438">
        <w:t xml:space="preserve">, which Caxton titled the Liber Ultimus. </w:t>
      </w:r>
      <w:r w:rsidR="00A7711E">
        <w:t xml:space="preserve">This thesis builds on previous bibliographical work to explore the authorship of the Liber Ultimus/1419 continuation. Caxton’s edition of the </w:t>
      </w:r>
      <w:r w:rsidR="00A7711E">
        <w:rPr>
          <w:i/>
        </w:rPr>
        <w:t>Golden Legend</w:t>
      </w:r>
      <w:r w:rsidR="00A7711E">
        <w:t xml:space="preserve"> has also been the recipient of scholarly interest, because of Caxton’s editorial practices in putting the text together. </w:t>
      </w:r>
      <w:r w:rsidR="00DA6884" w:rsidRPr="0021550A">
        <w:t>Caxton</w:t>
      </w:r>
      <w:r w:rsidR="0052437F">
        <w:t xml:space="preserve"> </w:t>
      </w:r>
      <w:r w:rsidR="0052437F" w:rsidRPr="0030258F">
        <w:t>(1487:</w:t>
      </w:r>
      <w:r w:rsidR="0052437F">
        <w:t xml:space="preserve"> </w:t>
      </w:r>
      <w:r w:rsidR="0052437F" w:rsidRPr="0030258F">
        <w:t>2</w:t>
      </w:r>
      <w:r w:rsidR="0052437F" w:rsidRPr="0030258F">
        <w:rPr>
          <w:vertAlign w:val="superscript"/>
        </w:rPr>
        <w:t>b</w:t>
      </w:r>
      <w:r w:rsidR="0052437F" w:rsidRPr="0030258F">
        <w:t>)</w:t>
      </w:r>
      <w:r w:rsidR="00DA6884" w:rsidRPr="0021550A">
        <w:t xml:space="preserve"> states in his prologue that his version of the text was based on three versions of the </w:t>
      </w:r>
      <w:r w:rsidR="00DA6884" w:rsidRPr="0021550A">
        <w:rPr>
          <w:i/>
        </w:rPr>
        <w:t>Golden Legend</w:t>
      </w:r>
      <w:r w:rsidR="00DA6884" w:rsidRPr="0021550A">
        <w:t xml:space="preserve"> in Latin, French and English, and two other texts.</w:t>
      </w:r>
      <w:r w:rsidR="008E24FE">
        <w:t xml:space="preserve"> This study explores the way in which Caxton’s editing practices of the </w:t>
      </w:r>
      <w:r w:rsidR="008E24FE">
        <w:rPr>
          <w:i/>
        </w:rPr>
        <w:t>Golden Legend</w:t>
      </w:r>
      <w:r w:rsidR="008E24FE">
        <w:t xml:space="preserve"> can be examined through the spelling variants present in different parts of the text. The background and previous research into the </w:t>
      </w:r>
      <w:r w:rsidR="008E24FE">
        <w:rPr>
          <w:i/>
        </w:rPr>
        <w:t>Chronicles of England</w:t>
      </w:r>
      <w:r w:rsidR="008E24FE">
        <w:t xml:space="preserve">, </w:t>
      </w:r>
      <w:r w:rsidR="008E24FE">
        <w:rPr>
          <w:i/>
        </w:rPr>
        <w:t>Polychronicon</w:t>
      </w:r>
      <w:r w:rsidR="008E24FE">
        <w:t xml:space="preserve">, and the </w:t>
      </w:r>
      <w:r w:rsidR="008E24FE">
        <w:rPr>
          <w:i/>
        </w:rPr>
        <w:t>Golden Legend</w:t>
      </w:r>
      <w:r w:rsidR="008E24FE">
        <w:t xml:space="preserve"> are detailed more thoroughly in Section </w:t>
      </w:r>
      <w:r w:rsidR="00E12429">
        <w:fldChar w:fldCharType="begin"/>
      </w:r>
      <w:r w:rsidR="00E12429">
        <w:instrText xml:space="preserve"> REF _Ref492911846 \r </w:instrText>
      </w:r>
      <w:r w:rsidR="00E12429">
        <w:fldChar w:fldCharType="separate"/>
      </w:r>
      <w:r w:rsidR="00D11844">
        <w:t>7.5.1</w:t>
      </w:r>
      <w:r w:rsidR="00E12429">
        <w:fldChar w:fldCharType="end"/>
      </w:r>
      <w:r w:rsidR="008E24FE">
        <w:t xml:space="preserve"> and Section </w:t>
      </w:r>
      <w:r w:rsidR="00E12429">
        <w:fldChar w:fldCharType="begin"/>
      </w:r>
      <w:r w:rsidR="00E12429">
        <w:instrText xml:space="preserve"> REF _Ref495322729 \r </w:instrText>
      </w:r>
      <w:r w:rsidR="00E12429">
        <w:fldChar w:fldCharType="separate"/>
      </w:r>
      <w:r w:rsidR="00D11844">
        <w:t>7.5.2</w:t>
      </w:r>
      <w:r w:rsidR="00E12429">
        <w:fldChar w:fldCharType="end"/>
      </w:r>
      <w:r w:rsidR="008E24FE">
        <w:t xml:space="preserve">. </w:t>
      </w:r>
      <w:r w:rsidR="00300E8B">
        <w:t>The rest of this section details the data preparation processes that were u</w:t>
      </w:r>
      <w:r w:rsidR="00D47B30">
        <w:t xml:space="preserve">ndertaken in order for the texts to be prepared for quantitative analysis of spellings. </w:t>
      </w:r>
    </w:p>
    <w:p w14:paraId="0F7A35D5" w14:textId="77777777" w:rsidR="007F1975" w:rsidRDefault="007F1975" w:rsidP="000737CB"/>
    <w:p w14:paraId="05F13A77" w14:textId="1D7CF12C" w:rsidR="007F1975" w:rsidRDefault="00665568" w:rsidP="00665568">
      <w:pPr>
        <w:pStyle w:val="Heading2"/>
      </w:pPr>
      <w:bookmarkStart w:id="82" w:name="_Ref496278569"/>
      <w:bookmarkStart w:id="83" w:name="_Toc497899852"/>
      <w:r>
        <w:t>Data preparation</w:t>
      </w:r>
      <w:bookmarkEnd w:id="82"/>
      <w:bookmarkEnd w:id="83"/>
    </w:p>
    <w:p w14:paraId="6C2754C4" w14:textId="3BEBD6AB" w:rsidR="000737CB" w:rsidRPr="00F142AF" w:rsidRDefault="002B6958" w:rsidP="000737CB">
      <w:r>
        <w:t>The process of preparing the data for quantitative analysis took place in three parts</w:t>
      </w:r>
      <w:r w:rsidR="00A97A50">
        <w:t xml:space="preserve">: collection, cleaning, and annotation. The texts were downloaded individually from the </w:t>
      </w:r>
      <w:r w:rsidR="00A97A50">
        <w:rPr>
          <w:i/>
        </w:rPr>
        <w:t>EEBO</w:t>
      </w:r>
      <w:r w:rsidR="00A97A50">
        <w:t xml:space="preserve">-TCP website, where plain text versions of the majority of Caxton’s texts are available. </w:t>
      </w:r>
      <w:r w:rsidR="000737CB">
        <w:t xml:space="preserve">The plain text versions of the texts were then cleaned, which involved some editorial decision-making, and finally the texts were annotated using the software VARD. This section discusses each of these processes in turn. </w:t>
      </w:r>
    </w:p>
    <w:p w14:paraId="5BC922B0" w14:textId="77777777" w:rsidR="007F1975" w:rsidRDefault="007F1975" w:rsidP="000737CB"/>
    <w:p w14:paraId="08C7BC13" w14:textId="5498CFB1" w:rsidR="007F1975" w:rsidRDefault="007F1975" w:rsidP="00665568">
      <w:pPr>
        <w:pStyle w:val="Heading3"/>
      </w:pPr>
      <w:bookmarkStart w:id="84" w:name="_Ref498590956"/>
      <w:r>
        <w:t>Collecting the data</w:t>
      </w:r>
      <w:r w:rsidR="007B19E0">
        <w:t xml:space="preserve"> from </w:t>
      </w:r>
      <w:r w:rsidR="007B19E0" w:rsidRPr="00D5066D">
        <w:rPr>
          <w:i/>
        </w:rPr>
        <w:t>EEBO</w:t>
      </w:r>
      <w:r w:rsidR="007B19E0">
        <w:t>-TCP</w:t>
      </w:r>
      <w:bookmarkEnd w:id="84"/>
    </w:p>
    <w:p w14:paraId="20DDF679" w14:textId="2DBDED55" w:rsidR="000737CB" w:rsidRPr="00C72980" w:rsidRDefault="000737CB" w:rsidP="000737CB">
      <w:r>
        <w:t xml:space="preserve">The data used in this study was made available through the </w:t>
      </w:r>
      <w:r>
        <w:rPr>
          <w:i/>
        </w:rPr>
        <w:t xml:space="preserve">Early English Books Online </w:t>
      </w:r>
      <w:r>
        <w:t xml:space="preserve">Text Creation Partnership. </w:t>
      </w:r>
      <w:r>
        <w:rPr>
          <w:i/>
        </w:rPr>
        <w:t>EEBO-</w:t>
      </w:r>
      <w:r>
        <w:t xml:space="preserve">TCP is a collaborative project in which the </w:t>
      </w:r>
      <w:r w:rsidR="00015FDD">
        <w:t xml:space="preserve">digital </w:t>
      </w:r>
      <w:r>
        <w:t xml:space="preserve">microfilm holdings of </w:t>
      </w:r>
      <w:r>
        <w:rPr>
          <w:i/>
        </w:rPr>
        <w:t>EEBO</w:t>
      </w:r>
      <w:r>
        <w:t xml:space="preserve"> were typed out (or keyed) and made available online in plain text format. </w:t>
      </w:r>
      <w:r w:rsidR="006675E2">
        <w:t xml:space="preserve">The </w:t>
      </w:r>
      <w:r w:rsidR="00C72980">
        <w:rPr>
          <w:i/>
        </w:rPr>
        <w:t xml:space="preserve">EEBO </w:t>
      </w:r>
      <w:r w:rsidR="006675E2">
        <w:t>database contains over 125,000 titles</w:t>
      </w:r>
      <w:r w:rsidR="00C72980">
        <w:t xml:space="preserve">, of which approximately 50,000 have been digitised as part of the TCP project as of Autumn 2017. For each text in </w:t>
      </w:r>
      <w:r w:rsidR="00C72980">
        <w:rPr>
          <w:i/>
        </w:rPr>
        <w:t>EEBO</w:t>
      </w:r>
      <w:r w:rsidR="00C72980">
        <w:t xml:space="preserve">, the corresponding bibliographic records from the English Short-Title Catalogue (ESTC) are </w:t>
      </w:r>
      <w:r w:rsidR="00015FDD">
        <w:t xml:space="preserve">also supplied. </w:t>
      </w:r>
    </w:p>
    <w:p w14:paraId="6A7D4B93" w14:textId="24D41C45" w:rsidR="00EA28DE" w:rsidRDefault="00F142AF" w:rsidP="00EA28DE">
      <w:r>
        <w:t xml:space="preserve">The use of data from </w:t>
      </w:r>
      <w:r>
        <w:rPr>
          <w:i/>
        </w:rPr>
        <w:t>EEBO</w:t>
      </w:r>
      <w:r>
        <w:t>-TCP is not unproblematic</w:t>
      </w:r>
      <w:r w:rsidR="00015FDD">
        <w:t xml:space="preserve">. </w:t>
      </w:r>
      <w:r w:rsidR="000964A3">
        <w:t xml:space="preserve">The quality of the texts made available through </w:t>
      </w:r>
      <w:r w:rsidR="000964A3">
        <w:rPr>
          <w:i/>
        </w:rPr>
        <w:t>EEBO</w:t>
      </w:r>
      <w:r w:rsidR="00750663">
        <w:t>-TCP have been questioned</w:t>
      </w:r>
      <w:r w:rsidR="00BD7D6C">
        <w:t xml:space="preserve"> along with the issues inherent in presenting a </w:t>
      </w:r>
      <w:r w:rsidR="003D4221">
        <w:t>three-dimensional</w:t>
      </w:r>
      <w:r w:rsidR="00BD7D6C">
        <w:t xml:space="preserve"> book as a </w:t>
      </w:r>
      <w:r w:rsidR="003D4221">
        <w:t>two-dimensional</w:t>
      </w:r>
      <w:r w:rsidR="00BD7D6C">
        <w:t xml:space="preserve"> image</w:t>
      </w:r>
      <w:r w:rsidR="00750663">
        <w:t xml:space="preserve"> </w:t>
      </w:r>
      <w:r w:rsidR="0030258F">
        <w:t>(Kichuk 2007</w:t>
      </w:r>
      <w:r w:rsidR="000B3319">
        <w:t>, Gadd 2009</w:t>
      </w:r>
      <w:r w:rsidR="0030258F">
        <w:t>)</w:t>
      </w:r>
      <w:r w:rsidR="000964A3">
        <w:t xml:space="preserve"> but no definitive study as to the quality of transcriptions has been undertaken. </w:t>
      </w:r>
    </w:p>
    <w:p w14:paraId="1FF3ABEE" w14:textId="4B742AE5" w:rsidR="001B3736" w:rsidRDefault="001B3736" w:rsidP="001B3736">
      <w:r>
        <w:lastRenderedPageBreak/>
        <w:t xml:space="preserve">The </w:t>
      </w:r>
      <w:r>
        <w:rPr>
          <w:i/>
        </w:rPr>
        <w:t>EEBO</w:t>
      </w:r>
      <w:r>
        <w:softHyphen/>
        <w:t>-TCP data has two potential problems: the first is that there are missing sections of data that arise from the use of microfilm copies of the text, and the second issue is the additional changes that are introduced into the spelling data through mistakes made by the typist.</w:t>
      </w:r>
      <w:r>
        <w:rPr>
          <w:i/>
        </w:rPr>
        <w:t xml:space="preserve"> </w:t>
      </w:r>
    </w:p>
    <w:p w14:paraId="6217979C" w14:textId="429E78CB" w:rsidR="001B3736" w:rsidRDefault="001B3736" w:rsidP="001B3736">
      <w:r>
        <w:t xml:space="preserve">Quire 36 of the </w:t>
      </w:r>
      <w:r>
        <w:rPr>
          <w:i/>
        </w:rPr>
        <w:t>Polychronicon</w:t>
      </w:r>
      <w:r>
        <w:t xml:space="preserve"> contains 11,585 words, and so we would expect around sixteen words to have been mistyped in this section of text. Of the thousands of other words within this quire, the spellings that may have been altered by the typist </w:t>
      </w:r>
      <w:r w:rsidR="003E4986">
        <w:t>are</w:t>
      </w:r>
      <w:r>
        <w:t xml:space="preserve"> likely to form a small proportion. These changes could have an impact on the clustering and similarity measurements, for example they could increase or reduce the similarity measurements between two quires, or between two larger sections of text, or they could move the quire closer to or further away from the centres of different clusters. However, because Quire 36 of the </w:t>
      </w:r>
      <w:r>
        <w:rPr>
          <w:i/>
        </w:rPr>
        <w:t>Polychronicon</w:t>
      </w:r>
      <w:r>
        <w:t xml:space="preserve"> contains 259 distinct spelling variants, a change to one token of sixteen of those 259 is a small proportion of the overall quire. Because the changes appear to be minimal, the changes to the clustering and the similarity scores are unlikely to be significant, but the impact of the typist must be acknowledged.</w:t>
      </w:r>
    </w:p>
    <w:p w14:paraId="1BCA1E32" w14:textId="7409F8FF" w:rsidR="00B4368A" w:rsidRDefault="000B3319" w:rsidP="003F5572">
      <w:r>
        <w:t xml:space="preserve">It is necessary to note the issues introduced into the study through the use of data from </w:t>
      </w:r>
      <w:r>
        <w:rPr>
          <w:i/>
        </w:rPr>
        <w:t>EEBO-</w:t>
      </w:r>
      <w:r>
        <w:t xml:space="preserve">TCP. </w:t>
      </w:r>
      <w:r w:rsidR="003F5572">
        <w:t xml:space="preserve">In their study </w:t>
      </w:r>
      <w:r w:rsidR="003D4221">
        <w:t>of</w:t>
      </w:r>
      <w:r w:rsidR="003F5572">
        <w:t xml:space="preserve"> the language of Shakespeare using texts from </w:t>
      </w:r>
      <w:r w:rsidR="003F5572">
        <w:rPr>
          <w:i/>
        </w:rPr>
        <w:t>EEBO-</w:t>
      </w:r>
      <w:r w:rsidR="003D4221">
        <w:t>TCP Witmore, Hope</w:t>
      </w:r>
      <w:r w:rsidR="00AC655B">
        <w:t>,</w:t>
      </w:r>
      <w:r w:rsidR="003D4221">
        <w:t xml:space="preserve"> and</w:t>
      </w:r>
      <w:r w:rsidR="003F5572">
        <w:t xml:space="preserve"> Gleicher </w:t>
      </w:r>
      <w:r>
        <w:t>(2016)</w:t>
      </w:r>
      <w:r w:rsidR="003F5572">
        <w:t xml:space="preserve"> refer to the </w:t>
      </w:r>
      <w:r w:rsidR="003F5572">
        <w:rPr>
          <w:i/>
        </w:rPr>
        <w:t>EEBO</w:t>
      </w:r>
      <w:r w:rsidR="003F5572">
        <w:t xml:space="preserve"> data as being “good enough” for quantitative study, though they advocate an awareness of the issues in </w:t>
      </w:r>
      <w:r w:rsidR="003F5572">
        <w:rPr>
          <w:i/>
        </w:rPr>
        <w:t xml:space="preserve">EEBO </w:t>
      </w:r>
      <w:r w:rsidR="003F5572">
        <w:t xml:space="preserve">data when </w:t>
      </w:r>
      <w:r w:rsidR="00B4368A">
        <w:t xml:space="preserve">using texts from the </w:t>
      </w:r>
      <w:r w:rsidR="00B4368A">
        <w:rPr>
          <w:i/>
        </w:rPr>
        <w:t>EEBO</w:t>
      </w:r>
      <w:r w:rsidR="00B4368A">
        <w:t xml:space="preserve"> database for linguistic study</w:t>
      </w:r>
      <w:r w:rsidR="003F5572">
        <w:t xml:space="preserve">. </w:t>
      </w:r>
      <w:r w:rsidR="00CA1025">
        <w:t xml:space="preserve">In acknowledging the issues in the data, it is also necessary to acknowledge the </w:t>
      </w:r>
      <w:r w:rsidR="00063BFC">
        <w:t>effects</w:t>
      </w:r>
      <w:r w:rsidR="00CA1025">
        <w:t xml:space="preserve"> that these </w:t>
      </w:r>
      <w:r w:rsidR="002F5C66">
        <w:t>issues could have on the results of the dat</w:t>
      </w:r>
      <w:r w:rsidR="003532D2">
        <w:t>a analysis. The issues are two</w:t>
      </w:r>
      <w:r w:rsidR="002F5C66">
        <w:t xml:space="preserve">fold: </w:t>
      </w:r>
      <w:r w:rsidR="0052437F">
        <w:t xml:space="preserve">the first possibility is that </w:t>
      </w:r>
      <w:r w:rsidR="002F5C66">
        <w:t xml:space="preserve">the typists introduce their own typing errors into the </w:t>
      </w:r>
      <w:r w:rsidR="00063BFC">
        <w:t>plain text versions of the text;</w:t>
      </w:r>
      <w:r w:rsidR="002F5C66">
        <w:t xml:space="preserve"> </w:t>
      </w:r>
      <w:r w:rsidR="00B4368A">
        <w:t>and</w:t>
      </w:r>
      <w:r w:rsidR="0052437F">
        <w:t xml:space="preserve"> secondly,</w:t>
      </w:r>
      <w:r w:rsidR="00B4368A">
        <w:t xml:space="preserve"> </w:t>
      </w:r>
      <w:r w:rsidR="002F5C66">
        <w:t>the typists are working from microfilm versions of the text (of which the quality is varied and at times questionable)</w:t>
      </w:r>
      <w:r w:rsidR="00C42A8B">
        <w:t xml:space="preserve"> which therefore means that sometimes there are gaps in the text where the typist could not tell what had been written. </w:t>
      </w:r>
      <w:r w:rsidR="004D7A86">
        <w:t xml:space="preserve">Both of these factors could cause changes in the results of the </w:t>
      </w:r>
      <w:r w:rsidR="006F40BB">
        <w:t xml:space="preserve">analysis. The addition of a layer of spellings (or misspellings) of the typists could cause </w:t>
      </w:r>
      <w:r w:rsidR="00CB1AD3">
        <w:t>changes to the spellings in the plain texts</w:t>
      </w:r>
      <w:r w:rsidR="00A41EBB">
        <w:t xml:space="preserve">. While it might seem like changes to spellings </w:t>
      </w:r>
      <w:r w:rsidR="00831374">
        <w:t>could have a significant effect on the results of this study</w:t>
      </w:r>
      <w:r w:rsidR="00F4287E">
        <w:t xml:space="preserve">, such an outcome is unlikely. </w:t>
      </w:r>
    </w:p>
    <w:p w14:paraId="0258AA67" w14:textId="33F53311" w:rsidR="00463886" w:rsidRDefault="00F4287E" w:rsidP="003F5572">
      <w:r>
        <w:t xml:space="preserve">While a full-scale study into the quality of </w:t>
      </w:r>
      <w:r>
        <w:rPr>
          <w:i/>
        </w:rPr>
        <w:t>EEBO</w:t>
      </w:r>
      <w:r>
        <w:t>-TCP texts has not been undertaken, I made a</w:t>
      </w:r>
      <w:r w:rsidR="00831374">
        <w:t xml:space="preserve"> small sample </w:t>
      </w:r>
      <w:r w:rsidR="005C1A6A">
        <w:t xml:space="preserve">check </w:t>
      </w:r>
      <w:r w:rsidR="00C7078E">
        <w:t xml:space="preserve">of five thousand words </w:t>
      </w:r>
      <w:r w:rsidR="005C1A6A">
        <w:t>from s</w:t>
      </w:r>
      <w:r w:rsidR="00C7078E">
        <w:t>everal texts used in this study</w:t>
      </w:r>
      <w:r>
        <w:t xml:space="preserve">. Through a comparison of the </w:t>
      </w:r>
      <w:r w:rsidR="00FA5FDB">
        <w:t xml:space="preserve">plain text files against the microfilm available through </w:t>
      </w:r>
      <w:r w:rsidR="00FA5FDB">
        <w:rPr>
          <w:i/>
        </w:rPr>
        <w:t>EEBO</w:t>
      </w:r>
      <w:r w:rsidR="00FA5FDB">
        <w:t xml:space="preserve">, </w:t>
      </w:r>
      <w:r w:rsidR="00C7078E">
        <w:t xml:space="preserve">the error rate in typing </w:t>
      </w:r>
      <w:r w:rsidR="00FA5FDB">
        <w:t>in the text that I sampled has</w:t>
      </w:r>
      <w:r w:rsidR="00C51C10">
        <w:t xml:space="preserve"> a rate of 1.4</w:t>
      </w:r>
      <w:r w:rsidR="00C7078E">
        <w:t xml:space="preserve"> words for every thousand. </w:t>
      </w:r>
      <w:r w:rsidR="00FA5FDB">
        <w:t xml:space="preserve">This check is not sufficient to make any claims about the error rate throughout the </w:t>
      </w:r>
      <w:r w:rsidR="00FA5FDB">
        <w:rPr>
          <w:i/>
        </w:rPr>
        <w:t>EEBO</w:t>
      </w:r>
      <w:r w:rsidR="00FA5FDB">
        <w:t xml:space="preserve">-TCP database, but for the texts that I sampled, most </w:t>
      </w:r>
      <w:r w:rsidR="00C51C10">
        <w:t xml:space="preserve">of the pages </w:t>
      </w:r>
      <w:r w:rsidR="00C51C10">
        <w:lastRenderedPageBreak/>
        <w:t xml:space="preserve">contained no difference between the spellings or abbreviations used in the microfilm or the plain text. </w:t>
      </w:r>
    </w:p>
    <w:p w14:paraId="1917E24D" w14:textId="5455B2B3" w:rsidR="00BC197D" w:rsidRDefault="00463886" w:rsidP="00EA28DE">
      <w:r>
        <w:t xml:space="preserve">The small number of spellings that are changed by typists creating the plain text versions </w:t>
      </w:r>
      <w:r w:rsidR="00063BFC">
        <w:t>is</w:t>
      </w:r>
      <w:r>
        <w:t xml:space="preserve"> unlikely to </w:t>
      </w:r>
      <w:r w:rsidR="00AB6C22">
        <w:t>affect the outcome of the analysis. The quantitative methods used in this study work by taking account of as many spelling variants as pos</w:t>
      </w:r>
      <w:r w:rsidR="00406703">
        <w:t xml:space="preserve">sible within a whole text, or smaller </w:t>
      </w:r>
      <w:r w:rsidR="00AB6C22">
        <w:t>section</w:t>
      </w:r>
      <w:r w:rsidR="00406703">
        <w:t>s of text such as a quire. Even within a s</w:t>
      </w:r>
      <w:r w:rsidR="00E300BF">
        <w:t>ingle quire, changes to one or two spellings on a page are unlikely to have a significant effect</w:t>
      </w:r>
      <w:r w:rsidR="00760AE6">
        <w:t xml:space="preserve"> on the results, </w:t>
      </w:r>
      <w:r w:rsidR="007F6742">
        <w:t xml:space="preserve">when hundreds of spellings are analysed in the case of quires, and thousands of spellings in the larger sections of text. Because of the scale of the </w:t>
      </w:r>
      <w:r w:rsidR="000B3DB5">
        <w:t xml:space="preserve">data involved with this study, the small changes made by the typists are unlikely to affect the results. </w:t>
      </w:r>
    </w:p>
    <w:p w14:paraId="56B1A94F" w14:textId="3CDE00FD" w:rsidR="000B3DB5" w:rsidRDefault="000B3DB5" w:rsidP="00EA28DE">
      <w:r>
        <w:t xml:space="preserve">The effect that missing sections of text have had on the study is harder to measure. Some of the plain texts produced through </w:t>
      </w:r>
      <w:r>
        <w:rPr>
          <w:i/>
        </w:rPr>
        <w:t>EEBO</w:t>
      </w:r>
      <w:r>
        <w:t xml:space="preserve">-TCP </w:t>
      </w:r>
      <w:r w:rsidR="00646029">
        <w:t xml:space="preserve">are missing some of the text because </w:t>
      </w:r>
      <w:r w:rsidR="000B3319">
        <w:t xml:space="preserve">of </w:t>
      </w:r>
      <w:r w:rsidR="00646029">
        <w:t xml:space="preserve">the </w:t>
      </w:r>
      <w:r w:rsidR="000B3319">
        <w:t xml:space="preserve">low </w:t>
      </w:r>
      <w:r w:rsidR="00646029">
        <w:t xml:space="preserve">quality of the microfilm reproduction. For example, </w:t>
      </w:r>
      <w:r w:rsidR="00B21E8C">
        <w:t xml:space="preserve">in </w:t>
      </w:r>
      <w:r w:rsidR="00F124E0">
        <w:t xml:space="preserve">Caxton’s second edition of the </w:t>
      </w:r>
      <w:r w:rsidR="00F124E0">
        <w:rPr>
          <w:i/>
        </w:rPr>
        <w:t>Game of Chess</w:t>
      </w:r>
      <w:r w:rsidR="00F124E0">
        <w:t xml:space="preserve"> printed in 1</w:t>
      </w:r>
      <w:r w:rsidR="00B21E8C">
        <w:t xml:space="preserve">483, eighteen of the eighty-four pages are illegible in the </w:t>
      </w:r>
      <w:r w:rsidR="00B21E8C">
        <w:rPr>
          <w:i/>
        </w:rPr>
        <w:t>EEBO</w:t>
      </w:r>
      <w:r w:rsidR="00B21E8C">
        <w:t xml:space="preserve"> reproduction of the text. Part of one of the pages is shown in </w:t>
      </w:r>
      <w:r w:rsidR="001B3736">
        <w:t>Figure 4.2.</w:t>
      </w:r>
    </w:p>
    <w:p w14:paraId="0DCF82B3" w14:textId="77777777" w:rsidR="00B21E8C" w:rsidRDefault="00B21E8C" w:rsidP="00B21E8C">
      <w:pPr>
        <w:ind w:firstLine="0"/>
      </w:pPr>
    </w:p>
    <w:p w14:paraId="476A4672" w14:textId="1F3C44B6" w:rsidR="00B21E8C" w:rsidRDefault="00B21E8C" w:rsidP="00B21E8C">
      <w:pPr>
        <w:ind w:firstLine="0"/>
      </w:pPr>
      <w:r>
        <w:rPr>
          <w:noProof/>
          <w:lang w:eastAsia="en-GB"/>
        </w:rPr>
        <w:drawing>
          <wp:inline distT="0" distB="0" distL="0" distR="0" wp14:anchorId="2E96EE6F" wp14:editId="628CC496">
            <wp:extent cx="4852035" cy="2519266"/>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Jacobus_de_Cassolis-tHe_holy_appostle_and_doctour_of-STC-4921-I_1_02-p70.tif"/>
                    <pic:cNvPicPr/>
                  </pic:nvPicPr>
                  <pic:blipFill rotWithShape="1">
                    <a:blip r:embed="rId36">
                      <a:extLst>
                        <a:ext uri="{28A0092B-C50C-407E-A947-70E740481C1C}">
                          <a14:useLocalDpi xmlns:a14="http://schemas.microsoft.com/office/drawing/2010/main"/>
                        </a:ext>
                      </a:extLst>
                    </a:blip>
                    <a:srcRect l="4504" t="10181" r="52925" b="58710"/>
                    <a:stretch/>
                  </pic:blipFill>
                  <pic:spPr bwMode="auto">
                    <a:xfrm>
                      <a:off x="0" y="0"/>
                      <a:ext cx="4862434" cy="2524665"/>
                    </a:xfrm>
                    <a:prstGeom prst="rect">
                      <a:avLst/>
                    </a:prstGeom>
                    <a:ln>
                      <a:noFill/>
                    </a:ln>
                    <a:extLst>
                      <a:ext uri="{53640926-AAD7-44D8-BBD7-CCE9431645EC}">
                        <a14:shadowObscured xmlns:a14="http://schemas.microsoft.com/office/drawing/2010/main"/>
                      </a:ext>
                    </a:extLst>
                  </pic:spPr>
                </pic:pic>
              </a:graphicData>
            </a:graphic>
          </wp:inline>
        </w:drawing>
      </w:r>
    </w:p>
    <w:p w14:paraId="531D67AB" w14:textId="0931A425" w:rsidR="00B21E8C" w:rsidRPr="00DB55F8" w:rsidRDefault="001B3736" w:rsidP="00B21E8C">
      <w:pPr>
        <w:pStyle w:val="Caption"/>
        <w:spacing w:before="0"/>
      </w:pPr>
      <w:bookmarkStart w:id="85" w:name="_Toc499753518"/>
      <w:r>
        <w:t>Figure 4.2:</w:t>
      </w:r>
      <w:r w:rsidR="00B21E8C">
        <w:t xml:space="preserve"> Illegible imaging from </w:t>
      </w:r>
      <w:r w:rsidR="00B21E8C">
        <w:rPr>
          <w:i/>
        </w:rPr>
        <w:t xml:space="preserve">EEBO </w:t>
      </w:r>
      <w:r w:rsidR="00B21E8C">
        <w:t xml:space="preserve">of Caxton's second edition </w:t>
      </w:r>
      <w:r w:rsidR="00B21E8C">
        <w:rPr>
          <w:i/>
        </w:rPr>
        <w:t>Game of Chess</w:t>
      </w:r>
      <w:bookmarkEnd w:id="85"/>
      <w:r w:rsidR="0089517E">
        <w:t xml:space="preserve"> </w:t>
      </w:r>
    </w:p>
    <w:p w14:paraId="6CD5D2DC" w14:textId="77777777" w:rsidR="00B21E8C" w:rsidRDefault="00B21E8C" w:rsidP="00EA28DE"/>
    <w:p w14:paraId="620726D9" w14:textId="5072C475" w:rsidR="00B21E8C" w:rsidRDefault="00DB55F8" w:rsidP="00EA28DE">
      <w:r>
        <w:t xml:space="preserve">The example of illegible text in </w:t>
      </w:r>
      <w:r w:rsidR="001B3736">
        <w:t>Figure 4.2</w:t>
      </w:r>
      <w:r>
        <w:t xml:space="preserve"> is particularly poor, and while text this illegible is unusual in Caxton’s texts, examples are not hard to find within the </w:t>
      </w:r>
      <w:r>
        <w:rPr>
          <w:i/>
        </w:rPr>
        <w:t>EEBO</w:t>
      </w:r>
      <w:r>
        <w:t xml:space="preserve"> database. Caxton’s second edition of the </w:t>
      </w:r>
      <w:r>
        <w:rPr>
          <w:i/>
        </w:rPr>
        <w:t>Game of Chess</w:t>
      </w:r>
      <w:r>
        <w:t xml:space="preserve"> is not suitable for use for this study, because of the large proportion of text that could not be transcribed for the plain </w:t>
      </w:r>
      <w:r w:rsidR="00AD7CC4">
        <w:t>text edition. The texts that</w:t>
      </w:r>
      <w:r w:rsidR="00613112">
        <w:t xml:space="preserve"> I </w:t>
      </w:r>
      <w:r w:rsidR="003F5572">
        <w:t>selected</w:t>
      </w:r>
      <w:r w:rsidR="00613112">
        <w:t xml:space="preserve"> for this study all had a majority of readable pages—none included sections of text as unreadable as Caxton’s second </w:t>
      </w:r>
      <w:r w:rsidR="00613112">
        <w:rPr>
          <w:i/>
        </w:rPr>
        <w:t>Game of Chess</w:t>
      </w:r>
      <w:r w:rsidR="00613112">
        <w:t xml:space="preserve">, and any text with more than 1% of entirely illegible pages was discounted. By manually checking the images of the texts that were used in this study, I controlled for plain text versions that </w:t>
      </w:r>
      <w:r w:rsidR="00613112">
        <w:lastRenderedPageBreak/>
        <w:t xml:space="preserve">would include high </w:t>
      </w:r>
      <w:r w:rsidR="00560131">
        <w:t>proportions</w:t>
      </w:r>
      <w:r w:rsidR="00613112">
        <w:t xml:space="preserve"> of unreadable text, though some smaller </w:t>
      </w:r>
      <w:r w:rsidR="008141D1">
        <w:t xml:space="preserve">illegible </w:t>
      </w:r>
      <w:r w:rsidR="00613112">
        <w:t>sections remain within the text</w:t>
      </w:r>
      <w:r w:rsidR="008141D1">
        <w:t>.</w:t>
      </w:r>
      <w:r w:rsidR="00613112">
        <w:t xml:space="preserve"> </w:t>
      </w:r>
    </w:p>
    <w:p w14:paraId="4C6259BA" w14:textId="77777777" w:rsidR="00B85811" w:rsidRDefault="00B85811" w:rsidP="000737CB">
      <w:r>
        <w:t xml:space="preserve">As part of the research design, I have attempted to mitigate these issues by checking every text that I used for missing sections of text, both within the plain text version and the images available on </w:t>
      </w:r>
      <w:r>
        <w:rPr>
          <w:i/>
        </w:rPr>
        <w:t>EEBO</w:t>
      </w:r>
      <w:r>
        <w:t xml:space="preserve"> to ensure that the texts that I used did not have significant amounts of missing text. None of the texts that I used had more than half a page of text missing from any individual quire, and so the total loss of information from a quire was minimal. In the case of spellings that are introduced into the texts by the typist, the rate of errors appears to be low (1.4 errors per 1,000 words). </w:t>
      </w:r>
    </w:p>
    <w:p w14:paraId="044938D8" w14:textId="5E24FF48" w:rsidR="007A6A05" w:rsidRDefault="00613112" w:rsidP="000737CB">
      <w:r>
        <w:t xml:space="preserve">Finally, </w:t>
      </w:r>
      <w:r w:rsidR="002507D2">
        <w:t xml:space="preserve">there are limitations introduced into this study because of the bias within the current </w:t>
      </w:r>
      <w:r w:rsidR="002507D2">
        <w:rPr>
          <w:i/>
        </w:rPr>
        <w:t>EEBO</w:t>
      </w:r>
      <w:r w:rsidR="002507D2">
        <w:t xml:space="preserve">-TCP database towards </w:t>
      </w:r>
      <w:r w:rsidR="0004310C">
        <w:t xml:space="preserve">producing plain text versions of first editions and texts </w:t>
      </w:r>
      <w:r w:rsidR="00FA23AA">
        <w:t xml:space="preserve">that were </w:t>
      </w:r>
      <w:r w:rsidR="0037015B">
        <w:t xml:space="preserve">not </w:t>
      </w:r>
      <w:r w:rsidR="00FA23AA">
        <w:t xml:space="preserve">translated by Caxton. For example, Caxton’s first edition of the </w:t>
      </w:r>
      <w:r w:rsidR="00FA23AA">
        <w:rPr>
          <w:i/>
        </w:rPr>
        <w:t>Canterbury Tales</w:t>
      </w:r>
      <w:r w:rsidR="00FA23AA">
        <w:t xml:space="preserve"> has been keyed and produced as a plain text version as part of the project, but Caxton’s second edition of the </w:t>
      </w:r>
      <w:r w:rsidR="00FA23AA">
        <w:rPr>
          <w:i/>
        </w:rPr>
        <w:t>Canterbury Tales</w:t>
      </w:r>
      <w:r w:rsidR="00FA23AA">
        <w:t xml:space="preserve"> has not. For this reason, only Caxton’s first edition of the </w:t>
      </w:r>
      <w:r w:rsidR="00FA23AA">
        <w:rPr>
          <w:i/>
        </w:rPr>
        <w:t>Canterbury Tales</w:t>
      </w:r>
      <w:r w:rsidR="00FA23AA">
        <w:t xml:space="preserve"> has been used for quantitative analysis in this study. </w:t>
      </w:r>
      <w:r w:rsidR="0037015B">
        <w:t xml:space="preserve">Additionally, there are some texts that were translated into English by Caxton that are included in the </w:t>
      </w:r>
      <w:r w:rsidR="0037015B">
        <w:rPr>
          <w:i/>
        </w:rPr>
        <w:t>EEBO-</w:t>
      </w:r>
      <w:r w:rsidR="0037015B">
        <w:t xml:space="preserve">TCP database, such as the </w:t>
      </w:r>
      <w:r w:rsidR="0037015B">
        <w:rPr>
          <w:i/>
        </w:rPr>
        <w:t>Book of Good Manners</w:t>
      </w:r>
      <w:r w:rsidR="0037015B">
        <w:t xml:space="preserve"> and </w:t>
      </w:r>
      <w:r w:rsidR="0037015B">
        <w:rPr>
          <w:i/>
        </w:rPr>
        <w:t>Paris and Vienne</w:t>
      </w:r>
      <w:r w:rsidR="00063BFC">
        <w:t xml:space="preserve"> but </w:t>
      </w:r>
      <w:r w:rsidR="0037015B">
        <w:t xml:space="preserve">there are many texts that were translated by Caxton that were not included in the database, such as Caxton’s translations of </w:t>
      </w:r>
      <w:r w:rsidR="0037015B">
        <w:rPr>
          <w:i/>
        </w:rPr>
        <w:t>Blanchardin and Eglantine</w:t>
      </w:r>
      <w:r w:rsidR="0037015B">
        <w:t xml:space="preserve"> and </w:t>
      </w:r>
      <w:r w:rsidR="006D418F">
        <w:rPr>
          <w:i/>
        </w:rPr>
        <w:t>Eneydos</w:t>
      </w:r>
      <w:r w:rsidR="006D418F">
        <w:t xml:space="preserve">, Caxton’s version of the </w:t>
      </w:r>
      <w:r w:rsidR="006D418F" w:rsidRPr="003F5572">
        <w:rPr>
          <w:i/>
        </w:rPr>
        <w:t>Aeneid</w:t>
      </w:r>
      <w:r w:rsidR="006D418F">
        <w:t xml:space="preserve">. For this reason, the texts used as examples that may include Caxton’s own spellings in Chapter 9 </w:t>
      </w:r>
      <w:r w:rsidR="00063BFC">
        <w:t>are</w:t>
      </w:r>
      <w:r w:rsidR="006D418F">
        <w:t xml:space="preserve"> limited to those that were available through </w:t>
      </w:r>
      <w:r w:rsidR="006D418F">
        <w:rPr>
          <w:i/>
        </w:rPr>
        <w:t>EEBO</w:t>
      </w:r>
      <w:r w:rsidR="003F5572">
        <w:t>.</w:t>
      </w:r>
    </w:p>
    <w:p w14:paraId="3509C92C" w14:textId="77777777" w:rsidR="00F142AF" w:rsidRDefault="00F142AF" w:rsidP="000737CB"/>
    <w:p w14:paraId="3ACD73BF" w14:textId="70D789BA" w:rsidR="007F1975" w:rsidRDefault="007F1975" w:rsidP="00665568">
      <w:pPr>
        <w:pStyle w:val="Heading3"/>
      </w:pPr>
      <w:bookmarkStart w:id="86" w:name="_Ref496266333"/>
      <w:r>
        <w:t>Cleaning the data</w:t>
      </w:r>
      <w:bookmarkEnd w:id="86"/>
    </w:p>
    <w:p w14:paraId="40FD847B" w14:textId="689A5F1A" w:rsidR="00F9049E" w:rsidRDefault="00361E63" w:rsidP="000737CB">
      <w:r>
        <w:t xml:space="preserve">Before the data could be used, </w:t>
      </w:r>
      <w:r w:rsidR="00FF334F">
        <w:t xml:space="preserve">it had to be cleaned and tagged. The format of the texts from </w:t>
      </w:r>
      <w:r w:rsidR="00FF334F">
        <w:rPr>
          <w:i/>
        </w:rPr>
        <w:t>EEBO</w:t>
      </w:r>
      <w:r w:rsidR="00FF334F">
        <w:t xml:space="preserve">-TCP is plain text, which means that the files have no formatting, but symbols and punctuation are still included in the file. </w:t>
      </w:r>
      <w:r w:rsidR="008141D1">
        <w:t xml:space="preserve">However, there are transcription practices </w:t>
      </w:r>
      <w:r w:rsidR="00063BFC">
        <w:t>adopted</w:t>
      </w:r>
      <w:r w:rsidR="008141D1">
        <w:t xml:space="preserve"> by the </w:t>
      </w:r>
      <w:r w:rsidR="008141D1">
        <w:rPr>
          <w:i/>
        </w:rPr>
        <w:t>EEBO-</w:t>
      </w:r>
      <w:r w:rsidR="008141D1">
        <w:t xml:space="preserve">TCP project that were used in the creation of the plain text files, and some of these practices </w:t>
      </w:r>
      <w:r w:rsidR="00A261A6">
        <w:t xml:space="preserve">are not compatible with using the data as received for an investigation into the spelling practices in early print. </w:t>
      </w:r>
      <w:r w:rsidR="00B00E10">
        <w:t xml:space="preserve">In the </w:t>
      </w:r>
      <w:r w:rsidR="00B00E10">
        <w:rPr>
          <w:i/>
        </w:rPr>
        <w:t>EEBO</w:t>
      </w:r>
      <w:r w:rsidR="00B00E10">
        <w:t>-TCP plain texts, abbreviations are expanded, though not silently</w:t>
      </w:r>
      <w:r w:rsidR="0040377E">
        <w:t xml:space="preserve">, </w:t>
      </w:r>
      <w:r w:rsidR="005C7428">
        <w:t>but</w:t>
      </w:r>
      <w:r w:rsidR="0040377E">
        <w:t xml:space="preserve"> ampersands (or the Tironian et, </w:t>
      </w:r>
      <w:r w:rsidR="0040377E" w:rsidRPr="00B44FCE">
        <w:rPr>
          <w:rFonts w:ascii="Helvetica" w:eastAsia="Times New Roman" w:hAnsi="Helvetica"/>
          <w:color w:val="222222"/>
          <w:szCs w:val="21"/>
          <w:shd w:val="clear" w:color="auto" w:fill="FFFFFF"/>
          <w:lang w:eastAsia="en-GB"/>
        </w:rPr>
        <w:t>⁊</w:t>
      </w:r>
      <w:r w:rsidR="0040377E">
        <w:t xml:space="preserve">) are not expanded and remain represented by </w:t>
      </w:r>
      <w:r w:rsidR="0040377E" w:rsidRPr="003F5572">
        <w:t>&amp;</w:t>
      </w:r>
      <w:r w:rsidR="0040377E">
        <w:t xml:space="preserve">. Additionally, where words are hyphenated onto the next line, or where a word is completed on the next line of text without being marked by a hyphen, </w:t>
      </w:r>
      <w:r w:rsidR="0040377E">
        <w:rPr>
          <w:i/>
        </w:rPr>
        <w:t>EEBO</w:t>
      </w:r>
      <w:r w:rsidR="0040377E">
        <w:t xml:space="preserve">-TCP marks this using punctuation in the plain text editions. </w:t>
      </w:r>
      <w:r w:rsidR="00F9049E">
        <w:t xml:space="preserve">We can see an example of how these editorial practices manifest in the plain text editions </w:t>
      </w:r>
      <w:r w:rsidR="00F9049E">
        <w:lastRenderedPageBreak/>
        <w:t xml:space="preserve">by looking at an example. In </w:t>
      </w:r>
      <w:r w:rsidR="00F9049E">
        <w:rPr>
          <w:i/>
        </w:rPr>
        <w:t>Dicts and Sayings of the Philosophers</w:t>
      </w:r>
      <w:r w:rsidR="00222B54">
        <w:t xml:space="preserve">, there is a short section of text that illustrates most of these issues in one short paragraph. </w:t>
      </w:r>
    </w:p>
    <w:p w14:paraId="15077B30" w14:textId="77777777" w:rsidR="002F040B" w:rsidRDefault="002F040B" w:rsidP="000737CB"/>
    <w:p w14:paraId="5B0D8B38" w14:textId="0D7873EA" w:rsidR="002F040B" w:rsidRDefault="00522CF3" w:rsidP="00896A1C">
      <w:pPr>
        <w:ind w:firstLine="0"/>
      </w:pPr>
      <w:r>
        <w:rPr>
          <w:noProof/>
          <w:lang w:eastAsia="en-GB"/>
        </w:rPr>
        <w:drawing>
          <wp:inline distT="0" distB="0" distL="0" distR="0" wp14:anchorId="744A3BA1" wp14:editId="3F3894D5">
            <wp:extent cx="4950554" cy="1359292"/>
            <wp:effectExtent l="0" t="0" r="2540" b="1270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highlighted EEBO.pdf"/>
                    <pic:cNvPicPr/>
                  </pic:nvPicPr>
                  <pic:blipFill rotWithShape="1">
                    <a:blip r:embed="rId37">
                      <a:extLst>
                        <a:ext uri="{28A0092B-C50C-407E-A947-70E740481C1C}">
                          <a14:useLocalDpi xmlns:a14="http://schemas.microsoft.com/office/drawing/2010/main"/>
                        </a:ext>
                      </a:extLst>
                    </a:blip>
                    <a:srcRect l="7232" t="6791" r="5292" b="50511"/>
                    <a:stretch/>
                  </pic:blipFill>
                  <pic:spPr bwMode="auto">
                    <a:xfrm>
                      <a:off x="0" y="0"/>
                      <a:ext cx="4999692" cy="1372784"/>
                    </a:xfrm>
                    <a:prstGeom prst="rect">
                      <a:avLst/>
                    </a:prstGeom>
                    <a:ln>
                      <a:noFill/>
                    </a:ln>
                    <a:extLst>
                      <a:ext uri="{53640926-AAD7-44D8-BBD7-CCE9431645EC}">
                        <a14:shadowObscured xmlns:a14="http://schemas.microsoft.com/office/drawing/2010/main"/>
                      </a:ext>
                    </a:extLst>
                  </pic:spPr>
                </pic:pic>
              </a:graphicData>
            </a:graphic>
          </wp:inline>
        </w:drawing>
      </w:r>
    </w:p>
    <w:p w14:paraId="31A2D8AF" w14:textId="1C2F5BC6" w:rsidR="002F040B" w:rsidRDefault="00B85811" w:rsidP="00770D57">
      <w:pPr>
        <w:pStyle w:val="Caption"/>
      </w:pPr>
      <w:bookmarkStart w:id="87" w:name="_Toc499753519"/>
      <w:r>
        <w:t>Figure 4.3:</w:t>
      </w:r>
      <w:r w:rsidR="00770D57">
        <w:t xml:space="preserve"> </w:t>
      </w:r>
      <w:r w:rsidR="00770D57">
        <w:rPr>
          <w:i/>
        </w:rPr>
        <w:t>EEBO</w:t>
      </w:r>
      <w:r w:rsidR="00770D57">
        <w:t xml:space="preserve"> image from </w:t>
      </w:r>
      <w:r w:rsidR="00770D57">
        <w:rPr>
          <w:i/>
        </w:rPr>
        <w:t>Dicts and Sayings of the Philosophers</w:t>
      </w:r>
      <w:r w:rsidR="00BA211C">
        <w:t>,</w:t>
      </w:r>
      <w:r w:rsidR="005F5314">
        <w:rPr>
          <w:i/>
        </w:rPr>
        <w:t xml:space="preserve"> </w:t>
      </w:r>
      <w:r w:rsidR="005F5314">
        <w:t xml:space="preserve">p. </w:t>
      </w:r>
      <w:r w:rsidR="00770D57">
        <w:t>26</w:t>
      </w:r>
      <w:r w:rsidR="00770D57" w:rsidRPr="00770D57">
        <w:rPr>
          <w:vertAlign w:val="superscript"/>
        </w:rPr>
        <w:t>b</w:t>
      </w:r>
      <w:bookmarkEnd w:id="87"/>
    </w:p>
    <w:p w14:paraId="4FE45E59" w14:textId="77777777" w:rsidR="00770D57" w:rsidRDefault="00770D57" w:rsidP="00770D57">
      <w:pPr>
        <w:ind w:firstLine="0"/>
      </w:pPr>
    </w:p>
    <w:p w14:paraId="5B0F9254" w14:textId="5FE07320" w:rsidR="00896A1C" w:rsidRPr="00A51CF4" w:rsidRDefault="00B85811" w:rsidP="00896A1C">
      <w:r>
        <w:t>Figure 4.3</w:t>
      </w:r>
      <w:r w:rsidR="00BE230E">
        <w:t xml:space="preserve"> shows a section of text from page 26</w:t>
      </w:r>
      <w:r w:rsidR="00BE230E" w:rsidRPr="00BE230E">
        <w:rPr>
          <w:vertAlign w:val="superscript"/>
        </w:rPr>
        <w:t>b</w:t>
      </w:r>
      <w:r w:rsidR="00BE230E">
        <w:t xml:space="preserve"> of Caxton’s first edition of </w:t>
      </w:r>
      <w:r w:rsidR="00BE230E">
        <w:rPr>
          <w:i/>
        </w:rPr>
        <w:t>Dicts and Sayings of the Philosophers</w:t>
      </w:r>
      <w:r w:rsidR="00BE230E">
        <w:t xml:space="preserve">, where the </w:t>
      </w:r>
      <w:r w:rsidR="00A51CF4">
        <w:t xml:space="preserve">features of the text that incur editorial intervention from the </w:t>
      </w:r>
      <w:r w:rsidR="00A51CF4">
        <w:rPr>
          <w:i/>
        </w:rPr>
        <w:t>EEBO</w:t>
      </w:r>
      <w:r w:rsidR="00A51CF4">
        <w:t xml:space="preserve">-TCP </w:t>
      </w:r>
      <w:r w:rsidR="0040377E">
        <w:t xml:space="preserve">have been highlighted in yellow. The way in which this paragraph is </w:t>
      </w:r>
      <w:r w:rsidR="009B19A0">
        <w:t>rendered in the plain text version is provided here.</w:t>
      </w:r>
    </w:p>
    <w:p w14:paraId="7F6D8F68" w14:textId="77777777" w:rsidR="00896A1C" w:rsidRDefault="00896A1C" w:rsidP="00770D57">
      <w:pPr>
        <w:ind w:firstLine="0"/>
      </w:pPr>
    </w:p>
    <w:p w14:paraId="362C7B3C" w14:textId="693B9C91" w:rsidR="0040377E" w:rsidRPr="0040377E" w:rsidRDefault="0040377E" w:rsidP="0007747F">
      <w:pPr>
        <w:spacing w:line="276" w:lineRule="auto"/>
        <w:ind w:left="576" w:firstLine="0"/>
      </w:pPr>
      <w:r w:rsidRPr="0040377E">
        <w:t>saide wysdom is the leche of the lawe /</w:t>
      </w:r>
      <w:r>
        <w:t xml:space="preserve"> </w:t>
      </w:r>
      <w:r w:rsidR="002F040B" w:rsidRPr="002F040B">
        <w:t>&amp; moneye is the seke|nesse. &amp; when the leche may not hele him self / howe shulde he hele another ¶ And saide th</w:t>
      </w:r>
      <w:r w:rsidRPr="0040377E">
        <w:t>·</w:t>
      </w:r>
      <w:r w:rsidR="002F040B" w:rsidRPr="002F040B">
        <w:t>u maist not be {per}fectely good if thou hatest thyn ennemy / what shalt thou be than if thou ha+test thy fre~de</w:t>
      </w:r>
      <w:r>
        <w:t xml:space="preserve"> </w:t>
      </w:r>
      <w:r w:rsidRPr="0040377E">
        <w:t>¶ And saide this worlde may be liken</w:t>
      </w:r>
      <w:r w:rsidR="00081BDB" w:rsidRPr="0040377E">
        <w:t>·</w:t>
      </w:r>
      <w:r w:rsidRPr="0040377E">
        <w:t>d to</w:t>
      </w:r>
    </w:p>
    <w:p w14:paraId="49BF3036" w14:textId="0B62316C" w:rsidR="002F040B" w:rsidRPr="002F040B" w:rsidRDefault="002F040B" w:rsidP="00EE374C">
      <w:pPr>
        <w:spacing w:line="480" w:lineRule="auto"/>
      </w:pPr>
    </w:p>
    <w:p w14:paraId="01BCB3AC" w14:textId="5E03D86B" w:rsidR="00EE374C" w:rsidRDefault="002E41A7" w:rsidP="002E41A7">
      <w:r>
        <w:t xml:space="preserve">The </w:t>
      </w:r>
      <w:r>
        <w:rPr>
          <w:i/>
        </w:rPr>
        <w:t>EEBO</w:t>
      </w:r>
      <w:r>
        <w:t xml:space="preserve">-TCP versions of the texts mark where abbreviation in the text has taken place. </w:t>
      </w:r>
      <w:r w:rsidR="009778C9">
        <w:t xml:space="preserve">On line three, the word </w:t>
      </w:r>
      <w:r w:rsidR="009778C9">
        <w:rPr>
          <w:smallCaps/>
        </w:rPr>
        <w:t>perfectly</w:t>
      </w:r>
      <w:r w:rsidR="009778C9">
        <w:t xml:space="preserve"> is written as</w:t>
      </w:r>
      <w:r w:rsidR="00A64017">
        <w:t xml:space="preserve"> </w:t>
      </w:r>
      <w:r w:rsidR="00A64017" w:rsidRPr="009778C9">
        <w:rPr>
          <w:rFonts w:ascii="Geneva" w:eastAsia="Geneva" w:hAnsi="Geneva" w:cs="Geneva"/>
          <w:i/>
          <w:sz w:val="18"/>
        </w:rPr>
        <w:t>ꝑ</w:t>
      </w:r>
      <w:r w:rsidR="009778C9" w:rsidRPr="009778C9">
        <w:rPr>
          <w:rFonts w:eastAsia="Geneva"/>
          <w:i/>
        </w:rPr>
        <w:t>fecteley</w:t>
      </w:r>
      <w:r w:rsidR="009778C9">
        <w:rPr>
          <w:rFonts w:eastAsia="Geneva"/>
        </w:rPr>
        <w:t xml:space="preserve">, where the scribal abbreviation for </w:t>
      </w:r>
      <w:r w:rsidR="009778C9">
        <w:rPr>
          <w:rFonts w:eastAsia="Geneva"/>
          <w:i/>
        </w:rPr>
        <w:t>per</w:t>
      </w:r>
      <w:r w:rsidR="009778C9">
        <w:rPr>
          <w:rFonts w:eastAsia="Geneva"/>
        </w:rPr>
        <w:t>- is used. In the plain text edition of the text, t</w:t>
      </w:r>
      <w:r w:rsidR="008258BD">
        <w:rPr>
          <w:rFonts w:eastAsia="Geneva"/>
        </w:rPr>
        <w:t xml:space="preserve">his abbreviation is expanded to </w:t>
      </w:r>
      <w:r w:rsidR="008258BD" w:rsidRPr="008258BD">
        <w:rPr>
          <w:i/>
        </w:rPr>
        <w:t>{per}fectely</w:t>
      </w:r>
      <w:r w:rsidR="008258BD">
        <w:t xml:space="preserve">, where the expansion is marked by curly brackets. </w:t>
      </w:r>
      <w:r w:rsidR="00740C6D">
        <w:t>In comparis</w:t>
      </w:r>
      <w:r w:rsidR="002A2496">
        <w:t xml:space="preserve">on, abbreviations using a tilde, such as the word </w:t>
      </w:r>
      <w:r w:rsidR="00E71155">
        <w:rPr>
          <w:i/>
        </w:rPr>
        <w:t>fr</w:t>
      </w:r>
      <w:r w:rsidR="00E71155" w:rsidRPr="00E71155">
        <w:rPr>
          <w:i/>
        </w:rPr>
        <w:t>ẽ</w:t>
      </w:r>
      <w:r w:rsidR="002A2496">
        <w:rPr>
          <w:i/>
        </w:rPr>
        <w:t>d</w:t>
      </w:r>
      <w:r w:rsidR="00E71155">
        <w:rPr>
          <w:i/>
        </w:rPr>
        <w:t xml:space="preserve">e </w:t>
      </w:r>
      <w:r w:rsidR="00E71155">
        <w:t>(</w:t>
      </w:r>
      <w:r w:rsidR="00E71155">
        <w:rPr>
          <w:smallCaps/>
        </w:rPr>
        <w:t>friend</w:t>
      </w:r>
      <w:r w:rsidR="00E71155">
        <w:t xml:space="preserve">) where the tilde presumably marks the abbreviation of the letter </w:t>
      </w:r>
      <w:r w:rsidR="00E71155">
        <w:rPr>
          <w:i/>
        </w:rPr>
        <w:t>n</w:t>
      </w:r>
      <w:r w:rsidR="00E71155">
        <w:t xml:space="preserve"> is not expanded, but a tilde is included in the plain text but not combined with the letter </w:t>
      </w:r>
      <w:r w:rsidR="00E71155">
        <w:rPr>
          <w:i/>
        </w:rPr>
        <w:t>e</w:t>
      </w:r>
      <w:r w:rsidR="00E71155">
        <w:t xml:space="preserve">. The reason behind not expanding tilde abbreviations appears to be one of consistency; while a tilde is most commonly used to represent a missing </w:t>
      </w:r>
      <w:r w:rsidR="00E71155">
        <w:rPr>
          <w:i/>
        </w:rPr>
        <w:t>m</w:t>
      </w:r>
      <w:r w:rsidR="00E71155">
        <w:t xml:space="preserve"> or </w:t>
      </w:r>
      <w:r w:rsidR="00E71155">
        <w:rPr>
          <w:i/>
        </w:rPr>
        <w:t>n</w:t>
      </w:r>
      <w:r w:rsidR="00E71155">
        <w:t xml:space="preserve"> in scribal writing, there are cases where tildes are used that appear to be </w:t>
      </w:r>
      <w:r w:rsidR="00FD4037">
        <w:t>decorative.</w:t>
      </w:r>
    </w:p>
    <w:p w14:paraId="4C54850F" w14:textId="40AD754E" w:rsidR="002E41A7" w:rsidRDefault="002E41A7" w:rsidP="002E41A7">
      <w:r>
        <w:t xml:space="preserve">The plain text editions of </w:t>
      </w:r>
      <w:r>
        <w:rPr>
          <w:i/>
        </w:rPr>
        <w:t>EEBO-</w:t>
      </w:r>
      <w:r>
        <w:t xml:space="preserve">TCP mark whether a word has been split between two lines using punctuation. In line 1 of </w:t>
      </w:r>
      <w:r w:rsidR="00B85811">
        <w:t>Figure 4.3</w:t>
      </w:r>
      <w:r>
        <w:t xml:space="preserve">, the word </w:t>
      </w:r>
      <w:r>
        <w:rPr>
          <w:i/>
        </w:rPr>
        <w:t>sekenesse</w:t>
      </w:r>
      <w:r>
        <w:t xml:space="preserve"> is divided over two lines, and the </w:t>
      </w:r>
      <w:r w:rsidR="00AF3E25">
        <w:t xml:space="preserve">vertical bar </w:t>
      </w:r>
      <w:r>
        <w:t xml:space="preserve">symbol </w:t>
      </w:r>
      <w:r w:rsidRPr="002F040B">
        <w:t>|</w:t>
      </w:r>
      <w:r>
        <w:t xml:space="preserve"> is used to denote where the division occurs within the word, and that the division was marked using the double oblique hyphen </w:t>
      </w:r>
      <w:r w:rsidRPr="008B1C95">
        <w:t>⸗</w:t>
      </w:r>
      <w:r>
        <w:t xml:space="preserve"> at the end of the line</w:t>
      </w:r>
      <w:r w:rsidR="00063BFC">
        <w:t xml:space="preserve">. </w:t>
      </w:r>
      <w:r>
        <w:t xml:space="preserve">In contrast, where the word </w:t>
      </w:r>
      <w:r>
        <w:rPr>
          <w:i/>
        </w:rPr>
        <w:t>hatest</w:t>
      </w:r>
      <w:r>
        <w:t xml:space="preserve"> is divided between two lines at the end of line four, the division is not marked in Caxton’s text by any kind of hyphenation. In the </w:t>
      </w:r>
      <w:r>
        <w:rPr>
          <w:i/>
        </w:rPr>
        <w:lastRenderedPageBreak/>
        <w:t>EEBO</w:t>
      </w:r>
      <w:r>
        <w:t xml:space="preserve">-TCP version of the text, the division is marked using the plus symbol: </w:t>
      </w:r>
      <w:r w:rsidRPr="002E41A7">
        <w:rPr>
          <w:i/>
        </w:rPr>
        <w:t>ha+test</w:t>
      </w:r>
      <w:r>
        <w:t xml:space="preserve">. </w:t>
      </w:r>
      <w:r w:rsidR="00063BFC">
        <w:t>Finally,</w:t>
      </w:r>
      <w:r w:rsidR="00EE374C">
        <w:t xml:space="preserve"> the </w:t>
      </w:r>
      <w:r w:rsidR="00EE374C">
        <w:rPr>
          <w:i/>
        </w:rPr>
        <w:t>EEBO</w:t>
      </w:r>
      <w:r w:rsidR="00EE374C">
        <w:t xml:space="preserve">-TCP texts also mark the locations where </w:t>
      </w:r>
      <w:r w:rsidR="00BE526F">
        <w:t xml:space="preserve">individual letters are unreadable. While larger spans of text that are illegible are marked with […], where individual letters are unreadable within a word, these are marked with the symbol </w:t>
      </w:r>
      <w:r w:rsidR="00BE526F" w:rsidRPr="0040377E">
        <w:t>·</w:t>
      </w:r>
      <w:r w:rsidR="00BE526F">
        <w:t xml:space="preserve"> known as an interpunct. </w:t>
      </w:r>
      <w:r w:rsidR="005E20B5">
        <w:t xml:space="preserve">On the third line, the word that is likely </w:t>
      </w:r>
      <w:r w:rsidR="005E20B5">
        <w:rPr>
          <w:i/>
        </w:rPr>
        <w:t>thou</w:t>
      </w:r>
      <w:r w:rsidR="005E20B5">
        <w:t xml:space="preserve"> is represented in plain text by </w:t>
      </w:r>
      <w:r w:rsidR="005E20B5" w:rsidRPr="005E20B5">
        <w:rPr>
          <w:i/>
        </w:rPr>
        <w:t>th·u</w:t>
      </w:r>
      <w:r w:rsidR="005E20B5">
        <w:t xml:space="preserve"> where the third letter in the word was considered illegible by the transcriber. </w:t>
      </w:r>
    </w:p>
    <w:p w14:paraId="70EFF52A" w14:textId="6B938D19" w:rsidR="005E20B5" w:rsidRPr="00B30F1B" w:rsidRDefault="005E20B5" w:rsidP="002E41A7">
      <w:r>
        <w:t xml:space="preserve">The way that </w:t>
      </w:r>
      <w:r>
        <w:rPr>
          <w:i/>
        </w:rPr>
        <w:t>EEBO</w:t>
      </w:r>
      <w:r w:rsidR="00063BFC">
        <w:t xml:space="preserve">-TCP uses these marks is important </w:t>
      </w:r>
      <w:r>
        <w:t>when using their plain text editions as data for an investi</w:t>
      </w:r>
      <w:r w:rsidR="007A75CB">
        <w:t xml:space="preserve">gation into spelling variation. For this study, I chose not to use any word that had been abbreviated, and therefore filtered out all words that included a tilde or the curly brackets from the plain text edition. Additionally, it is also not clear what impact breaking words over lines could have on the spelling for either end of the word, and so I also removed </w:t>
      </w:r>
      <w:r w:rsidR="00B30F1B">
        <w:t xml:space="preserve">any words that included the + or | symbols. Finally, I also did not include any words in the analysis where any of the letters were unclear, and so any words that included </w:t>
      </w:r>
      <w:r w:rsidR="00B30F1B" w:rsidRPr="0040377E">
        <w:t>·</w:t>
      </w:r>
      <w:r w:rsidR="00B30F1B">
        <w:t xml:space="preserve"> or […] in the centre were also removed from the dataset. Removing these words from the analysis means that the edited plain text files that I used no longer include all the words that are used in the </w:t>
      </w:r>
      <w:r w:rsidR="00B30F1B">
        <w:rPr>
          <w:i/>
        </w:rPr>
        <w:t>EEBO</w:t>
      </w:r>
      <w:r w:rsidR="00BE63AD">
        <w:t>-TCP</w:t>
      </w:r>
      <w:r w:rsidR="0071249C">
        <w:t xml:space="preserve"> edition</w:t>
      </w:r>
      <w:r w:rsidR="00063BFC">
        <w:t xml:space="preserve"> but </w:t>
      </w:r>
      <w:r w:rsidR="00BE63AD">
        <w:t xml:space="preserve">the words that remain do not contain any abbreviation, illegible letters, and were written out in full on one line of the text. By cleaning these aspects out of the data, I aimed to avoid using words where there was any uncertainty in the expansion of abbreviations and to be consistent in the data that was admitted for use in the analysis. In addition, cleaning the data this way also made it easier to annotate. </w:t>
      </w:r>
    </w:p>
    <w:p w14:paraId="16BD8CDC" w14:textId="77777777" w:rsidR="007F1975" w:rsidRDefault="007F1975" w:rsidP="00D64EB2">
      <w:pPr>
        <w:ind w:firstLine="0"/>
      </w:pPr>
    </w:p>
    <w:p w14:paraId="03778C62" w14:textId="76CB9684" w:rsidR="007F1975" w:rsidRDefault="007F1975" w:rsidP="00EB4C28">
      <w:pPr>
        <w:pStyle w:val="Heading2"/>
      </w:pPr>
      <w:bookmarkStart w:id="88" w:name="_Ref495654932"/>
      <w:bookmarkStart w:id="89" w:name="_Toc497899853"/>
      <w:r>
        <w:t>Turning spellings into numbers</w:t>
      </w:r>
      <w:bookmarkEnd w:id="88"/>
      <w:bookmarkEnd w:id="89"/>
    </w:p>
    <w:p w14:paraId="517B5336" w14:textId="2D44D7CE" w:rsidR="0014200A" w:rsidRDefault="00D64EB2" w:rsidP="00BB506F">
      <w:pPr>
        <w:rPr>
          <w:color w:val="000000" w:themeColor="text1"/>
        </w:rPr>
      </w:pPr>
      <w:r>
        <w:t xml:space="preserve">The quantitative methods developed in this thesis require numerical input in order to work, which means that </w:t>
      </w:r>
      <w:r w:rsidR="009C0D54">
        <w:t>Caxton’s texts</w:t>
      </w:r>
      <w:r>
        <w:t xml:space="preserve"> need to be turned into numbers. </w:t>
      </w:r>
      <w:r w:rsidR="009C0D54">
        <w:t>There are many ways that a tex</w:t>
      </w:r>
      <w:r w:rsidR="00BB506F">
        <w:t xml:space="preserve">t could be turned into numbers; </w:t>
      </w:r>
      <w:r w:rsidR="009C0D54">
        <w:t xml:space="preserve">for this study, the numerical values need to represent the </w:t>
      </w:r>
      <w:r w:rsidR="00BB506F">
        <w:t xml:space="preserve">spellings that are used in each text, and the relative frequency of the spellings to one another. </w:t>
      </w:r>
      <w:r w:rsidR="0014200A" w:rsidRPr="0021550A">
        <w:t xml:space="preserve">Turning language data into numerical data is a well-known problem in quantitative linguistics </w:t>
      </w:r>
      <w:r w:rsidR="0071249C" w:rsidRPr="0071249C">
        <w:t>(Divjak &amp; Fieller 2014:</w:t>
      </w:r>
      <w:r w:rsidR="0071249C">
        <w:t xml:space="preserve"> </w:t>
      </w:r>
      <w:r w:rsidR="0071249C" w:rsidRPr="0071249C">
        <w:t>408)</w:t>
      </w:r>
      <w:r w:rsidR="0014200A" w:rsidRPr="0021550A">
        <w:t xml:space="preserve">. For this study, I have turned the quires of each text into a bag-of-words model. </w:t>
      </w:r>
      <w:r w:rsidR="0014200A" w:rsidRPr="0021550A">
        <w:rPr>
          <w:color w:val="000000" w:themeColor="text1"/>
        </w:rPr>
        <w:t xml:space="preserve">Within mathematics a “bag” (also known as a multiset) is an unordered set of data. In this case, the unordered data within the bag is spelling variants. When we apply cluster analysis to spelling variation, the algorithm takes a bag-of-words approach that looks at the overall distribution of tokens of spelling variants, as opposed to looking at the types of variants. In considering the data as a bag model, the words become unordered and all syntactic information is lost. We no longer see the word order or clause structure, and we cannot access the collocates around each </w:t>
      </w:r>
      <w:r w:rsidR="0014200A" w:rsidRPr="0021550A">
        <w:rPr>
          <w:color w:val="000000" w:themeColor="text1"/>
        </w:rPr>
        <w:lastRenderedPageBreak/>
        <w:t xml:space="preserve">word. In this model, it would not be possible to investigate whether some individual spellings only ever occur within embedded clauses, for example. However, in simplifying the data to a bag model, we gain the ability to look more widely at the frequencies that occur across the dataset. After simplification, the remaining data can be summarised by the frequencies of each type of spelling variant. </w:t>
      </w:r>
      <w:r w:rsidR="0014200A" w:rsidRPr="0021550A">
        <w:rPr>
          <w:color w:val="000000" w:themeColor="text1"/>
        </w:rPr>
        <w:fldChar w:fldCharType="begin"/>
      </w:r>
      <w:r w:rsidR="0014200A" w:rsidRPr="0021550A">
        <w:rPr>
          <w:color w:val="000000" w:themeColor="text1"/>
        </w:rPr>
        <w:instrText xml:space="preserve"> REF _Ref468961210  \* MERGEFORMAT </w:instrText>
      </w:r>
      <w:r w:rsidR="0014200A" w:rsidRPr="0021550A">
        <w:rPr>
          <w:color w:val="000000" w:themeColor="text1"/>
        </w:rPr>
        <w:fldChar w:fldCharType="separate"/>
      </w:r>
      <w:r w:rsidR="00D11844" w:rsidRPr="0021550A">
        <w:t xml:space="preserve">Table </w:t>
      </w:r>
      <w:r w:rsidR="00D11844">
        <w:t>4.2</w:t>
      </w:r>
      <w:r w:rsidR="0014200A" w:rsidRPr="0021550A">
        <w:rPr>
          <w:color w:val="000000" w:themeColor="text1"/>
        </w:rPr>
        <w:fldChar w:fldCharType="end"/>
      </w:r>
      <w:r w:rsidR="0014200A" w:rsidRPr="0021550A">
        <w:rPr>
          <w:color w:val="000000" w:themeColor="text1"/>
        </w:rPr>
        <w:t xml:space="preserve"> shows an example of the data after simplification.</w:t>
      </w:r>
    </w:p>
    <w:p w14:paraId="60126454" w14:textId="105C8119" w:rsidR="004031F0" w:rsidRDefault="00FD6558" w:rsidP="00326AAC">
      <w:pPr>
        <w:ind w:firstLine="0"/>
      </w:pPr>
      <w:r>
        <w:t xml:space="preserve">The bag of words model works well for the present study, because it allows us to turn words into numbers with relative ease through making vectors for each of the quires, and for whole texts, and thus enabling the combination of vectors into matrices for cluster analysis. However, by using a bag-of-words model, we lose syntactic and other relational information. As a result, if spellings differ because of the word order, or because of their location relative to words spelt with a specific combination of graphemes, the present model cannot detect these patterns. Additionally, while the annotation process tags spellings with their Standard English counterpart, there is no differentiation between homonyms. As such, this model cannot take it into account if spellings were to differ between different words that are otherwise homonyms. Because of these limitations, this study considers only the wider use of spellings throughout the text, and not the relationships between spellings and their linguistic environment. </w:t>
      </w:r>
      <w:r w:rsidR="007F5605">
        <w:t xml:space="preserve">While </w:t>
      </w:r>
      <w:r w:rsidR="007F5605" w:rsidRPr="0021550A">
        <w:rPr>
          <w:color w:val="000000" w:themeColor="text1"/>
        </w:rPr>
        <w:fldChar w:fldCharType="begin"/>
      </w:r>
      <w:r w:rsidR="007F5605" w:rsidRPr="0021550A">
        <w:rPr>
          <w:color w:val="000000" w:themeColor="text1"/>
        </w:rPr>
        <w:instrText xml:space="preserve"> REF _Ref468961210  \* MERGEFORMAT </w:instrText>
      </w:r>
      <w:r w:rsidR="007F5605" w:rsidRPr="0021550A">
        <w:rPr>
          <w:color w:val="000000" w:themeColor="text1"/>
        </w:rPr>
        <w:fldChar w:fldCharType="separate"/>
      </w:r>
      <w:r w:rsidR="00B85811">
        <w:t>Table 4.4</w:t>
      </w:r>
      <w:r w:rsidR="007F5605" w:rsidRPr="0021550A">
        <w:rPr>
          <w:color w:val="000000" w:themeColor="text1"/>
        </w:rPr>
        <w:fldChar w:fldCharType="end"/>
      </w:r>
      <w:r w:rsidR="007F5605">
        <w:rPr>
          <w:color w:val="000000" w:themeColor="text1"/>
        </w:rPr>
        <w:t xml:space="preserve"> shows the frequencies of two spellings of </w:t>
      </w:r>
      <w:r w:rsidR="007F5605" w:rsidRPr="00494958">
        <w:rPr>
          <w:smallCaps/>
          <w:color w:val="000000" w:themeColor="text1"/>
        </w:rPr>
        <w:t>them</w:t>
      </w:r>
      <w:r w:rsidR="007F5605">
        <w:rPr>
          <w:color w:val="000000" w:themeColor="text1"/>
        </w:rPr>
        <w:t xml:space="preserve"> in the </w:t>
      </w:r>
      <w:r w:rsidR="007F5605">
        <w:rPr>
          <w:i/>
          <w:color w:val="000000" w:themeColor="text1"/>
        </w:rPr>
        <w:t>Polychronicon</w:t>
      </w:r>
      <w:r w:rsidR="007F5605">
        <w:rPr>
          <w:color w:val="000000" w:themeColor="text1"/>
        </w:rPr>
        <w:t xml:space="preserve">, it is not possible to just copy and paste the text into a spreadsheet in order to acquire the frequencies for </w:t>
      </w:r>
      <w:r w:rsidR="007F5605">
        <w:rPr>
          <w:smallCaps/>
          <w:color w:val="000000" w:themeColor="text1"/>
        </w:rPr>
        <w:t>them</w:t>
      </w:r>
      <w:r w:rsidR="007F5605">
        <w:rPr>
          <w:color w:val="000000" w:themeColor="text1"/>
        </w:rPr>
        <w:t xml:space="preserve"> and for all the other words used in the text. To acquire the frequencies for each spelling variant and to map each spelling variant onto the word that the spelling is used to represent requires that the plain text editions of Caxton’s texts are annotated. I used the software </w:t>
      </w:r>
      <w:r w:rsidR="007F5605">
        <w:t xml:space="preserve">known as VARD to annotate my data (short for the VARiant Detector (Baron &amp; Rayson 2008)). VARD is semi-automatic software designed to replace non-standard spelling variants with the corresponding Standard English form, and it was initially designed to work with Early Modern spelling. I trained VARD on a sample dataset of Caxton’s shorter texts, before extending it for use on the wider dataset. </w:t>
      </w:r>
    </w:p>
    <w:p w14:paraId="3C9FC927" w14:textId="77777777" w:rsidR="004031F0" w:rsidRDefault="004031F0" w:rsidP="004031F0">
      <w:r>
        <w:t xml:space="preserve">The annotation that was necessary for this project was undertaken through using the software VARD, discussed in detail in Section </w:t>
      </w:r>
      <w:r>
        <w:fldChar w:fldCharType="begin"/>
      </w:r>
      <w:r>
        <w:instrText xml:space="preserve"> REF _Ref496266333 \r </w:instrText>
      </w:r>
      <w:r>
        <w:fldChar w:fldCharType="separate"/>
      </w:r>
      <w:r>
        <w:t>4.2.2</w:t>
      </w:r>
      <w:r>
        <w:fldChar w:fldCharType="end"/>
      </w:r>
      <w:r>
        <w:t xml:space="preserve">. VARD works well for tagging historical spelling variants with their Present Day Standard English equivalent, particularly after training on similar data to that the tagger will be used on. However, VARD runs into issues in the case of one-to-many relationships, where one spelling variant can be used to represent more than one word. For example, the spelling </w:t>
      </w:r>
      <w:r w:rsidRPr="00C37A54">
        <w:rPr>
          <w:i/>
        </w:rPr>
        <w:t>dede</w:t>
      </w:r>
      <w:r>
        <w:t xml:space="preserve"> can be used to represent </w:t>
      </w:r>
      <w:r w:rsidRPr="00C37A54">
        <w:rPr>
          <w:smallCaps/>
        </w:rPr>
        <w:t>deed, dead, did</w:t>
      </w:r>
      <w:r>
        <w:t xml:space="preserve"> or </w:t>
      </w:r>
      <w:r w:rsidRPr="00C37A54">
        <w:rPr>
          <w:i/>
        </w:rPr>
        <w:t xml:space="preserve">sone </w:t>
      </w:r>
      <w:r>
        <w:t xml:space="preserve">for </w:t>
      </w:r>
      <w:r w:rsidRPr="00C37A54">
        <w:rPr>
          <w:smallCaps/>
        </w:rPr>
        <w:t>soon, sun, son</w:t>
      </w:r>
      <w:r>
        <w:t xml:space="preserve"> etc. VARD works with probabilities, and picks the single most likely Standard English form to tag any variable with. In the case of one-to-many relationships such as </w:t>
      </w:r>
      <w:r>
        <w:rPr>
          <w:i/>
        </w:rPr>
        <w:t>dede</w:t>
      </w:r>
      <w:r>
        <w:t xml:space="preserve"> and </w:t>
      </w:r>
      <w:r>
        <w:rPr>
          <w:i/>
        </w:rPr>
        <w:t>sone</w:t>
      </w:r>
      <w:r>
        <w:t xml:space="preserve"> VARD will tag all </w:t>
      </w:r>
      <w:r>
        <w:lastRenderedPageBreak/>
        <w:t xml:space="preserve">instances of these spellings with one word, probably the one that occurred the most during training. </w:t>
      </w:r>
    </w:p>
    <w:p w14:paraId="58F4A074" w14:textId="77777777" w:rsidR="004031F0" w:rsidRPr="005F3241" w:rsidRDefault="004031F0" w:rsidP="004031F0">
      <w:r>
        <w:t xml:space="preserve">VARD’s inability to work in one-to-many scenarios has to be corrected, because the spellings that it tends to affect most are high frequency terms, such as </w:t>
      </w:r>
      <w:r>
        <w:rPr>
          <w:i/>
        </w:rPr>
        <w:t>thise</w:t>
      </w:r>
      <w:r>
        <w:t xml:space="preserve"> which is used to represent </w:t>
      </w:r>
      <w:r>
        <w:rPr>
          <w:smallCaps/>
        </w:rPr>
        <w:t>this</w:t>
      </w:r>
      <w:r>
        <w:t xml:space="preserve"> or </w:t>
      </w:r>
      <w:r>
        <w:rPr>
          <w:smallCaps/>
        </w:rPr>
        <w:t>these</w:t>
      </w:r>
      <w:r>
        <w:t xml:space="preserve"> in Caxton’s texts. Without correcting the incorrect tags, the differences in spelling could have affect the clustering and the similarity scores for the texts, or sections of texts, and so it is necessary for the researcher to manually check the data and to amend any mistakes, focusing on errors introduced by VARD’s inability to process one-to-many relationships. The checking process takes a long time. For longer texts such as the </w:t>
      </w:r>
      <w:r>
        <w:rPr>
          <w:i/>
        </w:rPr>
        <w:t>Polychronicon</w:t>
      </w:r>
      <w:r>
        <w:t xml:space="preserve"> or the </w:t>
      </w:r>
      <w:r>
        <w:rPr>
          <w:i/>
        </w:rPr>
        <w:t>Golden Legend</w:t>
      </w:r>
      <w:r>
        <w:t xml:space="preserve">, there were hundreds of occurrences of each of these spellings, and each spelling must be checked and annotated with the correct word. The annotation process using VARD was necessary, because without tagging each spelling with the word it is used to represent, it is not possible to compare the ratios of use for different spellings for the same word, and the shift between spellings is a key part of the difference between idiolects. This study was conducted with limited time and resources, and manually annotating some of the data that VARD was unable to complete took up a significant amount of time. As such, the requirement for tagging under these circumstances has limited the scope of this work to the texts that are listed in </w:t>
      </w:r>
      <w:r>
        <w:fldChar w:fldCharType="begin"/>
      </w:r>
      <w:r>
        <w:instrText xml:space="preserve"> REF _Ref495321202 </w:instrText>
      </w:r>
      <w:r>
        <w:fldChar w:fldCharType="separate"/>
      </w:r>
      <w:r>
        <w:t xml:space="preserve">Table </w:t>
      </w:r>
      <w:r>
        <w:rPr>
          <w:noProof/>
        </w:rPr>
        <w:t>4</w:t>
      </w:r>
      <w:r>
        <w:t>.</w:t>
      </w:r>
      <w:r>
        <w:rPr>
          <w:noProof/>
        </w:rPr>
        <w:t>1</w:t>
      </w:r>
      <w:r>
        <w:fldChar w:fldCharType="end"/>
      </w:r>
      <w:r>
        <w:t>.</w:t>
      </w:r>
    </w:p>
    <w:p w14:paraId="3FCABCB8" w14:textId="250E9907" w:rsidR="007F5605" w:rsidRDefault="007F5605" w:rsidP="007F5605">
      <w:r>
        <w:t xml:space="preserve">For this study, it was important to retain the spellings used in Caxton’s texts, and so the standardised output was not used for this study. However, VARD also provides data on the frequency that each spelling variant was used in the text, or the section of text, that is fed into the software. It is this frequency data that I transferred into spreadsheets and used, for example, as a representation of the number of times that </w:t>
      </w:r>
      <w:r>
        <w:rPr>
          <w:i/>
        </w:rPr>
        <w:t>hem</w:t>
      </w:r>
      <w:r>
        <w:t xml:space="preserve"> was used to represent </w:t>
      </w:r>
      <w:r>
        <w:rPr>
          <w:smallCaps/>
        </w:rPr>
        <w:t>them</w:t>
      </w:r>
      <w:r>
        <w:t xml:space="preserve"> in the quires of the </w:t>
      </w:r>
      <w:r>
        <w:rPr>
          <w:i/>
        </w:rPr>
        <w:t>Polychronicon</w:t>
      </w:r>
      <w:r>
        <w:t>.</w:t>
      </w:r>
    </w:p>
    <w:p w14:paraId="03342D71" w14:textId="77777777" w:rsidR="0014200A" w:rsidRPr="0021550A" w:rsidRDefault="0014200A" w:rsidP="000737CB"/>
    <w:tbl>
      <w:tblPr>
        <w:tblStyle w:val="GridTable1Light1"/>
        <w:tblW w:w="0" w:type="auto"/>
        <w:tblLayout w:type="fixed"/>
        <w:tblLook w:val="0020" w:firstRow="1" w:lastRow="0" w:firstColumn="0" w:lastColumn="0" w:noHBand="0" w:noVBand="0"/>
      </w:tblPr>
      <w:tblGrid>
        <w:gridCol w:w="1885"/>
        <w:gridCol w:w="2520"/>
        <w:gridCol w:w="2430"/>
      </w:tblGrid>
      <w:tr w:rsidR="0014200A" w:rsidRPr="0021550A" w14:paraId="383104E6" w14:textId="77777777" w:rsidTr="0071249C">
        <w:trPr>
          <w:cnfStyle w:val="100000000000" w:firstRow="1" w:lastRow="0" w:firstColumn="0" w:lastColumn="0" w:oddVBand="0" w:evenVBand="0" w:oddHBand="0" w:evenHBand="0" w:firstRowFirstColumn="0" w:firstRowLastColumn="0" w:lastRowFirstColumn="0" w:lastRowLastColumn="0"/>
        </w:trPr>
        <w:tc>
          <w:tcPr>
            <w:tcW w:w="1885" w:type="dxa"/>
            <w:vAlign w:val="center"/>
          </w:tcPr>
          <w:p w14:paraId="03BFEDF8" w14:textId="77777777" w:rsidR="0014200A" w:rsidRPr="0021550A" w:rsidRDefault="0014200A" w:rsidP="0071249C">
            <w:pPr>
              <w:ind w:firstLine="0"/>
              <w:jc w:val="center"/>
            </w:pPr>
          </w:p>
        </w:tc>
        <w:tc>
          <w:tcPr>
            <w:tcW w:w="2520" w:type="dxa"/>
            <w:vAlign w:val="center"/>
          </w:tcPr>
          <w:p w14:paraId="7518F31F" w14:textId="77777777" w:rsidR="0014200A" w:rsidRPr="0021550A" w:rsidRDefault="0014200A" w:rsidP="0071249C">
            <w:pPr>
              <w:ind w:firstLine="0"/>
              <w:jc w:val="center"/>
            </w:pPr>
            <w:r w:rsidRPr="0021550A">
              <w:t>Quire 1</w:t>
            </w:r>
          </w:p>
        </w:tc>
        <w:tc>
          <w:tcPr>
            <w:tcW w:w="2430" w:type="dxa"/>
            <w:vAlign w:val="center"/>
          </w:tcPr>
          <w:p w14:paraId="5933EDA7" w14:textId="77777777" w:rsidR="0014200A" w:rsidRPr="0021550A" w:rsidRDefault="0014200A" w:rsidP="0071249C">
            <w:pPr>
              <w:ind w:firstLine="0"/>
              <w:jc w:val="center"/>
            </w:pPr>
            <w:r w:rsidRPr="0021550A">
              <w:t>Quire 2</w:t>
            </w:r>
          </w:p>
        </w:tc>
      </w:tr>
      <w:tr w:rsidR="0014200A" w:rsidRPr="0021550A" w14:paraId="45732FEB" w14:textId="77777777" w:rsidTr="0071249C">
        <w:tc>
          <w:tcPr>
            <w:tcW w:w="1885" w:type="dxa"/>
            <w:vAlign w:val="center"/>
          </w:tcPr>
          <w:p w14:paraId="4B95AE3E" w14:textId="77777777" w:rsidR="0014200A" w:rsidRPr="00BB506F" w:rsidRDefault="0014200A" w:rsidP="0071249C">
            <w:pPr>
              <w:ind w:firstLine="0"/>
              <w:jc w:val="center"/>
              <w:rPr>
                <w:i/>
              </w:rPr>
            </w:pPr>
            <w:r w:rsidRPr="00BB506F">
              <w:rPr>
                <w:i/>
              </w:rPr>
              <w:t>them</w:t>
            </w:r>
          </w:p>
        </w:tc>
        <w:tc>
          <w:tcPr>
            <w:tcW w:w="2520" w:type="dxa"/>
            <w:vAlign w:val="center"/>
          </w:tcPr>
          <w:p w14:paraId="484A4D53" w14:textId="77777777" w:rsidR="0014200A" w:rsidRPr="0021550A" w:rsidRDefault="0014200A" w:rsidP="0071249C">
            <w:pPr>
              <w:ind w:firstLine="0"/>
              <w:jc w:val="center"/>
            </w:pPr>
            <w:r w:rsidRPr="0021550A">
              <w:t>10</w:t>
            </w:r>
          </w:p>
        </w:tc>
        <w:tc>
          <w:tcPr>
            <w:tcW w:w="2430" w:type="dxa"/>
            <w:vAlign w:val="center"/>
          </w:tcPr>
          <w:p w14:paraId="658549F5" w14:textId="77777777" w:rsidR="0014200A" w:rsidRPr="0021550A" w:rsidRDefault="0014200A" w:rsidP="0071249C">
            <w:pPr>
              <w:ind w:firstLine="0"/>
              <w:jc w:val="center"/>
            </w:pPr>
            <w:r w:rsidRPr="0021550A">
              <w:t>4</w:t>
            </w:r>
          </w:p>
        </w:tc>
      </w:tr>
      <w:tr w:rsidR="0014200A" w:rsidRPr="0021550A" w14:paraId="0ABAB054" w14:textId="77777777" w:rsidTr="0071249C">
        <w:tc>
          <w:tcPr>
            <w:tcW w:w="1885" w:type="dxa"/>
            <w:vAlign w:val="center"/>
          </w:tcPr>
          <w:p w14:paraId="6F022422" w14:textId="77777777" w:rsidR="0014200A" w:rsidRPr="00BB506F" w:rsidRDefault="0014200A" w:rsidP="0071249C">
            <w:pPr>
              <w:ind w:firstLine="0"/>
              <w:jc w:val="center"/>
              <w:rPr>
                <w:i/>
                <w:iCs/>
              </w:rPr>
            </w:pPr>
            <w:r w:rsidRPr="00BB506F">
              <w:rPr>
                <w:i/>
              </w:rPr>
              <w:t>hem</w:t>
            </w:r>
          </w:p>
        </w:tc>
        <w:tc>
          <w:tcPr>
            <w:tcW w:w="2520" w:type="dxa"/>
            <w:vAlign w:val="center"/>
          </w:tcPr>
          <w:p w14:paraId="40311D6B" w14:textId="77777777" w:rsidR="0014200A" w:rsidRPr="0021550A" w:rsidRDefault="0014200A" w:rsidP="0071249C">
            <w:pPr>
              <w:ind w:firstLine="0"/>
              <w:jc w:val="center"/>
            </w:pPr>
            <w:r w:rsidRPr="0021550A">
              <w:t>24</w:t>
            </w:r>
          </w:p>
        </w:tc>
        <w:tc>
          <w:tcPr>
            <w:tcW w:w="2430" w:type="dxa"/>
            <w:vAlign w:val="center"/>
          </w:tcPr>
          <w:p w14:paraId="37426F75" w14:textId="77777777" w:rsidR="0014200A" w:rsidRPr="0021550A" w:rsidRDefault="0014200A" w:rsidP="0071249C">
            <w:pPr>
              <w:ind w:firstLine="0"/>
              <w:jc w:val="center"/>
            </w:pPr>
            <w:r w:rsidRPr="0021550A">
              <w:t>17</w:t>
            </w:r>
          </w:p>
        </w:tc>
      </w:tr>
    </w:tbl>
    <w:p w14:paraId="370B2B4E" w14:textId="0D571CB6" w:rsidR="0014200A" w:rsidRPr="0021550A" w:rsidRDefault="00B85811" w:rsidP="000737CB">
      <w:pPr>
        <w:pStyle w:val="Caption"/>
      </w:pPr>
      <w:bookmarkStart w:id="90" w:name="_Toc499753471"/>
      <w:r>
        <w:t>Table 4.4:</w:t>
      </w:r>
      <w:r w:rsidR="0014200A" w:rsidRPr="0021550A">
        <w:t xml:space="preserve"> Frequencies of </w:t>
      </w:r>
      <w:r w:rsidR="0014200A" w:rsidRPr="0021550A">
        <w:rPr>
          <w:smallCaps/>
        </w:rPr>
        <w:t>them</w:t>
      </w:r>
      <w:r w:rsidR="0014200A" w:rsidRPr="0021550A">
        <w:t xml:space="preserve"> in two quires of the </w:t>
      </w:r>
      <w:r w:rsidR="0014200A" w:rsidRPr="0021550A">
        <w:rPr>
          <w:i/>
        </w:rPr>
        <w:t>Polychronicon</w:t>
      </w:r>
      <w:bookmarkEnd w:id="90"/>
    </w:p>
    <w:p w14:paraId="4289304B" w14:textId="77777777" w:rsidR="0014200A" w:rsidRPr="0021550A" w:rsidRDefault="0014200A" w:rsidP="000737CB">
      <w:r w:rsidRPr="0021550A">
        <w:tab/>
      </w:r>
    </w:p>
    <w:p w14:paraId="0E3E95CF" w14:textId="4F6BAB4F" w:rsidR="00C5013D" w:rsidRPr="000E3862" w:rsidRDefault="000E3862" w:rsidP="000737CB">
      <w:r>
        <w:t xml:space="preserve">The spellings of </w:t>
      </w:r>
      <w:r>
        <w:rPr>
          <w:i/>
        </w:rPr>
        <w:t>hem</w:t>
      </w:r>
      <w:r>
        <w:t xml:space="preserve"> and </w:t>
      </w:r>
      <w:r>
        <w:rPr>
          <w:i/>
        </w:rPr>
        <w:t>them</w:t>
      </w:r>
      <w:r>
        <w:t xml:space="preserve"> to represent the word </w:t>
      </w:r>
      <w:r>
        <w:rPr>
          <w:smallCaps/>
        </w:rPr>
        <w:t>them</w:t>
      </w:r>
      <w:r>
        <w:t xml:space="preserve"> </w:t>
      </w:r>
      <w:r w:rsidR="00C5013D">
        <w:t xml:space="preserve">are not straightforward however. </w:t>
      </w:r>
      <w:r w:rsidR="00C5013D" w:rsidRPr="00C5013D">
        <w:t xml:space="preserve">Samuels (1988 [1981]: 88) </w:t>
      </w:r>
      <w:r w:rsidR="00C5013D">
        <w:t>states that</w:t>
      </w:r>
      <w:r w:rsidR="00C5013D" w:rsidRPr="00C5013D">
        <w:t xml:space="preserve"> ‘in his earlier prints Caxton uses </w:t>
      </w:r>
      <w:r w:rsidR="00C5013D" w:rsidRPr="00326AAC">
        <w:rPr>
          <w:i/>
        </w:rPr>
        <w:t>them</w:t>
      </w:r>
      <w:r w:rsidR="00C5013D" w:rsidRPr="00C5013D">
        <w:t xml:space="preserve"> in stressed, </w:t>
      </w:r>
      <w:r w:rsidR="00C5013D" w:rsidRPr="00326AAC">
        <w:rPr>
          <w:i/>
        </w:rPr>
        <w:t>hem</w:t>
      </w:r>
      <w:r w:rsidR="00C5013D" w:rsidRPr="00C5013D">
        <w:t xml:space="preserve"> in unstressed positions’</w:t>
      </w:r>
      <w:r w:rsidR="00C5013D">
        <w:t xml:space="preserve">. In this case, the use of the spellings </w:t>
      </w:r>
      <w:r w:rsidR="00C5013D">
        <w:rPr>
          <w:i/>
        </w:rPr>
        <w:t>hem</w:t>
      </w:r>
      <w:r w:rsidR="00C5013D">
        <w:t xml:space="preserve"> and </w:t>
      </w:r>
      <w:r w:rsidR="00C5013D">
        <w:rPr>
          <w:i/>
        </w:rPr>
        <w:t>them</w:t>
      </w:r>
      <w:r w:rsidR="00C5013D">
        <w:t xml:space="preserve"> could represent the frequency of stressed vs unstressed occurrences of the word </w:t>
      </w:r>
      <w:r w:rsidR="00C5013D">
        <w:rPr>
          <w:smallCaps/>
        </w:rPr>
        <w:t>them</w:t>
      </w:r>
      <w:r w:rsidR="00C5013D">
        <w:t xml:space="preserve"> rather than represent any difference in the choice of spelling made by the compositor. </w:t>
      </w:r>
      <w:r w:rsidR="00B85811">
        <w:lastRenderedPageBreak/>
        <w:t>Table 4.5</w:t>
      </w:r>
      <w:r w:rsidR="00834E2A">
        <w:t xml:space="preserve"> provides an additional illustrative example in which the spelling variants </w:t>
      </w:r>
      <w:r w:rsidR="00043D3B">
        <w:rPr>
          <w:i/>
        </w:rPr>
        <w:t>in</w:t>
      </w:r>
      <w:r w:rsidR="00043D3B">
        <w:t xml:space="preserve"> and </w:t>
      </w:r>
      <w:r w:rsidR="00043D3B">
        <w:rPr>
          <w:i/>
        </w:rPr>
        <w:t>inne</w:t>
      </w:r>
      <w:r w:rsidR="00043D3B">
        <w:t xml:space="preserve"> used to represent the word </w:t>
      </w:r>
      <w:r w:rsidR="00043D3B">
        <w:rPr>
          <w:smallCaps/>
        </w:rPr>
        <w:t>in</w:t>
      </w:r>
      <w:r w:rsidR="00043D3B">
        <w:t xml:space="preserve"> </w:t>
      </w:r>
      <w:r w:rsidR="00834E2A">
        <w:t xml:space="preserve">are not known to differ in special circumstances. </w:t>
      </w:r>
    </w:p>
    <w:p w14:paraId="47E4BEF6" w14:textId="77777777" w:rsidR="00C5013D" w:rsidRPr="00C5013D" w:rsidRDefault="00C5013D" w:rsidP="00C5013D"/>
    <w:tbl>
      <w:tblPr>
        <w:tblStyle w:val="GridTable1Light1"/>
        <w:tblW w:w="0" w:type="auto"/>
        <w:tblLayout w:type="fixed"/>
        <w:tblLook w:val="0020" w:firstRow="1" w:lastRow="0" w:firstColumn="0" w:lastColumn="0" w:noHBand="0" w:noVBand="0"/>
      </w:tblPr>
      <w:tblGrid>
        <w:gridCol w:w="1885"/>
        <w:gridCol w:w="2520"/>
        <w:gridCol w:w="2430"/>
      </w:tblGrid>
      <w:tr w:rsidR="00C5013D" w:rsidRPr="00C5013D" w14:paraId="60C1204A" w14:textId="77777777" w:rsidTr="00C5013D">
        <w:trPr>
          <w:cnfStyle w:val="100000000000" w:firstRow="1" w:lastRow="0" w:firstColumn="0" w:lastColumn="0" w:oddVBand="0" w:evenVBand="0" w:oddHBand="0" w:evenHBand="0" w:firstRowFirstColumn="0" w:firstRowLastColumn="0" w:lastRowFirstColumn="0" w:lastRowLastColumn="0"/>
        </w:trPr>
        <w:tc>
          <w:tcPr>
            <w:tcW w:w="1885" w:type="dxa"/>
            <w:vAlign w:val="center"/>
          </w:tcPr>
          <w:p w14:paraId="2D7ECCF1" w14:textId="77777777" w:rsidR="00C5013D" w:rsidRPr="00C5013D" w:rsidRDefault="00C5013D" w:rsidP="00043D3B">
            <w:pPr>
              <w:jc w:val="center"/>
              <w:rPr>
                <w:rFonts w:eastAsiaTheme="minorHAnsi"/>
              </w:rPr>
            </w:pPr>
          </w:p>
        </w:tc>
        <w:tc>
          <w:tcPr>
            <w:tcW w:w="2520" w:type="dxa"/>
            <w:vAlign w:val="center"/>
          </w:tcPr>
          <w:p w14:paraId="748910C4" w14:textId="77777777" w:rsidR="00C5013D" w:rsidRPr="00C5013D" w:rsidRDefault="00C5013D" w:rsidP="00043D3B">
            <w:pPr>
              <w:ind w:firstLine="0"/>
              <w:jc w:val="center"/>
              <w:rPr>
                <w:rFonts w:eastAsiaTheme="minorHAnsi"/>
              </w:rPr>
            </w:pPr>
            <w:r w:rsidRPr="00C5013D">
              <w:rPr>
                <w:rFonts w:eastAsiaTheme="minorHAnsi"/>
              </w:rPr>
              <w:t>Quire 1</w:t>
            </w:r>
          </w:p>
        </w:tc>
        <w:tc>
          <w:tcPr>
            <w:tcW w:w="2430" w:type="dxa"/>
            <w:vAlign w:val="center"/>
          </w:tcPr>
          <w:p w14:paraId="49551987" w14:textId="77777777" w:rsidR="00C5013D" w:rsidRPr="00C5013D" w:rsidRDefault="00C5013D" w:rsidP="00043D3B">
            <w:pPr>
              <w:ind w:firstLine="0"/>
              <w:jc w:val="center"/>
              <w:rPr>
                <w:rFonts w:eastAsiaTheme="minorHAnsi"/>
              </w:rPr>
            </w:pPr>
            <w:r w:rsidRPr="00C5013D">
              <w:rPr>
                <w:rFonts w:eastAsiaTheme="minorHAnsi"/>
              </w:rPr>
              <w:t>Quire 2</w:t>
            </w:r>
          </w:p>
        </w:tc>
      </w:tr>
      <w:tr w:rsidR="00C5013D" w:rsidRPr="00C5013D" w14:paraId="62B89EEB" w14:textId="77777777" w:rsidTr="00C5013D">
        <w:tc>
          <w:tcPr>
            <w:tcW w:w="1885" w:type="dxa"/>
            <w:vAlign w:val="center"/>
          </w:tcPr>
          <w:p w14:paraId="6C00A553" w14:textId="0110985F" w:rsidR="00C5013D" w:rsidRPr="00C5013D" w:rsidRDefault="00C822A0" w:rsidP="00043D3B">
            <w:pPr>
              <w:ind w:firstLine="0"/>
              <w:jc w:val="center"/>
              <w:rPr>
                <w:rFonts w:eastAsiaTheme="minorHAnsi"/>
                <w:i/>
              </w:rPr>
            </w:pPr>
            <w:r>
              <w:rPr>
                <w:rFonts w:eastAsiaTheme="minorHAnsi"/>
                <w:i/>
              </w:rPr>
              <w:t>in</w:t>
            </w:r>
          </w:p>
        </w:tc>
        <w:tc>
          <w:tcPr>
            <w:tcW w:w="2520" w:type="dxa"/>
            <w:vAlign w:val="center"/>
          </w:tcPr>
          <w:p w14:paraId="6FD35750" w14:textId="13C68C69" w:rsidR="00C5013D" w:rsidRPr="00C5013D" w:rsidRDefault="00C822A0" w:rsidP="00043D3B">
            <w:pPr>
              <w:ind w:firstLine="0"/>
              <w:jc w:val="center"/>
              <w:rPr>
                <w:rFonts w:eastAsiaTheme="minorHAnsi"/>
              </w:rPr>
            </w:pPr>
            <w:r>
              <w:rPr>
                <w:rFonts w:eastAsiaTheme="minorHAnsi"/>
              </w:rPr>
              <w:t>179</w:t>
            </w:r>
          </w:p>
        </w:tc>
        <w:tc>
          <w:tcPr>
            <w:tcW w:w="2430" w:type="dxa"/>
            <w:vAlign w:val="center"/>
          </w:tcPr>
          <w:p w14:paraId="19C98323" w14:textId="38568A9D" w:rsidR="00C5013D" w:rsidRPr="00C5013D" w:rsidRDefault="00043D3B" w:rsidP="00043D3B">
            <w:pPr>
              <w:ind w:firstLine="0"/>
              <w:jc w:val="center"/>
              <w:rPr>
                <w:rFonts w:eastAsiaTheme="minorHAnsi"/>
              </w:rPr>
            </w:pPr>
            <w:r>
              <w:rPr>
                <w:rFonts w:eastAsiaTheme="minorHAnsi"/>
              </w:rPr>
              <w:t>198</w:t>
            </w:r>
          </w:p>
        </w:tc>
      </w:tr>
      <w:tr w:rsidR="00C5013D" w:rsidRPr="00C5013D" w14:paraId="5102FFB6" w14:textId="77777777" w:rsidTr="00C5013D">
        <w:tc>
          <w:tcPr>
            <w:tcW w:w="1885" w:type="dxa"/>
            <w:vAlign w:val="center"/>
          </w:tcPr>
          <w:p w14:paraId="5FB588F7" w14:textId="5CF42B92" w:rsidR="00C5013D" w:rsidRPr="00C5013D" w:rsidRDefault="00C822A0" w:rsidP="00043D3B">
            <w:pPr>
              <w:ind w:firstLine="0"/>
              <w:jc w:val="center"/>
              <w:rPr>
                <w:rFonts w:eastAsiaTheme="minorHAnsi"/>
                <w:i/>
                <w:iCs/>
              </w:rPr>
            </w:pPr>
            <w:r>
              <w:rPr>
                <w:rFonts w:eastAsiaTheme="minorHAnsi"/>
                <w:i/>
                <w:iCs/>
              </w:rPr>
              <w:t>inne</w:t>
            </w:r>
          </w:p>
        </w:tc>
        <w:tc>
          <w:tcPr>
            <w:tcW w:w="2520" w:type="dxa"/>
            <w:vAlign w:val="center"/>
          </w:tcPr>
          <w:p w14:paraId="525465A3" w14:textId="1E38686B" w:rsidR="00C5013D" w:rsidRPr="00C5013D" w:rsidRDefault="00C822A0" w:rsidP="00043D3B">
            <w:pPr>
              <w:ind w:firstLine="0"/>
              <w:jc w:val="center"/>
              <w:rPr>
                <w:rFonts w:eastAsiaTheme="minorHAnsi"/>
              </w:rPr>
            </w:pPr>
            <w:r>
              <w:rPr>
                <w:rFonts w:eastAsiaTheme="minorHAnsi"/>
              </w:rPr>
              <w:t>1</w:t>
            </w:r>
          </w:p>
        </w:tc>
        <w:tc>
          <w:tcPr>
            <w:tcW w:w="2430" w:type="dxa"/>
            <w:vAlign w:val="center"/>
          </w:tcPr>
          <w:p w14:paraId="0ACC0C5D" w14:textId="6B1083EC" w:rsidR="00C5013D" w:rsidRPr="00C5013D" w:rsidRDefault="00043D3B" w:rsidP="00043D3B">
            <w:pPr>
              <w:ind w:firstLine="0"/>
              <w:jc w:val="center"/>
              <w:rPr>
                <w:rFonts w:eastAsiaTheme="minorHAnsi"/>
              </w:rPr>
            </w:pPr>
            <w:r>
              <w:rPr>
                <w:rFonts w:eastAsiaTheme="minorHAnsi"/>
              </w:rPr>
              <w:t>8</w:t>
            </w:r>
          </w:p>
        </w:tc>
      </w:tr>
    </w:tbl>
    <w:p w14:paraId="314B1D65" w14:textId="062DA4AB" w:rsidR="000E3862" w:rsidRDefault="00B85811" w:rsidP="00326AAC">
      <w:pPr>
        <w:pStyle w:val="Caption"/>
      </w:pPr>
      <w:r>
        <w:t>Table 4.5:</w:t>
      </w:r>
      <w:r w:rsidR="00C5013D">
        <w:t xml:space="preserve"> </w:t>
      </w:r>
      <w:r w:rsidR="00C5013D" w:rsidRPr="003812E7">
        <w:t xml:space="preserve">Frequencies of </w:t>
      </w:r>
      <w:r w:rsidR="00C822A0">
        <w:rPr>
          <w:smallCaps/>
        </w:rPr>
        <w:t>in</w:t>
      </w:r>
      <w:r w:rsidR="00C5013D" w:rsidRPr="003812E7">
        <w:t xml:space="preserve"> in two quires of the </w:t>
      </w:r>
      <w:r w:rsidR="00C5013D" w:rsidRPr="00326AAC">
        <w:rPr>
          <w:i/>
        </w:rPr>
        <w:t>Polychronicon</w:t>
      </w:r>
    </w:p>
    <w:p w14:paraId="5F4F00E8" w14:textId="77777777" w:rsidR="00C5013D" w:rsidRDefault="00C5013D" w:rsidP="000737CB"/>
    <w:p w14:paraId="59711C84" w14:textId="39127295" w:rsidR="001F1A3D" w:rsidRDefault="001F1A3D" w:rsidP="000737CB">
      <w:r>
        <w:t xml:space="preserve">Once the </w:t>
      </w:r>
      <w:r w:rsidR="008643A4">
        <w:t>frequencies of each spelling variant were transferred into tables in .csv file format, I used R for analysis of the data. R is both a programming language and a programming environmen</w:t>
      </w:r>
      <w:r w:rsidR="00D265C9">
        <w:t xml:space="preserve">t </w:t>
      </w:r>
      <w:r w:rsidR="001F152D">
        <w:t xml:space="preserve">developed mainly for use with statistical analysis and modelling. I used R for this research because of the </w:t>
      </w:r>
      <w:r w:rsidR="001D2A74">
        <w:t xml:space="preserve">high degree of flexibility built into the language that enabled me to </w:t>
      </w:r>
      <w:r w:rsidR="00A34D74">
        <w:t>write code that would automate the processes of data preparation required for this study.</w:t>
      </w:r>
    </w:p>
    <w:p w14:paraId="240E88BC" w14:textId="61F51A94" w:rsidR="0014200A" w:rsidRPr="0021550A" w:rsidRDefault="0014200A" w:rsidP="000737CB">
      <w:r w:rsidRPr="0021550A">
        <w:t>The payoff from simplifying the data to a bag-of-words model is the possibility of assessing the broad similarities between quires. Without losing the syntactic data it is not possible to look at all spe</w:t>
      </w:r>
      <w:r w:rsidR="0071249C">
        <w:t xml:space="preserve">lling variants simultaneously. </w:t>
      </w:r>
      <w:r w:rsidRPr="0021550A">
        <w:t xml:space="preserve">If we extended </w:t>
      </w:r>
      <w:r w:rsidR="00B85811">
        <w:t>Table 4.5</w:t>
      </w:r>
      <w:r w:rsidRPr="0021550A">
        <w:t xml:space="preserve"> to include all the spelling variants that are used in all the quires in the text, we could cluster the quires based on the similarity of spelling variants in the text. The problem with using frequency as a comparison of spelling variants is that different quires contain different frequencies of any given word. Using raw frequencies as a comparison is unlikely to be suitable for this data. In addition, by using raw frequencies a comparison is made between individual spelling variants and does not consider the structure of the data as including many words, where each word maps onto a series of spelling variants. This next section describes how the analysis has been designed to include this information and to model the structure of spelling variants. </w:t>
      </w:r>
    </w:p>
    <w:p w14:paraId="5CA065D1" w14:textId="77777777" w:rsidR="0014200A" w:rsidRPr="0021550A" w:rsidRDefault="0014200A" w:rsidP="000737CB"/>
    <w:p w14:paraId="106EF4BF" w14:textId="77777777" w:rsidR="0014200A" w:rsidRPr="0021550A" w:rsidRDefault="0014200A" w:rsidP="000737CB">
      <w:pPr>
        <w:pStyle w:val="Heading3"/>
      </w:pPr>
      <w:r w:rsidRPr="0021550A">
        <w:t>Modelling the structure of spelling variants</w:t>
      </w:r>
    </w:p>
    <w:p w14:paraId="0BAFF37F" w14:textId="6E097B4A" w:rsidR="0014200A" w:rsidRPr="0021550A" w:rsidRDefault="0014200A" w:rsidP="000737CB">
      <w:r w:rsidRPr="0021550A">
        <w:t>Up until now, the examples that I have used have used the frequencies of spelling variants to show how compositors might differ in their use of language, but frequencies are not the best way to distinguish between spelling variants. Sometimes the total number of words used in two distinct quires might be very similar, but the frequencies of individual words might be dissimilar.</w:t>
      </w:r>
      <w:r w:rsidR="00B85811">
        <w:t xml:space="preserve"> Table 4.6</w:t>
      </w:r>
      <w:r w:rsidRPr="0021550A">
        <w:t xml:space="preserve"> shows the spelling variants for the words </w:t>
      </w:r>
      <w:r w:rsidRPr="0021550A">
        <w:rPr>
          <w:smallCaps/>
        </w:rPr>
        <w:t>there, I</w:t>
      </w:r>
      <w:r w:rsidRPr="0021550A">
        <w:t xml:space="preserve">, and </w:t>
      </w:r>
      <w:r w:rsidRPr="0021550A">
        <w:rPr>
          <w:smallCaps/>
        </w:rPr>
        <w:t>not</w:t>
      </w:r>
      <w:r w:rsidRPr="0021550A">
        <w:t xml:space="preserve"> used by the </w:t>
      </w:r>
      <w:r w:rsidR="0071249C">
        <w:t>one of the</w:t>
      </w:r>
      <w:r w:rsidRPr="0021550A">
        <w:t xml:space="preserve"> compositors who set Caxton’s first edition of the </w:t>
      </w:r>
      <w:r w:rsidRPr="0021550A">
        <w:rPr>
          <w:i/>
          <w:iCs/>
        </w:rPr>
        <w:t>Canterbury Tales</w:t>
      </w:r>
      <w:r w:rsidRPr="0021550A">
        <w:t xml:space="preserve">. </w:t>
      </w:r>
    </w:p>
    <w:p w14:paraId="15CA08D1" w14:textId="77777777" w:rsidR="0014200A" w:rsidRPr="0021550A" w:rsidRDefault="0014200A" w:rsidP="000737CB"/>
    <w:tbl>
      <w:tblPr>
        <w:tblStyle w:val="GridTable1Light1"/>
        <w:tblW w:w="0" w:type="auto"/>
        <w:tblInd w:w="-113" w:type="dxa"/>
        <w:tblLayout w:type="fixed"/>
        <w:tblLook w:val="0020" w:firstRow="1" w:lastRow="0" w:firstColumn="0" w:lastColumn="0" w:noHBand="0" w:noVBand="0"/>
      </w:tblPr>
      <w:tblGrid>
        <w:gridCol w:w="1975"/>
        <w:gridCol w:w="2250"/>
        <w:gridCol w:w="2160"/>
      </w:tblGrid>
      <w:tr w:rsidR="0014200A" w:rsidRPr="0021550A" w14:paraId="06393C33" w14:textId="77777777" w:rsidTr="00FA23AA">
        <w:trPr>
          <w:cnfStyle w:val="100000000000" w:firstRow="1" w:lastRow="0" w:firstColumn="0" w:lastColumn="0" w:oddVBand="0" w:evenVBand="0" w:oddHBand="0" w:evenHBand="0" w:firstRowFirstColumn="0" w:firstRowLastColumn="0" w:lastRowFirstColumn="0" w:lastRowLastColumn="0"/>
          <w:cantSplit/>
          <w:trHeight w:val="288"/>
        </w:trPr>
        <w:tc>
          <w:tcPr>
            <w:tcW w:w="1975" w:type="dxa"/>
            <w:vAlign w:val="center"/>
          </w:tcPr>
          <w:p w14:paraId="02C0ECE2" w14:textId="77777777" w:rsidR="0014200A" w:rsidRPr="0021550A" w:rsidRDefault="0014200A" w:rsidP="000737CB"/>
        </w:tc>
        <w:tc>
          <w:tcPr>
            <w:tcW w:w="2250" w:type="dxa"/>
            <w:vAlign w:val="center"/>
          </w:tcPr>
          <w:p w14:paraId="3E4C3AFF" w14:textId="77777777" w:rsidR="0014200A" w:rsidRPr="0021550A" w:rsidRDefault="0014200A" w:rsidP="00FA23AA">
            <w:pPr>
              <w:ind w:firstLine="0"/>
              <w:jc w:val="center"/>
            </w:pPr>
            <w:r w:rsidRPr="0021550A">
              <w:t>Quire a</w:t>
            </w:r>
          </w:p>
        </w:tc>
        <w:tc>
          <w:tcPr>
            <w:tcW w:w="2160" w:type="dxa"/>
            <w:vAlign w:val="center"/>
          </w:tcPr>
          <w:p w14:paraId="0D801884" w14:textId="77777777" w:rsidR="0014200A" w:rsidRPr="0021550A" w:rsidRDefault="0014200A" w:rsidP="00FA23AA">
            <w:r w:rsidRPr="0021550A">
              <w:t>Quire s</w:t>
            </w:r>
          </w:p>
        </w:tc>
      </w:tr>
      <w:tr w:rsidR="0014200A" w:rsidRPr="0021550A" w14:paraId="34FAFBAD" w14:textId="77777777" w:rsidTr="0071249C">
        <w:trPr>
          <w:cantSplit/>
          <w:trHeight w:val="288"/>
        </w:trPr>
        <w:tc>
          <w:tcPr>
            <w:tcW w:w="1975" w:type="dxa"/>
            <w:shd w:val="clear" w:color="auto" w:fill="FFF2CC" w:themeFill="accent4" w:themeFillTint="33"/>
            <w:vAlign w:val="center"/>
          </w:tcPr>
          <w:p w14:paraId="5CC72580" w14:textId="77777777" w:rsidR="0014200A" w:rsidRPr="001D1C0B" w:rsidRDefault="0014200A" w:rsidP="00FA23AA">
            <w:pPr>
              <w:ind w:firstLine="84"/>
              <w:jc w:val="center"/>
              <w:rPr>
                <w:i/>
              </w:rPr>
            </w:pPr>
            <w:r w:rsidRPr="001D1C0B">
              <w:rPr>
                <w:i/>
              </w:rPr>
              <w:t>ther</w:t>
            </w:r>
          </w:p>
        </w:tc>
        <w:tc>
          <w:tcPr>
            <w:tcW w:w="2250" w:type="dxa"/>
            <w:shd w:val="clear" w:color="auto" w:fill="FFF2CC" w:themeFill="accent4" w:themeFillTint="33"/>
            <w:vAlign w:val="center"/>
          </w:tcPr>
          <w:p w14:paraId="5EF68972" w14:textId="77777777" w:rsidR="0014200A" w:rsidRPr="0021550A" w:rsidRDefault="0014200A" w:rsidP="00FA23AA">
            <w:pPr>
              <w:ind w:firstLine="5"/>
              <w:jc w:val="center"/>
            </w:pPr>
            <w:r w:rsidRPr="0021550A">
              <w:t>16</w:t>
            </w:r>
          </w:p>
        </w:tc>
        <w:tc>
          <w:tcPr>
            <w:tcW w:w="2160" w:type="dxa"/>
            <w:shd w:val="clear" w:color="auto" w:fill="FFF2CC" w:themeFill="accent4" w:themeFillTint="33"/>
            <w:vAlign w:val="center"/>
          </w:tcPr>
          <w:p w14:paraId="3303D479" w14:textId="77777777" w:rsidR="0014200A" w:rsidRPr="0021550A" w:rsidRDefault="0014200A" w:rsidP="00FA23AA">
            <w:pPr>
              <w:ind w:firstLine="2"/>
              <w:jc w:val="center"/>
            </w:pPr>
            <w:r w:rsidRPr="0021550A">
              <w:t>5</w:t>
            </w:r>
          </w:p>
        </w:tc>
      </w:tr>
      <w:tr w:rsidR="0014200A" w:rsidRPr="0021550A" w14:paraId="711BF2F2" w14:textId="77777777" w:rsidTr="00FA23AA">
        <w:trPr>
          <w:cantSplit/>
          <w:trHeight w:val="288"/>
        </w:trPr>
        <w:tc>
          <w:tcPr>
            <w:tcW w:w="1975" w:type="dxa"/>
            <w:tcBorders>
              <w:bottom w:val="single" w:sz="6" w:space="0" w:color="auto"/>
            </w:tcBorders>
            <w:vAlign w:val="center"/>
          </w:tcPr>
          <w:p w14:paraId="1B95EDE6" w14:textId="77777777" w:rsidR="0014200A" w:rsidRPr="001D1C0B" w:rsidRDefault="0014200A" w:rsidP="00FA23AA">
            <w:pPr>
              <w:ind w:firstLine="84"/>
              <w:jc w:val="center"/>
              <w:rPr>
                <w:i/>
              </w:rPr>
            </w:pPr>
            <w:r w:rsidRPr="001D1C0B">
              <w:rPr>
                <w:i/>
              </w:rPr>
              <w:t>there</w:t>
            </w:r>
          </w:p>
        </w:tc>
        <w:tc>
          <w:tcPr>
            <w:tcW w:w="2250" w:type="dxa"/>
            <w:tcBorders>
              <w:bottom w:val="single" w:sz="6" w:space="0" w:color="auto"/>
            </w:tcBorders>
            <w:vAlign w:val="center"/>
          </w:tcPr>
          <w:p w14:paraId="61D4400F" w14:textId="77777777" w:rsidR="0014200A" w:rsidRPr="0021550A" w:rsidRDefault="0014200A" w:rsidP="00FA23AA">
            <w:pPr>
              <w:ind w:firstLine="5"/>
              <w:jc w:val="center"/>
            </w:pPr>
            <w:r w:rsidRPr="0021550A">
              <w:t>8</w:t>
            </w:r>
          </w:p>
        </w:tc>
        <w:tc>
          <w:tcPr>
            <w:tcW w:w="2160" w:type="dxa"/>
            <w:tcBorders>
              <w:bottom w:val="single" w:sz="6" w:space="0" w:color="auto"/>
            </w:tcBorders>
            <w:vAlign w:val="center"/>
          </w:tcPr>
          <w:p w14:paraId="26AA5F6F" w14:textId="77777777" w:rsidR="0014200A" w:rsidRPr="0021550A" w:rsidRDefault="0014200A" w:rsidP="00FA23AA">
            <w:pPr>
              <w:ind w:firstLine="2"/>
              <w:jc w:val="center"/>
            </w:pPr>
            <w:r w:rsidRPr="0021550A">
              <w:t>3</w:t>
            </w:r>
          </w:p>
        </w:tc>
      </w:tr>
      <w:tr w:rsidR="0014200A" w:rsidRPr="0021550A" w14:paraId="5BF6CEBB" w14:textId="77777777" w:rsidTr="00FA23AA">
        <w:trPr>
          <w:cantSplit/>
          <w:trHeight w:val="288"/>
        </w:trPr>
        <w:tc>
          <w:tcPr>
            <w:tcW w:w="1975" w:type="dxa"/>
            <w:tcBorders>
              <w:top w:val="single" w:sz="6" w:space="0" w:color="auto"/>
            </w:tcBorders>
            <w:vAlign w:val="center"/>
          </w:tcPr>
          <w:p w14:paraId="58443502" w14:textId="77777777" w:rsidR="0014200A" w:rsidRPr="001D1C0B" w:rsidRDefault="0014200A" w:rsidP="00FA23AA">
            <w:pPr>
              <w:ind w:firstLine="84"/>
              <w:jc w:val="center"/>
              <w:rPr>
                <w:i/>
              </w:rPr>
            </w:pPr>
            <w:r w:rsidRPr="001D1C0B">
              <w:rPr>
                <w:i/>
              </w:rPr>
              <w:t>y</w:t>
            </w:r>
          </w:p>
        </w:tc>
        <w:tc>
          <w:tcPr>
            <w:tcW w:w="2250" w:type="dxa"/>
            <w:tcBorders>
              <w:top w:val="single" w:sz="6" w:space="0" w:color="auto"/>
            </w:tcBorders>
            <w:vAlign w:val="center"/>
          </w:tcPr>
          <w:p w14:paraId="4BB27ABF" w14:textId="77777777" w:rsidR="0014200A" w:rsidRPr="0021550A" w:rsidRDefault="0014200A" w:rsidP="00FA23AA">
            <w:pPr>
              <w:ind w:firstLine="5"/>
              <w:jc w:val="center"/>
            </w:pPr>
            <w:r w:rsidRPr="0021550A">
              <w:t>4</w:t>
            </w:r>
          </w:p>
        </w:tc>
        <w:tc>
          <w:tcPr>
            <w:tcW w:w="2160" w:type="dxa"/>
            <w:tcBorders>
              <w:top w:val="single" w:sz="6" w:space="0" w:color="auto"/>
            </w:tcBorders>
            <w:vAlign w:val="center"/>
          </w:tcPr>
          <w:p w14:paraId="191BD63E" w14:textId="77777777" w:rsidR="0014200A" w:rsidRPr="0021550A" w:rsidRDefault="0014200A" w:rsidP="00FA23AA">
            <w:pPr>
              <w:ind w:firstLine="2"/>
              <w:jc w:val="center"/>
            </w:pPr>
            <w:r w:rsidRPr="0021550A">
              <w:t>8</w:t>
            </w:r>
          </w:p>
        </w:tc>
      </w:tr>
      <w:tr w:rsidR="0014200A" w:rsidRPr="0021550A" w14:paraId="737A1CF2" w14:textId="77777777" w:rsidTr="0071249C">
        <w:trPr>
          <w:cantSplit/>
          <w:trHeight w:val="288"/>
        </w:trPr>
        <w:tc>
          <w:tcPr>
            <w:tcW w:w="1975" w:type="dxa"/>
            <w:shd w:val="clear" w:color="auto" w:fill="FFF2CC" w:themeFill="accent4" w:themeFillTint="33"/>
            <w:vAlign w:val="center"/>
          </w:tcPr>
          <w:p w14:paraId="2665BD58" w14:textId="77777777" w:rsidR="0014200A" w:rsidRPr="001D1C0B" w:rsidRDefault="0014200A" w:rsidP="00FA23AA">
            <w:pPr>
              <w:ind w:firstLine="84"/>
              <w:jc w:val="center"/>
              <w:rPr>
                <w:i/>
              </w:rPr>
            </w:pPr>
            <w:r w:rsidRPr="001D1C0B">
              <w:rPr>
                <w:i/>
              </w:rPr>
              <w:t>i</w:t>
            </w:r>
          </w:p>
        </w:tc>
        <w:tc>
          <w:tcPr>
            <w:tcW w:w="2250" w:type="dxa"/>
            <w:shd w:val="clear" w:color="auto" w:fill="FFF2CC" w:themeFill="accent4" w:themeFillTint="33"/>
            <w:vAlign w:val="center"/>
          </w:tcPr>
          <w:p w14:paraId="281D918B" w14:textId="77777777" w:rsidR="0014200A" w:rsidRPr="0021550A" w:rsidRDefault="0014200A" w:rsidP="00FA23AA">
            <w:pPr>
              <w:ind w:firstLine="5"/>
              <w:jc w:val="center"/>
            </w:pPr>
            <w:r w:rsidRPr="0021550A">
              <w:t>23</w:t>
            </w:r>
          </w:p>
        </w:tc>
        <w:tc>
          <w:tcPr>
            <w:tcW w:w="2160" w:type="dxa"/>
            <w:shd w:val="clear" w:color="auto" w:fill="FFF2CC" w:themeFill="accent4" w:themeFillTint="33"/>
            <w:vAlign w:val="center"/>
          </w:tcPr>
          <w:p w14:paraId="11653A4B" w14:textId="77777777" w:rsidR="0014200A" w:rsidRPr="0021550A" w:rsidRDefault="0014200A" w:rsidP="00FA23AA">
            <w:pPr>
              <w:ind w:firstLine="2"/>
              <w:jc w:val="center"/>
            </w:pPr>
            <w:r w:rsidRPr="0021550A">
              <w:t>130</w:t>
            </w:r>
          </w:p>
        </w:tc>
      </w:tr>
      <w:tr w:rsidR="0014200A" w:rsidRPr="0021550A" w14:paraId="198F6A09" w14:textId="77777777" w:rsidTr="0071249C">
        <w:trPr>
          <w:cantSplit/>
          <w:trHeight w:val="408"/>
        </w:trPr>
        <w:tc>
          <w:tcPr>
            <w:tcW w:w="1975" w:type="dxa"/>
            <w:tcBorders>
              <w:top w:val="single" w:sz="6" w:space="0" w:color="auto"/>
            </w:tcBorders>
            <w:shd w:val="clear" w:color="auto" w:fill="FFF2CC" w:themeFill="accent4" w:themeFillTint="33"/>
            <w:vAlign w:val="center"/>
          </w:tcPr>
          <w:p w14:paraId="2EB5579E" w14:textId="77777777" w:rsidR="0014200A" w:rsidRPr="001D1C0B" w:rsidRDefault="0014200A" w:rsidP="00FA23AA">
            <w:pPr>
              <w:ind w:firstLine="84"/>
              <w:jc w:val="center"/>
              <w:rPr>
                <w:i/>
              </w:rPr>
            </w:pPr>
            <w:r w:rsidRPr="001D1C0B">
              <w:rPr>
                <w:i/>
              </w:rPr>
              <w:t>not</w:t>
            </w:r>
          </w:p>
        </w:tc>
        <w:tc>
          <w:tcPr>
            <w:tcW w:w="2250" w:type="dxa"/>
            <w:tcBorders>
              <w:top w:val="single" w:sz="6" w:space="0" w:color="auto"/>
            </w:tcBorders>
            <w:shd w:val="clear" w:color="auto" w:fill="FFF2CC" w:themeFill="accent4" w:themeFillTint="33"/>
            <w:vAlign w:val="center"/>
          </w:tcPr>
          <w:p w14:paraId="7DEF0ADB" w14:textId="77777777" w:rsidR="0014200A" w:rsidRPr="0021550A" w:rsidRDefault="0014200A" w:rsidP="00FA23AA">
            <w:pPr>
              <w:ind w:firstLine="5"/>
              <w:jc w:val="center"/>
            </w:pPr>
            <w:r w:rsidRPr="0021550A">
              <w:t>18</w:t>
            </w:r>
          </w:p>
        </w:tc>
        <w:tc>
          <w:tcPr>
            <w:tcW w:w="2160" w:type="dxa"/>
            <w:tcBorders>
              <w:top w:val="single" w:sz="6" w:space="0" w:color="auto"/>
            </w:tcBorders>
            <w:shd w:val="clear" w:color="auto" w:fill="FFF2CC" w:themeFill="accent4" w:themeFillTint="33"/>
            <w:vAlign w:val="center"/>
          </w:tcPr>
          <w:p w14:paraId="5680782E" w14:textId="77777777" w:rsidR="0014200A" w:rsidRPr="0021550A" w:rsidRDefault="0014200A" w:rsidP="00FA23AA">
            <w:pPr>
              <w:ind w:firstLine="2"/>
              <w:jc w:val="center"/>
            </w:pPr>
            <w:r w:rsidRPr="0021550A">
              <w:t>24</w:t>
            </w:r>
          </w:p>
        </w:tc>
      </w:tr>
      <w:tr w:rsidR="0014200A" w:rsidRPr="0021550A" w14:paraId="35A76EC0" w14:textId="77777777" w:rsidTr="00FA23AA">
        <w:trPr>
          <w:cantSplit/>
          <w:trHeight w:val="288"/>
        </w:trPr>
        <w:tc>
          <w:tcPr>
            <w:tcW w:w="1975" w:type="dxa"/>
            <w:vAlign w:val="center"/>
          </w:tcPr>
          <w:p w14:paraId="2DE38F45" w14:textId="77777777" w:rsidR="0014200A" w:rsidRPr="001D1C0B" w:rsidRDefault="0014200A" w:rsidP="00FA23AA">
            <w:pPr>
              <w:ind w:firstLine="84"/>
              <w:jc w:val="center"/>
              <w:rPr>
                <w:i/>
              </w:rPr>
            </w:pPr>
            <w:r w:rsidRPr="001D1C0B">
              <w:rPr>
                <w:i/>
              </w:rPr>
              <w:t>nat</w:t>
            </w:r>
          </w:p>
        </w:tc>
        <w:tc>
          <w:tcPr>
            <w:tcW w:w="2250" w:type="dxa"/>
            <w:vAlign w:val="center"/>
          </w:tcPr>
          <w:p w14:paraId="0DFC2628" w14:textId="77777777" w:rsidR="0014200A" w:rsidRPr="0021550A" w:rsidRDefault="0014200A" w:rsidP="00FA23AA">
            <w:pPr>
              <w:ind w:firstLine="5"/>
              <w:jc w:val="center"/>
            </w:pPr>
            <w:r w:rsidRPr="0021550A">
              <w:t>0</w:t>
            </w:r>
          </w:p>
        </w:tc>
        <w:tc>
          <w:tcPr>
            <w:tcW w:w="2160" w:type="dxa"/>
            <w:vAlign w:val="center"/>
          </w:tcPr>
          <w:p w14:paraId="1D508913" w14:textId="77777777" w:rsidR="0014200A" w:rsidRPr="0021550A" w:rsidRDefault="0014200A" w:rsidP="00FA23AA">
            <w:pPr>
              <w:ind w:firstLine="2"/>
              <w:jc w:val="center"/>
            </w:pPr>
            <w:r w:rsidRPr="0021550A">
              <w:t>3</w:t>
            </w:r>
          </w:p>
        </w:tc>
      </w:tr>
    </w:tbl>
    <w:p w14:paraId="73509536" w14:textId="05389947" w:rsidR="0014200A" w:rsidRPr="0021550A" w:rsidRDefault="00B85811" w:rsidP="000737CB">
      <w:pPr>
        <w:pStyle w:val="Caption"/>
      </w:pPr>
      <w:bookmarkStart w:id="91" w:name="_Toc499753472"/>
      <w:r>
        <w:t>Table 4.6:</w:t>
      </w:r>
      <w:r w:rsidR="0014200A" w:rsidRPr="0021550A">
        <w:t xml:space="preserve"> Frequency of </w:t>
      </w:r>
      <w:r w:rsidR="0014200A" w:rsidRPr="0021550A">
        <w:rPr>
          <w:smallCaps/>
        </w:rPr>
        <w:t>there</w:t>
      </w:r>
      <w:r w:rsidR="0014200A" w:rsidRPr="0021550A">
        <w:t xml:space="preserve">, </w:t>
      </w:r>
      <w:r w:rsidR="0014200A" w:rsidRPr="0021550A">
        <w:rPr>
          <w:smallCaps/>
        </w:rPr>
        <w:t>I</w:t>
      </w:r>
      <w:r w:rsidR="0014200A" w:rsidRPr="0021550A">
        <w:t xml:space="preserve"> and </w:t>
      </w:r>
      <w:r w:rsidR="0014200A" w:rsidRPr="0021550A">
        <w:rPr>
          <w:smallCaps/>
        </w:rPr>
        <w:t>not</w:t>
      </w:r>
      <w:r w:rsidR="0014200A" w:rsidRPr="0021550A">
        <w:t xml:space="preserve"> in Caxton's </w:t>
      </w:r>
      <w:r w:rsidR="0014200A" w:rsidRPr="0021550A">
        <w:rPr>
          <w:i/>
        </w:rPr>
        <w:t>Canterbury Tales</w:t>
      </w:r>
      <w:r w:rsidR="00004D21">
        <w:t>, 1</w:t>
      </w:r>
      <w:r w:rsidR="00004D21" w:rsidRPr="00004D21">
        <w:rPr>
          <w:vertAlign w:val="superscript"/>
        </w:rPr>
        <w:t>st</w:t>
      </w:r>
      <w:r w:rsidR="00004D21">
        <w:t xml:space="preserve"> edn.</w:t>
      </w:r>
      <w:bookmarkEnd w:id="91"/>
    </w:p>
    <w:p w14:paraId="7579342C" w14:textId="77777777" w:rsidR="0014200A" w:rsidRPr="0021550A" w:rsidRDefault="0014200A" w:rsidP="000737CB"/>
    <w:p w14:paraId="45D36A0E" w14:textId="781DE556" w:rsidR="0014200A" w:rsidRPr="0021550A" w:rsidRDefault="0014200A" w:rsidP="000737CB">
      <w:r w:rsidRPr="0021550A">
        <w:t xml:space="preserve">In </w:t>
      </w:r>
      <w:r w:rsidR="00B85811">
        <w:t>Table 4.6,</w:t>
      </w:r>
      <w:r w:rsidRPr="0021550A">
        <w:t xml:space="preserve"> the </w:t>
      </w:r>
      <w:r w:rsidR="00940617">
        <w:t>word</w:t>
      </w:r>
      <w:r w:rsidR="00940617" w:rsidRPr="0021550A">
        <w:t xml:space="preserve"> </w:t>
      </w:r>
      <w:r w:rsidRPr="0021550A">
        <w:rPr>
          <w:smallCaps/>
        </w:rPr>
        <w:t xml:space="preserve">there </w:t>
      </w:r>
      <w:r w:rsidRPr="0021550A">
        <w:t xml:space="preserve">is used more frequently in Quire a than Quire s, and in Quire s the words </w:t>
      </w:r>
      <w:r w:rsidRPr="0021550A">
        <w:rPr>
          <w:smallCaps/>
        </w:rPr>
        <w:t>I</w:t>
      </w:r>
      <w:r w:rsidRPr="0021550A">
        <w:t xml:space="preserve"> and </w:t>
      </w:r>
      <w:r w:rsidRPr="0021550A">
        <w:rPr>
          <w:smallCaps/>
        </w:rPr>
        <w:t>not</w:t>
      </w:r>
      <w:r w:rsidRPr="0021550A">
        <w:t xml:space="preserve"> are used with greater frequency than in Quire a. As the data stands, the clustering algorithm will look across the whole table and assess the similarity of the spellings used in each quire, but that is not the best approach for the spelling variant data used in this study. We want the clustering algorithm to look at the spelling variants that were used for each word, and in doing so, to take account of the </w:t>
      </w:r>
      <w:r w:rsidR="00D41E3B">
        <w:t>relationship between spelling data and the words that spellings are used to represent</w:t>
      </w:r>
      <w:r w:rsidRPr="0021550A">
        <w:t xml:space="preserve">. </w:t>
      </w:r>
    </w:p>
    <w:p w14:paraId="5A986E7B" w14:textId="77777777" w:rsidR="0014200A" w:rsidRPr="0021550A" w:rsidRDefault="0014200A" w:rsidP="000737CB"/>
    <w:p w14:paraId="24D344E5" w14:textId="252E159D" w:rsidR="0014200A" w:rsidRPr="0021550A" w:rsidRDefault="0014200A" w:rsidP="000737CB">
      <w:pPr>
        <w:pStyle w:val="Heading3"/>
      </w:pPr>
      <w:bookmarkStart w:id="92" w:name="_Ref497743854"/>
      <w:r w:rsidRPr="0021550A">
        <w:t xml:space="preserve">Creating a </w:t>
      </w:r>
      <w:bookmarkEnd w:id="92"/>
      <w:r w:rsidR="00D41E3B">
        <w:t>relationship between spellings and words</w:t>
      </w:r>
    </w:p>
    <w:p w14:paraId="5806C15C" w14:textId="2DF405C3" w:rsidR="0014200A" w:rsidRPr="0021550A" w:rsidRDefault="0014200A" w:rsidP="000737CB">
      <w:r w:rsidRPr="0021550A">
        <w:t xml:space="preserve">Spelling variants are the written realisations of an abstract word. For example, in Quire a and Quire s of the </w:t>
      </w:r>
      <w:r w:rsidRPr="0021550A">
        <w:rPr>
          <w:i/>
        </w:rPr>
        <w:t>Canterbury Tales</w:t>
      </w:r>
      <w:r w:rsidRPr="0021550A">
        <w:t xml:space="preserve"> the word </w:t>
      </w:r>
      <w:r w:rsidRPr="0021550A">
        <w:rPr>
          <w:smallCaps/>
        </w:rPr>
        <w:t>her</w:t>
      </w:r>
      <w:r w:rsidRPr="0021550A">
        <w:t xml:space="preserve"> is realised as one of three spelling variants: </w:t>
      </w:r>
      <w:r w:rsidRPr="0021550A">
        <w:rPr>
          <w:i/>
          <w:iCs/>
        </w:rPr>
        <w:t>her, hir</w:t>
      </w:r>
      <w:r w:rsidRPr="0021550A">
        <w:rPr>
          <w:iCs/>
        </w:rPr>
        <w:t xml:space="preserve">, or </w:t>
      </w:r>
      <w:r w:rsidRPr="0021550A">
        <w:rPr>
          <w:i/>
          <w:iCs/>
        </w:rPr>
        <w:t>hire</w:t>
      </w:r>
      <w:r w:rsidRPr="0021550A">
        <w:t xml:space="preserve">. When the word </w:t>
      </w:r>
      <w:r w:rsidRPr="0021550A">
        <w:rPr>
          <w:smallCaps/>
        </w:rPr>
        <w:t>her</w:t>
      </w:r>
      <w:r w:rsidRPr="0021550A">
        <w:t xml:space="preserve"> needs to be set, the compositor must choose the variant to use in the text: the spelling variant that is used in the copy text, or a different variant. This choice may not have been greatly deliberated upon, or even consciously made, but where a compositor uses more than one spelling variant in a text he makes a choice as to which one he uses. As a result, when we look at the frequencies of </w:t>
      </w:r>
      <w:r w:rsidRPr="0021550A">
        <w:rPr>
          <w:i/>
          <w:iCs/>
        </w:rPr>
        <w:t>her</w:t>
      </w:r>
      <w:r w:rsidRPr="0021550A">
        <w:rPr>
          <w:iCs/>
        </w:rPr>
        <w:t xml:space="preserve">, </w:t>
      </w:r>
      <w:r w:rsidRPr="0021550A">
        <w:rPr>
          <w:i/>
          <w:iCs/>
        </w:rPr>
        <w:t>hir</w:t>
      </w:r>
      <w:r w:rsidRPr="0021550A">
        <w:rPr>
          <w:iCs/>
        </w:rPr>
        <w:t>,</w:t>
      </w:r>
      <w:r w:rsidRPr="0021550A">
        <w:t xml:space="preserve"> and </w:t>
      </w:r>
      <w:r w:rsidRPr="0021550A">
        <w:rPr>
          <w:i/>
          <w:iCs/>
        </w:rPr>
        <w:t>hire</w:t>
      </w:r>
      <w:r w:rsidRPr="0021550A">
        <w:t xml:space="preserve"> in</w:t>
      </w:r>
      <w:r w:rsidR="00FA23AA">
        <w:t xml:space="preserve"> </w:t>
      </w:r>
      <w:r w:rsidR="00B85811">
        <w:t>Table 4.7</w:t>
      </w:r>
      <w:r w:rsidRPr="0021550A">
        <w:t xml:space="preserve">, we are observing the results of a choice made by the compositor who set the type for that particular quire. </w:t>
      </w:r>
    </w:p>
    <w:p w14:paraId="304A7AE5" w14:textId="058DC483" w:rsidR="007F5605" w:rsidRPr="0021550A" w:rsidRDefault="007F5605" w:rsidP="007F5605">
      <w:r w:rsidRPr="0021550A">
        <w:t xml:space="preserve">The frequencies in </w:t>
      </w:r>
      <w:r w:rsidR="00B85811">
        <w:t>Table 4.7</w:t>
      </w:r>
      <w:r w:rsidRPr="0021550A">
        <w:t xml:space="preserve"> show the number of times that the compositors chose each variant when setting the type for that quire. In Quire a, the preferred variant is </w:t>
      </w:r>
      <w:r w:rsidRPr="0021550A">
        <w:rPr>
          <w:i/>
        </w:rPr>
        <w:t>hir</w:t>
      </w:r>
      <w:r w:rsidRPr="0021550A">
        <w:t xml:space="preserve">, and </w:t>
      </w:r>
      <w:r w:rsidRPr="0021550A">
        <w:rPr>
          <w:i/>
        </w:rPr>
        <w:t>her</w:t>
      </w:r>
      <w:r w:rsidRPr="0021550A">
        <w:t xml:space="preserve"> is used less frequently as a second variant. There is also one example of </w:t>
      </w:r>
      <w:r w:rsidRPr="0021550A">
        <w:rPr>
          <w:i/>
        </w:rPr>
        <w:t>hire</w:t>
      </w:r>
      <w:r w:rsidRPr="0021550A">
        <w:t xml:space="preserve"> used in Quire a. In Quire s the distribution is different: </w:t>
      </w:r>
      <w:r w:rsidRPr="0021550A">
        <w:rPr>
          <w:i/>
        </w:rPr>
        <w:t>her</w:t>
      </w:r>
      <w:r w:rsidRPr="0021550A">
        <w:t xml:space="preserve"> is the preferred variant and this variant is used almost all the time, with </w:t>
      </w:r>
      <w:r w:rsidRPr="0021550A">
        <w:rPr>
          <w:i/>
        </w:rPr>
        <w:t>hir</w:t>
      </w:r>
      <w:r w:rsidRPr="0021550A">
        <w:t xml:space="preserve"> used only once and </w:t>
      </w:r>
      <w:r w:rsidRPr="0021550A">
        <w:rPr>
          <w:i/>
        </w:rPr>
        <w:t>hire</w:t>
      </w:r>
      <w:r w:rsidRPr="0021550A">
        <w:t xml:space="preserve"> never used in this quire at all. What is crucial in this choice of spellings is the availability of the realisations for any given word. When the word </w:t>
      </w:r>
      <w:r w:rsidRPr="0021550A">
        <w:rPr>
          <w:smallCaps/>
        </w:rPr>
        <w:t>her</w:t>
      </w:r>
      <w:r w:rsidRPr="0021550A">
        <w:t xml:space="preserve"> needed to be set, the compositors chose to set either </w:t>
      </w:r>
      <w:r w:rsidRPr="0021550A">
        <w:rPr>
          <w:i/>
          <w:iCs/>
        </w:rPr>
        <w:t>her</w:t>
      </w:r>
      <w:r w:rsidRPr="0021550A">
        <w:t xml:space="preserve">, </w:t>
      </w:r>
      <w:r w:rsidRPr="0021550A">
        <w:rPr>
          <w:i/>
          <w:iCs/>
        </w:rPr>
        <w:t>hir</w:t>
      </w:r>
      <w:r w:rsidRPr="0021550A">
        <w:t xml:space="preserve">, </w:t>
      </w:r>
      <w:r w:rsidRPr="0021550A">
        <w:rPr>
          <w:i/>
        </w:rPr>
        <w:t>hire</w:t>
      </w:r>
      <w:r w:rsidRPr="0021550A">
        <w:t xml:space="preserve"> or any other acceptable realisation. The compositor could not choose to use </w:t>
      </w:r>
      <w:r w:rsidRPr="0021550A">
        <w:rPr>
          <w:i/>
          <w:iCs/>
        </w:rPr>
        <w:lastRenderedPageBreak/>
        <w:t xml:space="preserve">aboute </w:t>
      </w:r>
      <w:r w:rsidRPr="0021550A">
        <w:t xml:space="preserve">or </w:t>
      </w:r>
      <w:r w:rsidRPr="0021550A">
        <w:rPr>
          <w:i/>
          <w:iCs/>
        </w:rPr>
        <w:t>daye</w:t>
      </w:r>
      <w:r w:rsidRPr="0021550A">
        <w:t xml:space="preserve"> to represent the word </w:t>
      </w:r>
      <w:r w:rsidRPr="0021550A">
        <w:rPr>
          <w:smallCaps/>
        </w:rPr>
        <w:t>her</w:t>
      </w:r>
      <w:r w:rsidRPr="0021550A">
        <w:t xml:space="preserve"> because </w:t>
      </w:r>
      <w:r w:rsidRPr="0021550A">
        <w:rPr>
          <w:i/>
          <w:iCs/>
        </w:rPr>
        <w:t>aboute</w:t>
      </w:r>
      <w:r w:rsidRPr="0021550A">
        <w:t xml:space="preserve"> and </w:t>
      </w:r>
      <w:r w:rsidRPr="0021550A">
        <w:rPr>
          <w:i/>
          <w:iCs/>
        </w:rPr>
        <w:t>daye</w:t>
      </w:r>
      <w:r w:rsidRPr="0021550A">
        <w:t xml:space="preserve"> are realisations of the words </w:t>
      </w:r>
      <w:r w:rsidRPr="0021550A">
        <w:rPr>
          <w:smallCaps/>
        </w:rPr>
        <w:t>about</w:t>
      </w:r>
      <w:r w:rsidRPr="0021550A">
        <w:t xml:space="preserve"> and </w:t>
      </w:r>
      <w:r w:rsidRPr="0021550A">
        <w:rPr>
          <w:smallCaps/>
        </w:rPr>
        <w:t>day</w:t>
      </w:r>
      <w:r w:rsidRPr="0021550A">
        <w:t xml:space="preserve">, respectively. </w:t>
      </w:r>
    </w:p>
    <w:p w14:paraId="1634BACB" w14:textId="77777777" w:rsidR="0014200A" w:rsidRPr="0021550A" w:rsidRDefault="0014200A" w:rsidP="000737CB"/>
    <w:tbl>
      <w:tblPr>
        <w:tblStyle w:val="GridTable1Light1"/>
        <w:tblW w:w="0" w:type="auto"/>
        <w:tblInd w:w="-113" w:type="dxa"/>
        <w:tblLayout w:type="fixed"/>
        <w:tblLook w:val="0020" w:firstRow="1" w:lastRow="0" w:firstColumn="0" w:lastColumn="0" w:noHBand="0" w:noVBand="0"/>
      </w:tblPr>
      <w:tblGrid>
        <w:gridCol w:w="1795"/>
        <w:gridCol w:w="2610"/>
        <w:gridCol w:w="2790"/>
      </w:tblGrid>
      <w:tr w:rsidR="0014200A" w:rsidRPr="0021550A" w14:paraId="08C2D077" w14:textId="77777777" w:rsidTr="0071249C">
        <w:trPr>
          <w:cnfStyle w:val="100000000000" w:firstRow="1" w:lastRow="0" w:firstColumn="0" w:lastColumn="0" w:oddVBand="0" w:evenVBand="0" w:oddHBand="0" w:evenHBand="0" w:firstRowFirstColumn="0" w:firstRowLastColumn="0" w:lastRowFirstColumn="0" w:lastRowLastColumn="0"/>
        </w:trPr>
        <w:tc>
          <w:tcPr>
            <w:tcW w:w="1795" w:type="dxa"/>
            <w:vAlign w:val="center"/>
          </w:tcPr>
          <w:p w14:paraId="7FEEC573" w14:textId="77777777" w:rsidR="0014200A" w:rsidRPr="0021550A" w:rsidRDefault="0014200A" w:rsidP="00FA23AA">
            <w:pPr>
              <w:ind w:firstLine="0"/>
              <w:jc w:val="center"/>
            </w:pPr>
          </w:p>
        </w:tc>
        <w:tc>
          <w:tcPr>
            <w:tcW w:w="2610" w:type="dxa"/>
            <w:vAlign w:val="center"/>
          </w:tcPr>
          <w:p w14:paraId="0619C677" w14:textId="77777777" w:rsidR="0014200A" w:rsidRPr="0021550A" w:rsidRDefault="0014200A" w:rsidP="00FA23AA">
            <w:pPr>
              <w:ind w:firstLine="0"/>
              <w:jc w:val="center"/>
            </w:pPr>
            <w:r w:rsidRPr="0021550A">
              <w:t>Quire a</w:t>
            </w:r>
          </w:p>
        </w:tc>
        <w:tc>
          <w:tcPr>
            <w:tcW w:w="2790" w:type="dxa"/>
            <w:vAlign w:val="center"/>
          </w:tcPr>
          <w:p w14:paraId="25DF761C" w14:textId="77777777" w:rsidR="0014200A" w:rsidRPr="0021550A" w:rsidRDefault="0014200A" w:rsidP="00FA23AA">
            <w:pPr>
              <w:ind w:firstLine="0"/>
              <w:jc w:val="center"/>
            </w:pPr>
            <w:r w:rsidRPr="0021550A">
              <w:t>Quire s</w:t>
            </w:r>
          </w:p>
        </w:tc>
      </w:tr>
      <w:tr w:rsidR="0014200A" w:rsidRPr="0021550A" w14:paraId="693DAF51" w14:textId="77777777" w:rsidTr="0010250A">
        <w:trPr>
          <w:trHeight w:val="330"/>
        </w:trPr>
        <w:tc>
          <w:tcPr>
            <w:tcW w:w="1795" w:type="dxa"/>
            <w:vAlign w:val="center"/>
          </w:tcPr>
          <w:p w14:paraId="34C412DD" w14:textId="77777777" w:rsidR="0014200A" w:rsidRPr="00FA23AA" w:rsidRDefault="0014200A" w:rsidP="00FA23AA">
            <w:pPr>
              <w:ind w:firstLine="0"/>
              <w:jc w:val="center"/>
              <w:rPr>
                <w:i/>
              </w:rPr>
            </w:pPr>
            <w:r w:rsidRPr="00FA23AA">
              <w:rPr>
                <w:i/>
              </w:rPr>
              <w:t>her</w:t>
            </w:r>
          </w:p>
        </w:tc>
        <w:tc>
          <w:tcPr>
            <w:tcW w:w="2610" w:type="dxa"/>
            <w:vAlign w:val="center"/>
          </w:tcPr>
          <w:p w14:paraId="61147383" w14:textId="77777777" w:rsidR="0014200A" w:rsidRPr="0021550A" w:rsidRDefault="0014200A" w:rsidP="00FA23AA">
            <w:pPr>
              <w:ind w:firstLine="0"/>
              <w:jc w:val="center"/>
            </w:pPr>
            <w:r w:rsidRPr="0021550A">
              <w:t>9</w:t>
            </w:r>
          </w:p>
        </w:tc>
        <w:tc>
          <w:tcPr>
            <w:tcW w:w="2790" w:type="dxa"/>
            <w:shd w:val="clear" w:color="auto" w:fill="FFF2CC" w:themeFill="accent4" w:themeFillTint="33"/>
            <w:vAlign w:val="center"/>
          </w:tcPr>
          <w:p w14:paraId="68A05083" w14:textId="77777777" w:rsidR="0014200A" w:rsidRPr="0021550A" w:rsidRDefault="0014200A" w:rsidP="00FA23AA">
            <w:pPr>
              <w:ind w:firstLine="0"/>
              <w:jc w:val="center"/>
            </w:pPr>
            <w:r w:rsidRPr="0021550A">
              <w:t>22</w:t>
            </w:r>
          </w:p>
        </w:tc>
      </w:tr>
      <w:tr w:rsidR="0014200A" w:rsidRPr="0021550A" w14:paraId="2A5F5F41" w14:textId="77777777" w:rsidTr="0010250A">
        <w:trPr>
          <w:trHeight w:val="359"/>
        </w:trPr>
        <w:tc>
          <w:tcPr>
            <w:tcW w:w="1795" w:type="dxa"/>
            <w:vAlign w:val="center"/>
          </w:tcPr>
          <w:p w14:paraId="7E7BAEAF" w14:textId="77777777" w:rsidR="0014200A" w:rsidRPr="00FA23AA" w:rsidRDefault="0014200A" w:rsidP="00FA23AA">
            <w:pPr>
              <w:ind w:firstLine="0"/>
              <w:jc w:val="center"/>
              <w:rPr>
                <w:i/>
              </w:rPr>
            </w:pPr>
            <w:r w:rsidRPr="00FA23AA">
              <w:rPr>
                <w:i/>
              </w:rPr>
              <w:t>hir</w:t>
            </w:r>
          </w:p>
        </w:tc>
        <w:tc>
          <w:tcPr>
            <w:tcW w:w="2610" w:type="dxa"/>
            <w:shd w:val="clear" w:color="auto" w:fill="FFF2CC" w:themeFill="accent4" w:themeFillTint="33"/>
            <w:vAlign w:val="center"/>
          </w:tcPr>
          <w:p w14:paraId="69E95DDE" w14:textId="77777777" w:rsidR="0014200A" w:rsidRPr="0021550A" w:rsidRDefault="0014200A" w:rsidP="00FA23AA">
            <w:pPr>
              <w:ind w:firstLine="0"/>
              <w:jc w:val="center"/>
            </w:pPr>
            <w:r w:rsidRPr="0021550A">
              <w:t>14</w:t>
            </w:r>
          </w:p>
        </w:tc>
        <w:tc>
          <w:tcPr>
            <w:tcW w:w="2790" w:type="dxa"/>
            <w:vAlign w:val="center"/>
          </w:tcPr>
          <w:p w14:paraId="38C2F5E0" w14:textId="77777777" w:rsidR="0014200A" w:rsidRPr="0021550A" w:rsidRDefault="0014200A" w:rsidP="00FA23AA">
            <w:pPr>
              <w:ind w:firstLine="0"/>
              <w:jc w:val="center"/>
            </w:pPr>
            <w:r w:rsidRPr="0021550A">
              <w:t>1</w:t>
            </w:r>
          </w:p>
        </w:tc>
      </w:tr>
      <w:tr w:rsidR="0014200A" w:rsidRPr="0021550A" w14:paraId="6C743DC3" w14:textId="77777777" w:rsidTr="0071249C">
        <w:trPr>
          <w:trHeight w:val="359"/>
        </w:trPr>
        <w:tc>
          <w:tcPr>
            <w:tcW w:w="1795" w:type="dxa"/>
            <w:vAlign w:val="center"/>
          </w:tcPr>
          <w:p w14:paraId="27D60207" w14:textId="77777777" w:rsidR="0014200A" w:rsidRPr="00FA23AA" w:rsidRDefault="0014200A" w:rsidP="00FA23AA">
            <w:pPr>
              <w:ind w:firstLine="0"/>
              <w:jc w:val="center"/>
              <w:rPr>
                <w:i/>
              </w:rPr>
            </w:pPr>
            <w:r w:rsidRPr="00FA23AA">
              <w:rPr>
                <w:i/>
              </w:rPr>
              <w:t>hire</w:t>
            </w:r>
          </w:p>
        </w:tc>
        <w:tc>
          <w:tcPr>
            <w:tcW w:w="2610" w:type="dxa"/>
            <w:vAlign w:val="center"/>
          </w:tcPr>
          <w:p w14:paraId="58188FF9" w14:textId="77777777" w:rsidR="0014200A" w:rsidRPr="0021550A" w:rsidRDefault="0014200A" w:rsidP="00FA23AA">
            <w:pPr>
              <w:ind w:firstLine="0"/>
              <w:jc w:val="center"/>
            </w:pPr>
            <w:r w:rsidRPr="0021550A">
              <w:t>1</w:t>
            </w:r>
          </w:p>
        </w:tc>
        <w:tc>
          <w:tcPr>
            <w:tcW w:w="2790" w:type="dxa"/>
            <w:vAlign w:val="center"/>
          </w:tcPr>
          <w:p w14:paraId="41581D99" w14:textId="77777777" w:rsidR="0014200A" w:rsidRPr="0021550A" w:rsidRDefault="0014200A" w:rsidP="00FA23AA">
            <w:pPr>
              <w:ind w:firstLine="0"/>
              <w:jc w:val="center"/>
            </w:pPr>
            <w:r w:rsidRPr="0021550A">
              <w:t>0</w:t>
            </w:r>
          </w:p>
        </w:tc>
      </w:tr>
    </w:tbl>
    <w:p w14:paraId="4272511C" w14:textId="6F5963FB" w:rsidR="0014200A" w:rsidRPr="0021550A" w:rsidRDefault="00B85811" w:rsidP="000737CB">
      <w:pPr>
        <w:pStyle w:val="Caption"/>
      </w:pPr>
      <w:bookmarkStart w:id="93" w:name="_Toc499753473"/>
      <w:r>
        <w:t>Table 4.7</w:t>
      </w:r>
      <w:r w:rsidR="0014200A" w:rsidRPr="0021550A">
        <w:t xml:space="preserve"> Frequencies of </w:t>
      </w:r>
      <w:r w:rsidR="0014200A" w:rsidRPr="0021550A">
        <w:rPr>
          <w:i/>
        </w:rPr>
        <w:t>her</w:t>
      </w:r>
      <w:r w:rsidR="0014200A" w:rsidRPr="0021550A">
        <w:t xml:space="preserve">, </w:t>
      </w:r>
      <w:r w:rsidR="0014200A" w:rsidRPr="0021550A">
        <w:rPr>
          <w:i/>
        </w:rPr>
        <w:t>hir</w:t>
      </w:r>
      <w:r w:rsidR="0014200A" w:rsidRPr="0021550A">
        <w:t xml:space="preserve">, and </w:t>
      </w:r>
      <w:r w:rsidR="0014200A" w:rsidRPr="0021550A">
        <w:rPr>
          <w:i/>
        </w:rPr>
        <w:t>hire</w:t>
      </w:r>
      <w:r w:rsidR="0014200A" w:rsidRPr="0021550A">
        <w:t xml:space="preserve"> in two quires of the </w:t>
      </w:r>
      <w:r w:rsidR="0014200A" w:rsidRPr="0021550A">
        <w:rPr>
          <w:i/>
        </w:rPr>
        <w:t>Canterbury Tales</w:t>
      </w:r>
      <w:bookmarkEnd w:id="93"/>
    </w:p>
    <w:p w14:paraId="369E6EF9" w14:textId="77777777" w:rsidR="0014200A" w:rsidRPr="0021550A" w:rsidRDefault="0014200A" w:rsidP="000737CB"/>
    <w:p w14:paraId="56FA59E1" w14:textId="46ED38E7" w:rsidR="0014200A" w:rsidRDefault="0014200A" w:rsidP="00113982">
      <w:r w:rsidRPr="0021550A">
        <w:t xml:space="preserve">This appears to be an obvious point: compositors could never write </w:t>
      </w:r>
      <w:r w:rsidRPr="0021550A">
        <w:rPr>
          <w:i/>
          <w:iCs/>
        </w:rPr>
        <w:t>daye</w:t>
      </w:r>
      <w:r w:rsidRPr="0021550A">
        <w:t xml:space="preserve"> when they wanted to say </w:t>
      </w:r>
      <w:r w:rsidRPr="0021550A">
        <w:rPr>
          <w:smallCaps/>
        </w:rPr>
        <w:t>her</w:t>
      </w:r>
      <w:r w:rsidRPr="0021550A">
        <w:t xml:space="preserve">. However, this understanding is not currently built into the </w:t>
      </w:r>
      <w:r w:rsidR="0010250A">
        <w:t>quantitative methods</w:t>
      </w:r>
      <w:r w:rsidRPr="0021550A">
        <w:t>. As it stands, the algorithm</w:t>
      </w:r>
      <w:r w:rsidR="0010250A">
        <w:t>s will treat</w:t>
      </w:r>
      <w:r w:rsidRPr="0021550A">
        <w:t xml:space="preserve"> all spelling variants as if they are all possib</w:t>
      </w:r>
      <w:r w:rsidR="00113982">
        <w:t xml:space="preserve">le realisations of the same </w:t>
      </w:r>
      <w:r w:rsidRPr="0021550A">
        <w:t xml:space="preserve">word, as represented in </w:t>
      </w:r>
      <w:r w:rsidR="00B85811">
        <w:t xml:space="preserve">Figure 4.8. </w:t>
      </w:r>
      <w:r w:rsidRPr="0021550A">
        <w:t xml:space="preserve">If we want </w:t>
      </w:r>
      <w:r w:rsidR="0010250A">
        <w:t>to explore the distributions of</w:t>
      </w:r>
      <w:r w:rsidRPr="0021550A">
        <w:t xml:space="preserve"> spelling variants for one word alone, </w:t>
      </w:r>
      <w:r w:rsidR="0010250A">
        <w:t>then the present situation is fine</w:t>
      </w:r>
      <w:r w:rsidRPr="0021550A">
        <w:t xml:space="preserve">. But if we want to run the </w:t>
      </w:r>
      <w:r w:rsidR="0010250A">
        <w:t>quantitative methods</w:t>
      </w:r>
      <w:r w:rsidRPr="0021550A">
        <w:t xml:space="preserve"> on spelling variants for more than one word, the lack of this understanding introduces problems. </w:t>
      </w:r>
    </w:p>
    <w:p w14:paraId="5D56F590" w14:textId="77777777" w:rsidR="0014200A" w:rsidRPr="0021550A" w:rsidRDefault="0014200A" w:rsidP="000737CB"/>
    <w:p w14:paraId="6C177392" w14:textId="08633095" w:rsidR="0014200A" w:rsidRPr="0021550A" w:rsidRDefault="0014200A" w:rsidP="008B401F">
      <w:pPr>
        <w:ind w:firstLine="0"/>
      </w:pPr>
      <w:r w:rsidRPr="0021550A">
        <w:rPr>
          <w:noProof/>
          <w:lang w:eastAsia="en-GB"/>
        </w:rPr>
        <w:drawing>
          <wp:inline distT="0" distB="0" distL="0" distR="0" wp14:anchorId="0BB1D38E" wp14:editId="400DB518">
            <wp:extent cx="3217588" cy="1467800"/>
            <wp:effectExtent l="0" t="0" r="8255"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pelling no hierarchy.pdf"/>
                    <pic:cNvPicPr/>
                  </pic:nvPicPr>
                  <pic:blipFill rotWithShape="1">
                    <a:blip r:embed="rId38">
                      <a:extLst>
                        <a:ext uri="{28A0092B-C50C-407E-A947-70E740481C1C}">
                          <a14:useLocalDpi xmlns:a14="http://schemas.microsoft.com/office/drawing/2010/main"/>
                        </a:ext>
                      </a:extLst>
                    </a:blip>
                    <a:srcRect l="8405" t="42465" r="51591" b="25095"/>
                    <a:stretch/>
                  </pic:blipFill>
                  <pic:spPr bwMode="auto">
                    <a:xfrm>
                      <a:off x="0" y="0"/>
                      <a:ext cx="3257408" cy="1485965"/>
                    </a:xfrm>
                    <a:prstGeom prst="rect">
                      <a:avLst/>
                    </a:prstGeom>
                    <a:ln>
                      <a:noFill/>
                    </a:ln>
                    <a:extLst>
                      <a:ext uri="{53640926-AAD7-44D8-BBD7-CCE9431645EC}">
                        <a14:shadowObscured xmlns:a14="http://schemas.microsoft.com/office/drawing/2010/main"/>
                      </a:ext>
                    </a:extLst>
                  </pic:spPr>
                </pic:pic>
              </a:graphicData>
            </a:graphic>
          </wp:inline>
        </w:drawing>
      </w:r>
    </w:p>
    <w:p w14:paraId="5AB99535" w14:textId="1217A912" w:rsidR="0014200A" w:rsidRPr="0021550A" w:rsidRDefault="00B85811" w:rsidP="000737CB">
      <w:pPr>
        <w:pStyle w:val="Caption"/>
      </w:pPr>
      <w:bookmarkStart w:id="94" w:name="_Toc499753520"/>
      <w:r>
        <w:t>Figure 4.8:</w:t>
      </w:r>
      <w:r w:rsidR="00D36157">
        <w:t xml:space="preserve"> Flat structure of spellings </w:t>
      </w:r>
      <w:r w:rsidR="0014200A" w:rsidRPr="0021550A">
        <w:t xml:space="preserve">for </w:t>
      </w:r>
      <w:r w:rsidR="0014200A" w:rsidRPr="0021550A">
        <w:rPr>
          <w:smallCaps/>
        </w:rPr>
        <w:t xml:space="preserve">there, </w:t>
      </w:r>
      <w:r w:rsidR="00A74476" w:rsidRPr="0021550A">
        <w:rPr>
          <w:smallCaps/>
        </w:rPr>
        <w:t>i</w:t>
      </w:r>
      <w:r w:rsidR="0014200A" w:rsidRPr="0021550A">
        <w:rPr>
          <w:smallCaps/>
        </w:rPr>
        <w:t xml:space="preserve">, not, </w:t>
      </w:r>
      <w:r w:rsidR="0014200A" w:rsidRPr="0021550A">
        <w:t>and</w:t>
      </w:r>
      <w:r w:rsidR="0014200A" w:rsidRPr="0021550A">
        <w:rPr>
          <w:smallCaps/>
        </w:rPr>
        <w:t xml:space="preserve"> her</w:t>
      </w:r>
      <w:bookmarkEnd w:id="94"/>
      <w:r w:rsidR="0014200A" w:rsidRPr="0021550A">
        <w:t xml:space="preserve"> </w:t>
      </w:r>
    </w:p>
    <w:p w14:paraId="3558135C" w14:textId="77777777" w:rsidR="007F5605" w:rsidRDefault="007F5605" w:rsidP="000737CB"/>
    <w:p w14:paraId="1E25E6C2" w14:textId="470D765E" w:rsidR="0010250A" w:rsidRDefault="0010250A" w:rsidP="000737CB">
      <w:r>
        <w:t xml:space="preserve">For </w:t>
      </w:r>
      <w:r w:rsidR="00063BFC">
        <w:t>example,</w:t>
      </w:r>
      <w:r>
        <w:t xml:space="preserve"> let’s say we want to know</w:t>
      </w:r>
      <w:r w:rsidR="0014200A" w:rsidRPr="0021550A">
        <w:t xml:space="preserve"> the extent to which each quire tends to use the same spelling variants for each word compared with other quires. </w:t>
      </w:r>
      <w:r>
        <w:t>In this case</w:t>
      </w:r>
      <w:r w:rsidR="0014200A" w:rsidRPr="0021550A">
        <w:t xml:space="preserve">, we want the analysis to look at how often Quire a uses particular variants for </w:t>
      </w:r>
      <w:r w:rsidR="0014200A" w:rsidRPr="0021550A">
        <w:rPr>
          <w:smallCaps/>
        </w:rPr>
        <w:t>there</w:t>
      </w:r>
      <w:r w:rsidR="0014200A" w:rsidRPr="0021550A">
        <w:t xml:space="preserve"> and how often Quire s uses particular variants for </w:t>
      </w:r>
      <w:r w:rsidR="0014200A" w:rsidRPr="0021550A">
        <w:rPr>
          <w:smallCaps/>
        </w:rPr>
        <w:t>there</w:t>
      </w:r>
      <w:r w:rsidR="0014200A" w:rsidRPr="0021550A">
        <w:t xml:space="preserve">, and to decide how similar their use of spelling variants is for the word </w:t>
      </w:r>
      <w:r w:rsidR="0014200A" w:rsidRPr="0021550A">
        <w:rPr>
          <w:smallCaps/>
        </w:rPr>
        <w:t>there</w:t>
      </w:r>
      <w:r w:rsidR="0014200A" w:rsidRPr="0021550A">
        <w:t xml:space="preserve"> before moving on to the similarity of the spelling variants for </w:t>
      </w:r>
      <w:r w:rsidR="0014200A" w:rsidRPr="0021550A">
        <w:rPr>
          <w:smallCaps/>
        </w:rPr>
        <w:t>not</w:t>
      </w:r>
      <w:r w:rsidR="0014200A" w:rsidRPr="0021550A">
        <w:t xml:space="preserve">. However, what is actually happening is that the algorithm looks at how often Quire a uses particular variants for </w:t>
      </w:r>
      <w:r w:rsidR="0014200A" w:rsidRPr="0021550A">
        <w:rPr>
          <w:smallCaps/>
        </w:rPr>
        <w:t>there</w:t>
      </w:r>
      <w:r w:rsidR="0014200A" w:rsidRPr="0021550A">
        <w:t xml:space="preserve">, compares them with the variants Quire s uses for </w:t>
      </w:r>
      <w:r w:rsidR="0014200A" w:rsidRPr="0021550A">
        <w:rPr>
          <w:smallCaps/>
        </w:rPr>
        <w:t>there</w:t>
      </w:r>
      <w:r w:rsidR="0014200A" w:rsidRPr="0021550A">
        <w:t xml:space="preserve">, but moves straight on to the variants for </w:t>
      </w:r>
      <w:r w:rsidR="0014200A" w:rsidRPr="0021550A">
        <w:rPr>
          <w:smallCaps/>
        </w:rPr>
        <w:t>not</w:t>
      </w:r>
      <w:r w:rsidR="0014200A" w:rsidRPr="0021550A">
        <w:t xml:space="preserve"> without separating the two. The algorithm still assesses the extent to which the quires include the same spelling variants, but is not able to look at one word in isolation before moving onto the next. In this way, the </w:t>
      </w:r>
      <w:r>
        <w:t>analysis</w:t>
      </w:r>
      <w:r w:rsidR="0014200A" w:rsidRPr="0021550A">
        <w:t xml:space="preserve"> </w:t>
      </w:r>
      <w:r w:rsidR="00063BFC">
        <w:t>does not determine</w:t>
      </w:r>
      <w:r w:rsidR="0014200A" w:rsidRPr="0021550A">
        <w:t xml:space="preserve"> whether the choice of variants within each word </w:t>
      </w:r>
      <w:r w:rsidR="0014200A" w:rsidRPr="0021550A">
        <w:lastRenderedPageBreak/>
        <w:t xml:space="preserve">is similar, as we wanted, but </w:t>
      </w:r>
      <w:r w:rsidR="00063BFC">
        <w:t>instead determines</w:t>
      </w:r>
      <w:r w:rsidR="0014200A" w:rsidRPr="0021550A">
        <w:t xml:space="preserve"> whether the number of times each spelling variant is used is similar. The difference is a subtle one, but makes a difference in practice. Under the flat structure demonstrated in </w:t>
      </w:r>
      <w:r w:rsidR="00B85811">
        <w:t>Figure 4.8,</w:t>
      </w:r>
      <w:r w:rsidR="0014200A" w:rsidRPr="0021550A">
        <w:t xml:space="preserve"> when we </w:t>
      </w:r>
      <w:r>
        <w:t>explore the data</w:t>
      </w:r>
      <w:r w:rsidR="0014200A" w:rsidRPr="0021550A">
        <w:t xml:space="preserve"> based on the frequencies of spelling variants in </w:t>
      </w:r>
      <w:r w:rsidR="00B85811">
        <w:t>Table 4.6,</w:t>
      </w:r>
      <w:r w:rsidR="0014200A" w:rsidRPr="0021550A">
        <w:t xml:space="preserve"> Quire a and Quire s of the </w:t>
      </w:r>
      <w:r w:rsidR="0014200A" w:rsidRPr="0021550A">
        <w:rPr>
          <w:i/>
        </w:rPr>
        <w:t>Canterbury Tales</w:t>
      </w:r>
      <w:r w:rsidR="0014200A" w:rsidRPr="0021550A">
        <w:t xml:space="preserve"> may not </w:t>
      </w:r>
      <w:r>
        <w:t>may not appear to be very similar to one another</w:t>
      </w:r>
      <w:r w:rsidR="0014200A" w:rsidRPr="0021550A">
        <w:t xml:space="preserve"> because the differences in the frequencies for each word are dissimilar. </w:t>
      </w:r>
    </w:p>
    <w:p w14:paraId="75373B31" w14:textId="0E82A713" w:rsidR="0014200A" w:rsidRPr="0021550A" w:rsidRDefault="0014200A" w:rsidP="000737CB">
      <w:r w:rsidRPr="0021550A">
        <w:t>Without the enforcement</w:t>
      </w:r>
      <w:r w:rsidR="009F6597">
        <w:t xml:space="preserve"> of the relationship between spellings and the words that the spellings are used to represent</w:t>
      </w:r>
      <w:r w:rsidRPr="0021550A">
        <w:t xml:space="preserve">, it appears that Quire a uses the variant </w:t>
      </w:r>
      <w:r w:rsidRPr="0021550A">
        <w:rPr>
          <w:i/>
        </w:rPr>
        <w:t>i</w:t>
      </w:r>
      <w:r w:rsidRPr="0021550A">
        <w:t xml:space="preserve"> most frequently of the variants in </w:t>
      </w:r>
      <w:r w:rsidR="00B85811">
        <w:t>Table 4.6,</w:t>
      </w:r>
      <w:r w:rsidRPr="0021550A">
        <w:t xml:space="preserve"> and uses the variants </w:t>
      </w:r>
      <w:r w:rsidRPr="0021550A">
        <w:rPr>
          <w:i/>
        </w:rPr>
        <w:t>not</w:t>
      </w:r>
      <w:r w:rsidRPr="0021550A">
        <w:t xml:space="preserve"> and </w:t>
      </w:r>
      <w:r w:rsidRPr="0021550A">
        <w:rPr>
          <w:i/>
        </w:rPr>
        <w:t>ther</w:t>
      </w:r>
      <w:r w:rsidRPr="0021550A">
        <w:t xml:space="preserve"> as secondary variants, while Quire s also uses the variant </w:t>
      </w:r>
      <w:r w:rsidRPr="0021550A">
        <w:rPr>
          <w:i/>
        </w:rPr>
        <w:t>i</w:t>
      </w:r>
      <w:r w:rsidRPr="0021550A">
        <w:t xml:space="preserve"> most frequently, and uses </w:t>
      </w:r>
      <w:r w:rsidRPr="0021550A">
        <w:rPr>
          <w:i/>
        </w:rPr>
        <w:t>not</w:t>
      </w:r>
      <w:r w:rsidRPr="0021550A">
        <w:t xml:space="preserve"> and </w:t>
      </w:r>
      <w:r w:rsidRPr="0021550A">
        <w:rPr>
          <w:i/>
        </w:rPr>
        <w:t>y</w:t>
      </w:r>
      <w:r w:rsidRPr="0021550A">
        <w:t xml:space="preserve"> as secondary variants</w:t>
      </w:r>
      <w:r w:rsidR="00941890">
        <w:t xml:space="preserve"> instead of capturing that both compositors use the same spellings for all three words</w:t>
      </w:r>
      <w:r w:rsidRPr="0021550A">
        <w:t xml:space="preserve">. In this way, the frequencies do not capture the relative uses of spelling variants against other variants for the same word. The difference between the two structures in </w:t>
      </w:r>
      <w:r w:rsidR="00B85811">
        <w:t>Figure 4.8</w:t>
      </w:r>
      <w:r w:rsidRPr="0021550A">
        <w:t xml:space="preserve"> and </w:t>
      </w:r>
      <w:r w:rsidR="00B85811">
        <w:t>Figure 4.9</w:t>
      </w:r>
      <w:r w:rsidRPr="0021550A">
        <w:t xml:space="preserve"> is slight, but can impact the results </w:t>
      </w:r>
      <w:r w:rsidR="0010250A">
        <w:t xml:space="preserve">from the quantitative analysis </w:t>
      </w:r>
      <w:r w:rsidRPr="0021550A">
        <w:t xml:space="preserve">and prevent the </w:t>
      </w:r>
      <w:r w:rsidR="0010250A">
        <w:t>algorithms used</w:t>
      </w:r>
      <w:r w:rsidRPr="0021550A">
        <w:t xml:space="preserve"> from accurately </w:t>
      </w:r>
      <w:r w:rsidR="0010250A">
        <w:t>assessing</w:t>
      </w:r>
      <w:r w:rsidRPr="0021550A">
        <w:t xml:space="preserve"> the data. The danger is that </w:t>
      </w:r>
      <w:r w:rsidR="00941890">
        <w:t>the analysis could still provide a result that seems to make sense</w:t>
      </w:r>
      <w:r w:rsidRPr="0021550A">
        <w:t xml:space="preserve">, but without making changes to enforce a </w:t>
      </w:r>
      <w:r w:rsidR="00953DA7">
        <w:t>relationship</w:t>
      </w:r>
      <w:r w:rsidRPr="0021550A">
        <w:t xml:space="preserve"> on the data the results are not meaningful. </w:t>
      </w:r>
    </w:p>
    <w:p w14:paraId="62E6CB33" w14:textId="77777777" w:rsidR="0014200A" w:rsidRPr="0021550A" w:rsidRDefault="0014200A" w:rsidP="000737CB"/>
    <w:p w14:paraId="4B0E3BDE" w14:textId="77777777" w:rsidR="0014200A" w:rsidRPr="0021550A" w:rsidRDefault="0014200A" w:rsidP="008B401F">
      <w:pPr>
        <w:ind w:firstLine="0"/>
      </w:pPr>
      <w:r w:rsidRPr="0021550A">
        <w:rPr>
          <w:noProof/>
          <w:lang w:eastAsia="en-GB"/>
        </w:rPr>
        <w:drawing>
          <wp:inline distT="0" distB="0" distL="0" distR="0" wp14:anchorId="68E930A2" wp14:editId="54FBABAA">
            <wp:extent cx="3801979" cy="1519093"/>
            <wp:effectExtent l="0" t="0" r="8255"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pelling heirarchy.pdf"/>
                    <pic:cNvPicPr/>
                  </pic:nvPicPr>
                  <pic:blipFill rotWithShape="1">
                    <a:blip r:embed="rId39">
                      <a:extLst>
                        <a:ext uri="{28A0092B-C50C-407E-A947-70E740481C1C}">
                          <a14:useLocalDpi xmlns:a14="http://schemas.microsoft.com/office/drawing/2010/main"/>
                        </a:ext>
                      </a:extLst>
                    </a:blip>
                    <a:srcRect l="8765" t="42677" r="47064" b="25949"/>
                    <a:stretch/>
                  </pic:blipFill>
                  <pic:spPr bwMode="auto">
                    <a:xfrm>
                      <a:off x="0" y="0"/>
                      <a:ext cx="3844244" cy="1535980"/>
                    </a:xfrm>
                    <a:prstGeom prst="rect">
                      <a:avLst/>
                    </a:prstGeom>
                    <a:ln>
                      <a:noFill/>
                    </a:ln>
                    <a:extLst>
                      <a:ext uri="{53640926-AAD7-44D8-BBD7-CCE9431645EC}">
                        <a14:shadowObscured xmlns:a14="http://schemas.microsoft.com/office/drawing/2010/main"/>
                      </a:ext>
                    </a:extLst>
                  </pic:spPr>
                </pic:pic>
              </a:graphicData>
            </a:graphic>
          </wp:inline>
        </w:drawing>
      </w:r>
      <w:bookmarkStart w:id="95" w:name="_Ref467960485"/>
    </w:p>
    <w:p w14:paraId="7C1B9367" w14:textId="67A1DDA5" w:rsidR="0014200A" w:rsidRPr="0021550A" w:rsidRDefault="00B85811" w:rsidP="000737CB">
      <w:pPr>
        <w:pStyle w:val="Caption"/>
      </w:pPr>
      <w:bookmarkStart w:id="96" w:name="_Toc499753521"/>
      <w:bookmarkEnd w:id="95"/>
      <w:r>
        <w:t>Figure 4.9:</w:t>
      </w:r>
      <w:r w:rsidR="00D36157">
        <w:t xml:space="preserve"> </w:t>
      </w:r>
      <w:r w:rsidR="00953DA7">
        <w:t>Relationship between spellings and words</w:t>
      </w:r>
      <w:bookmarkEnd w:id="96"/>
    </w:p>
    <w:p w14:paraId="7311B570" w14:textId="77777777" w:rsidR="007F5605" w:rsidRDefault="007F5605" w:rsidP="000737CB"/>
    <w:p w14:paraId="27E99A75" w14:textId="5FB369D3" w:rsidR="0014200A" w:rsidRPr="0021550A" w:rsidRDefault="0014200A" w:rsidP="000737CB">
      <w:r w:rsidRPr="0021550A">
        <w:t xml:space="preserve">By normalising the data on a word-by-word basis, it is possible to impose a </w:t>
      </w:r>
      <w:r w:rsidR="00953DA7">
        <w:t>relationship structure</w:t>
      </w:r>
      <w:r w:rsidRPr="0021550A">
        <w:t xml:space="preserve"> onto the spelling data and alleviate problems caused by quires being of varying lengths. By normalising each word, we can impose the structure shown in </w:t>
      </w:r>
      <w:r w:rsidR="00B85811">
        <w:t>Figure 4.9.</w:t>
      </w:r>
      <w:r w:rsidRPr="0021550A">
        <w:t xml:space="preserve"> Normalisation of the data is achieved through the use of ratios, and </w:t>
      </w:r>
      <w:r w:rsidR="00B85811">
        <w:t>Table 4.10</w:t>
      </w:r>
      <w:r w:rsidRPr="0021550A">
        <w:t xml:space="preserve"> shows the frequencies of </w:t>
      </w:r>
      <w:r w:rsidRPr="0021550A">
        <w:rPr>
          <w:smallCaps/>
        </w:rPr>
        <w:t>I</w:t>
      </w:r>
      <w:r w:rsidRPr="0021550A">
        <w:t xml:space="preserve"> used in two quires of the </w:t>
      </w:r>
      <w:r w:rsidRPr="0021550A">
        <w:rPr>
          <w:i/>
          <w:iCs/>
        </w:rPr>
        <w:t>Canterbury Tales</w:t>
      </w:r>
      <w:r w:rsidRPr="0021550A">
        <w:t xml:space="preserve">. </w:t>
      </w:r>
    </w:p>
    <w:p w14:paraId="47D746EE" w14:textId="77777777" w:rsidR="0014200A" w:rsidRDefault="0014200A" w:rsidP="000737CB"/>
    <w:p w14:paraId="2DE49071" w14:textId="77777777" w:rsidR="007F5605" w:rsidRPr="0021550A" w:rsidRDefault="007F5605" w:rsidP="000737CB"/>
    <w:tbl>
      <w:tblPr>
        <w:tblStyle w:val="GridTable1Light1"/>
        <w:tblW w:w="0" w:type="auto"/>
        <w:tblInd w:w="-113" w:type="dxa"/>
        <w:tblLayout w:type="fixed"/>
        <w:tblLook w:val="0020" w:firstRow="1" w:lastRow="0" w:firstColumn="0" w:lastColumn="0" w:noHBand="0" w:noVBand="0"/>
      </w:tblPr>
      <w:tblGrid>
        <w:gridCol w:w="2268"/>
        <w:gridCol w:w="2160"/>
        <w:gridCol w:w="2160"/>
      </w:tblGrid>
      <w:tr w:rsidR="0014200A" w:rsidRPr="0021550A" w14:paraId="3E98FB7E" w14:textId="77777777" w:rsidTr="008B401F">
        <w:trPr>
          <w:cnfStyle w:val="100000000000" w:firstRow="1" w:lastRow="0" w:firstColumn="0" w:lastColumn="0" w:oddVBand="0" w:evenVBand="0" w:oddHBand="0" w:evenHBand="0" w:firstRowFirstColumn="0" w:firstRowLastColumn="0" w:lastRowFirstColumn="0" w:lastRowLastColumn="0"/>
          <w:trHeight w:val="288"/>
        </w:trPr>
        <w:tc>
          <w:tcPr>
            <w:tcW w:w="2268" w:type="dxa"/>
            <w:vAlign w:val="center"/>
          </w:tcPr>
          <w:p w14:paraId="28C8FCCB" w14:textId="77777777" w:rsidR="0014200A" w:rsidRPr="0021550A" w:rsidRDefault="0014200A" w:rsidP="002B24C0">
            <w:pPr>
              <w:ind w:firstLine="0"/>
              <w:jc w:val="center"/>
            </w:pPr>
          </w:p>
        </w:tc>
        <w:tc>
          <w:tcPr>
            <w:tcW w:w="2160" w:type="dxa"/>
            <w:vAlign w:val="center"/>
          </w:tcPr>
          <w:p w14:paraId="4196B38A" w14:textId="77777777" w:rsidR="0014200A" w:rsidRPr="0021550A" w:rsidRDefault="0014200A" w:rsidP="002B24C0">
            <w:pPr>
              <w:ind w:firstLine="0"/>
              <w:jc w:val="center"/>
            </w:pPr>
            <w:r w:rsidRPr="0021550A">
              <w:t>Quire a</w:t>
            </w:r>
          </w:p>
        </w:tc>
        <w:tc>
          <w:tcPr>
            <w:tcW w:w="2160" w:type="dxa"/>
            <w:vAlign w:val="center"/>
          </w:tcPr>
          <w:p w14:paraId="4D728D06" w14:textId="77777777" w:rsidR="0014200A" w:rsidRPr="0021550A" w:rsidRDefault="0014200A" w:rsidP="002B24C0">
            <w:pPr>
              <w:ind w:firstLine="0"/>
              <w:jc w:val="center"/>
            </w:pPr>
            <w:r w:rsidRPr="0021550A">
              <w:t>Quire s</w:t>
            </w:r>
          </w:p>
        </w:tc>
      </w:tr>
      <w:tr w:rsidR="0014200A" w:rsidRPr="0021550A" w14:paraId="3D4461F5" w14:textId="77777777" w:rsidTr="008B401F">
        <w:trPr>
          <w:trHeight w:val="288"/>
        </w:trPr>
        <w:tc>
          <w:tcPr>
            <w:tcW w:w="2268" w:type="dxa"/>
            <w:vAlign w:val="center"/>
          </w:tcPr>
          <w:p w14:paraId="0DF4E239" w14:textId="77777777" w:rsidR="0014200A" w:rsidRPr="002B24C0" w:rsidRDefault="0014200A" w:rsidP="002B24C0">
            <w:pPr>
              <w:ind w:firstLine="0"/>
              <w:jc w:val="center"/>
              <w:rPr>
                <w:i/>
              </w:rPr>
            </w:pPr>
            <w:r w:rsidRPr="002B24C0">
              <w:rPr>
                <w:i/>
              </w:rPr>
              <w:t>y</w:t>
            </w:r>
          </w:p>
        </w:tc>
        <w:tc>
          <w:tcPr>
            <w:tcW w:w="2160" w:type="dxa"/>
            <w:vAlign w:val="center"/>
          </w:tcPr>
          <w:p w14:paraId="06976932" w14:textId="77777777" w:rsidR="0014200A" w:rsidRPr="0021550A" w:rsidRDefault="0014200A" w:rsidP="002B24C0">
            <w:pPr>
              <w:ind w:firstLine="0"/>
              <w:jc w:val="center"/>
            </w:pPr>
            <w:r w:rsidRPr="0021550A">
              <w:t>4</w:t>
            </w:r>
          </w:p>
        </w:tc>
        <w:tc>
          <w:tcPr>
            <w:tcW w:w="2160" w:type="dxa"/>
            <w:vAlign w:val="center"/>
          </w:tcPr>
          <w:p w14:paraId="79AB5763" w14:textId="77777777" w:rsidR="0014200A" w:rsidRPr="0021550A" w:rsidRDefault="0014200A" w:rsidP="002B24C0">
            <w:pPr>
              <w:ind w:firstLine="0"/>
              <w:jc w:val="center"/>
            </w:pPr>
            <w:r w:rsidRPr="0021550A">
              <w:t>8</w:t>
            </w:r>
          </w:p>
        </w:tc>
      </w:tr>
      <w:tr w:rsidR="0014200A" w:rsidRPr="0021550A" w14:paraId="301237E6" w14:textId="77777777" w:rsidTr="00EC1F82">
        <w:trPr>
          <w:trHeight w:val="288"/>
        </w:trPr>
        <w:tc>
          <w:tcPr>
            <w:tcW w:w="2268" w:type="dxa"/>
            <w:shd w:val="clear" w:color="auto" w:fill="FFF2CC" w:themeFill="accent4" w:themeFillTint="33"/>
            <w:vAlign w:val="center"/>
          </w:tcPr>
          <w:p w14:paraId="036ECA8D" w14:textId="77777777" w:rsidR="0014200A" w:rsidRPr="002B24C0" w:rsidRDefault="0014200A" w:rsidP="002B24C0">
            <w:pPr>
              <w:ind w:firstLine="0"/>
              <w:jc w:val="center"/>
              <w:rPr>
                <w:i/>
              </w:rPr>
            </w:pPr>
            <w:r w:rsidRPr="002B24C0">
              <w:rPr>
                <w:i/>
              </w:rPr>
              <w:lastRenderedPageBreak/>
              <w:t>i</w:t>
            </w:r>
          </w:p>
        </w:tc>
        <w:tc>
          <w:tcPr>
            <w:tcW w:w="2160" w:type="dxa"/>
            <w:shd w:val="clear" w:color="auto" w:fill="FFF2CC" w:themeFill="accent4" w:themeFillTint="33"/>
            <w:vAlign w:val="center"/>
          </w:tcPr>
          <w:p w14:paraId="4C5D2ED5" w14:textId="77777777" w:rsidR="0014200A" w:rsidRPr="0021550A" w:rsidRDefault="0014200A" w:rsidP="002B24C0">
            <w:pPr>
              <w:ind w:firstLine="0"/>
              <w:jc w:val="center"/>
            </w:pPr>
            <w:r w:rsidRPr="0021550A">
              <w:t>23</w:t>
            </w:r>
          </w:p>
        </w:tc>
        <w:tc>
          <w:tcPr>
            <w:tcW w:w="2160" w:type="dxa"/>
            <w:shd w:val="clear" w:color="auto" w:fill="FFF2CC" w:themeFill="accent4" w:themeFillTint="33"/>
            <w:vAlign w:val="center"/>
          </w:tcPr>
          <w:p w14:paraId="2DDA7048" w14:textId="77777777" w:rsidR="0014200A" w:rsidRPr="0021550A" w:rsidRDefault="0014200A" w:rsidP="002B24C0">
            <w:pPr>
              <w:ind w:firstLine="0"/>
              <w:jc w:val="center"/>
            </w:pPr>
            <w:r w:rsidRPr="0021550A">
              <w:t>130</w:t>
            </w:r>
          </w:p>
        </w:tc>
      </w:tr>
    </w:tbl>
    <w:p w14:paraId="45F73FCE" w14:textId="40C71380" w:rsidR="0014200A" w:rsidRPr="0021550A" w:rsidRDefault="00B85811" w:rsidP="000737CB">
      <w:pPr>
        <w:pStyle w:val="Caption"/>
      </w:pPr>
      <w:bookmarkStart w:id="97" w:name="_Toc499753474"/>
      <w:r>
        <w:t>Table 4.10:</w:t>
      </w:r>
      <w:r w:rsidR="0014200A" w:rsidRPr="0021550A">
        <w:t xml:space="preserve"> Frequencies of the spelling variants for </w:t>
      </w:r>
      <w:r w:rsidR="0014200A" w:rsidRPr="0021550A">
        <w:rPr>
          <w:smallCaps/>
        </w:rPr>
        <w:t>i</w:t>
      </w:r>
      <w:r w:rsidR="0014200A" w:rsidRPr="0021550A">
        <w:t xml:space="preserve"> in the </w:t>
      </w:r>
      <w:r w:rsidR="0014200A" w:rsidRPr="0021550A">
        <w:rPr>
          <w:i/>
        </w:rPr>
        <w:t>Canterbury Tales</w:t>
      </w:r>
      <w:bookmarkEnd w:id="97"/>
    </w:p>
    <w:p w14:paraId="3957A617" w14:textId="77777777" w:rsidR="0014200A" w:rsidRPr="0021550A" w:rsidRDefault="0014200A" w:rsidP="000737CB"/>
    <w:p w14:paraId="728B9B8A" w14:textId="388B2674" w:rsidR="0014200A" w:rsidRDefault="004D4BD1" w:rsidP="000737CB">
      <w:r>
        <w:t>Table 4.10</w:t>
      </w:r>
      <w:r w:rsidR="0014200A" w:rsidRPr="0021550A">
        <w:t xml:space="preserve"> shows that the word </w:t>
      </w:r>
      <w:r w:rsidR="0014200A" w:rsidRPr="0021550A">
        <w:rPr>
          <w:smallCaps/>
        </w:rPr>
        <w:t>i</w:t>
      </w:r>
      <w:r w:rsidR="0014200A" w:rsidRPr="0021550A">
        <w:t xml:space="preserve"> was used far more often in Quire s than in Quire a. In terms of choices of spelling variant, </w:t>
      </w:r>
      <w:r w:rsidR="0014200A" w:rsidRPr="0021550A">
        <w:rPr>
          <w:i/>
        </w:rPr>
        <w:t>i</w:t>
      </w:r>
      <w:r w:rsidR="0014200A" w:rsidRPr="0021550A">
        <w:t xml:space="preserve"> was used as the spelling to represent </w:t>
      </w:r>
      <w:r w:rsidR="0014200A" w:rsidRPr="0021550A">
        <w:rPr>
          <w:smallCaps/>
        </w:rPr>
        <w:t>i</w:t>
      </w:r>
      <w:r w:rsidR="0014200A" w:rsidRPr="0021550A">
        <w:t xml:space="preserve"> most </w:t>
      </w:r>
      <w:r w:rsidR="00A74476">
        <w:t xml:space="preserve">of </w:t>
      </w:r>
      <w:r w:rsidR="0014200A" w:rsidRPr="0021550A">
        <w:t xml:space="preserve">the time in both quires, but without normalisation the cluster analysis will see that there is a big difference in frequency between the use of </w:t>
      </w:r>
      <w:r w:rsidR="0014200A" w:rsidRPr="0021550A">
        <w:rPr>
          <w:i/>
        </w:rPr>
        <w:t>i</w:t>
      </w:r>
      <w:r w:rsidR="0014200A" w:rsidRPr="0021550A">
        <w:t xml:space="preserve"> in Quire a and Quire s, and the two quires may not be clustered together. We can represent the relative uses o</w:t>
      </w:r>
      <w:r w:rsidR="00063BFC">
        <w:t>f spelling variants using ratio</w:t>
      </w:r>
      <w:r w:rsidR="0014200A" w:rsidRPr="0021550A">
        <w:t xml:space="preserve">s. </w:t>
      </w:r>
      <w:r>
        <w:t>Table 4.11</w:t>
      </w:r>
      <w:r w:rsidR="0014200A" w:rsidRPr="0021550A">
        <w:t xml:space="preserve"> gives the ratios for the variant spellings of </w:t>
      </w:r>
      <w:r w:rsidR="0014200A" w:rsidRPr="0021550A">
        <w:rPr>
          <w:smallCaps/>
        </w:rPr>
        <w:t>i</w:t>
      </w:r>
      <w:r w:rsidR="0014200A" w:rsidRPr="0021550A">
        <w:t xml:space="preserve">. </w:t>
      </w:r>
    </w:p>
    <w:p w14:paraId="112026F1" w14:textId="77777777" w:rsidR="003F5572" w:rsidRPr="0021550A" w:rsidRDefault="003F5572" w:rsidP="000737CB"/>
    <w:tbl>
      <w:tblPr>
        <w:tblStyle w:val="GridTable1Light1"/>
        <w:tblW w:w="0" w:type="auto"/>
        <w:tblInd w:w="-113" w:type="dxa"/>
        <w:tblLayout w:type="fixed"/>
        <w:tblLook w:val="0020" w:firstRow="1" w:lastRow="0" w:firstColumn="0" w:lastColumn="0" w:noHBand="0" w:noVBand="0"/>
      </w:tblPr>
      <w:tblGrid>
        <w:gridCol w:w="2268"/>
        <w:gridCol w:w="2160"/>
        <w:gridCol w:w="2160"/>
      </w:tblGrid>
      <w:tr w:rsidR="0014200A" w:rsidRPr="0021550A" w14:paraId="55E95408" w14:textId="77777777" w:rsidTr="008B401F">
        <w:trPr>
          <w:cnfStyle w:val="100000000000" w:firstRow="1" w:lastRow="0" w:firstColumn="0" w:lastColumn="0" w:oddVBand="0" w:evenVBand="0" w:oddHBand="0" w:evenHBand="0" w:firstRowFirstColumn="0" w:firstRowLastColumn="0" w:lastRowFirstColumn="0" w:lastRowLastColumn="0"/>
          <w:trHeight w:val="288"/>
        </w:trPr>
        <w:tc>
          <w:tcPr>
            <w:tcW w:w="2268" w:type="dxa"/>
            <w:vAlign w:val="center"/>
          </w:tcPr>
          <w:p w14:paraId="70DAFF81" w14:textId="77777777" w:rsidR="0014200A" w:rsidRPr="0021550A" w:rsidRDefault="0014200A" w:rsidP="008B401F">
            <w:pPr>
              <w:ind w:firstLine="0"/>
              <w:jc w:val="center"/>
            </w:pPr>
          </w:p>
        </w:tc>
        <w:tc>
          <w:tcPr>
            <w:tcW w:w="2160" w:type="dxa"/>
            <w:vAlign w:val="center"/>
          </w:tcPr>
          <w:p w14:paraId="1C88FA2B" w14:textId="77777777" w:rsidR="0014200A" w:rsidRPr="0021550A" w:rsidRDefault="0014200A" w:rsidP="008B401F">
            <w:pPr>
              <w:ind w:firstLine="0"/>
              <w:jc w:val="center"/>
            </w:pPr>
            <w:r w:rsidRPr="0021550A">
              <w:t>Quire a</w:t>
            </w:r>
          </w:p>
        </w:tc>
        <w:tc>
          <w:tcPr>
            <w:tcW w:w="2160" w:type="dxa"/>
            <w:vAlign w:val="center"/>
          </w:tcPr>
          <w:p w14:paraId="4DF1F24D" w14:textId="77777777" w:rsidR="0014200A" w:rsidRPr="0021550A" w:rsidRDefault="0014200A" w:rsidP="008B401F">
            <w:pPr>
              <w:ind w:firstLine="0"/>
              <w:jc w:val="center"/>
            </w:pPr>
            <w:r w:rsidRPr="0021550A">
              <w:t>Quire s</w:t>
            </w:r>
          </w:p>
        </w:tc>
      </w:tr>
      <w:tr w:rsidR="0014200A" w:rsidRPr="0021550A" w14:paraId="6A415922" w14:textId="77777777" w:rsidTr="008B401F">
        <w:trPr>
          <w:trHeight w:val="288"/>
        </w:trPr>
        <w:tc>
          <w:tcPr>
            <w:tcW w:w="2268" w:type="dxa"/>
            <w:vAlign w:val="center"/>
          </w:tcPr>
          <w:p w14:paraId="73498B7F" w14:textId="77777777" w:rsidR="0014200A" w:rsidRPr="0071249C" w:rsidRDefault="0014200A" w:rsidP="008B401F">
            <w:pPr>
              <w:ind w:firstLine="0"/>
              <w:jc w:val="center"/>
              <w:rPr>
                <w:i/>
              </w:rPr>
            </w:pPr>
            <w:r w:rsidRPr="0071249C">
              <w:rPr>
                <w:i/>
              </w:rPr>
              <w:t>y</w:t>
            </w:r>
          </w:p>
        </w:tc>
        <w:tc>
          <w:tcPr>
            <w:tcW w:w="2160" w:type="dxa"/>
            <w:vAlign w:val="center"/>
          </w:tcPr>
          <w:p w14:paraId="67798A1C" w14:textId="77777777" w:rsidR="0014200A" w:rsidRPr="0021550A" w:rsidRDefault="0014200A" w:rsidP="008B401F">
            <w:pPr>
              <w:ind w:firstLine="0"/>
              <w:jc w:val="center"/>
            </w:pPr>
            <w:r w:rsidRPr="0021550A">
              <w:t>0.15</w:t>
            </w:r>
          </w:p>
        </w:tc>
        <w:tc>
          <w:tcPr>
            <w:tcW w:w="2160" w:type="dxa"/>
            <w:vAlign w:val="center"/>
          </w:tcPr>
          <w:p w14:paraId="3CB4417E" w14:textId="77777777" w:rsidR="0014200A" w:rsidRPr="0021550A" w:rsidRDefault="0014200A" w:rsidP="008B401F">
            <w:pPr>
              <w:ind w:firstLine="0"/>
              <w:jc w:val="center"/>
            </w:pPr>
            <w:r w:rsidRPr="0021550A">
              <w:t>0.06</w:t>
            </w:r>
          </w:p>
        </w:tc>
      </w:tr>
      <w:tr w:rsidR="0014200A" w:rsidRPr="0021550A" w14:paraId="72DAB574" w14:textId="77777777" w:rsidTr="00EC1F82">
        <w:trPr>
          <w:trHeight w:val="288"/>
        </w:trPr>
        <w:tc>
          <w:tcPr>
            <w:tcW w:w="2268" w:type="dxa"/>
            <w:shd w:val="clear" w:color="auto" w:fill="FFF2CC" w:themeFill="accent4" w:themeFillTint="33"/>
            <w:vAlign w:val="center"/>
          </w:tcPr>
          <w:p w14:paraId="68056FCD" w14:textId="77777777" w:rsidR="0014200A" w:rsidRPr="0071249C" w:rsidRDefault="0014200A" w:rsidP="008B401F">
            <w:pPr>
              <w:ind w:firstLine="0"/>
              <w:jc w:val="center"/>
              <w:rPr>
                <w:i/>
              </w:rPr>
            </w:pPr>
            <w:r w:rsidRPr="0071249C">
              <w:rPr>
                <w:i/>
              </w:rPr>
              <w:t>i</w:t>
            </w:r>
          </w:p>
        </w:tc>
        <w:tc>
          <w:tcPr>
            <w:tcW w:w="2160" w:type="dxa"/>
            <w:shd w:val="clear" w:color="auto" w:fill="FFF2CC" w:themeFill="accent4" w:themeFillTint="33"/>
            <w:vAlign w:val="center"/>
          </w:tcPr>
          <w:p w14:paraId="339EEE61" w14:textId="77777777" w:rsidR="0014200A" w:rsidRPr="0021550A" w:rsidRDefault="0014200A" w:rsidP="008B401F">
            <w:pPr>
              <w:ind w:firstLine="0"/>
              <w:jc w:val="center"/>
            </w:pPr>
            <w:r w:rsidRPr="0021550A">
              <w:t>0.85</w:t>
            </w:r>
          </w:p>
        </w:tc>
        <w:tc>
          <w:tcPr>
            <w:tcW w:w="2160" w:type="dxa"/>
            <w:shd w:val="clear" w:color="auto" w:fill="FFF2CC" w:themeFill="accent4" w:themeFillTint="33"/>
            <w:vAlign w:val="center"/>
          </w:tcPr>
          <w:p w14:paraId="732BD015" w14:textId="77777777" w:rsidR="0014200A" w:rsidRPr="0021550A" w:rsidRDefault="0014200A" w:rsidP="008B401F">
            <w:pPr>
              <w:ind w:firstLine="0"/>
              <w:jc w:val="center"/>
            </w:pPr>
            <w:r w:rsidRPr="0021550A">
              <w:t>0.94</w:t>
            </w:r>
          </w:p>
        </w:tc>
      </w:tr>
    </w:tbl>
    <w:p w14:paraId="4B701ED9" w14:textId="15464C7C" w:rsidR="0014200A" w:rsidRPr="0021550A" w:rsidRDefault="004D4BD1" w:rsidP="000737CB">
      <w:pPr>
        <w:pStyle w:val="Caption"/>
      </w:pPr>
      <w:bookmarkStart w:id="98" w:name="_Toc499753475"/>
      <w:r>
        <w:t>Table 4.11:</w:t>
      </w:r>
      <w:r w:rsidR="0014200A" w:rsidRPr="0021550A">
        <w:t xml:space="preserve"> Ratios of the spelling variants for </w:t>
      </w:r>
      <w:r w:rsidR="0014200A" w:rsidRPr="0021550A">
        <w:rPr>
          <w:smallCaps/>
        </w:rPr>
        <w:t>i</w:t>
      </w:r>
      <w:r w:rsidR="0014200A" w:rsidRPr="0021550A">
        <w:t xml:space="preserve"> in the </w:t>
      </w:r>
      <w:r w:rsidR="0014200A" w:rsidRPr="0021550A">
        <w:rPr>
          <w:i/>
        </w:rPr>
        <w:t>Canterbury Tales</w:t>
      </w:r>
      <w:bookmarkEnd w:id="98"/>
    </w:p>
    <w:p w14:paraId="275C407A" w14:textId="77777777" w:rsidR="0014200A" w:rsidRPr="0021550A" w:rsidRDefault="0014200A" w:rsidP="000737CB"/>
    <w:p w14:paraId="495A7CCC" w14:textId="44F0E3D9" w:rsidR="007F5605" w:rsidRDefault="004D4BD1" w:rsidP="000737CB">
      <w:r>
        <w:t>Table 4.11</w:t>
      </w:r>
      <w:r w:rsidR="0014200A" w:rsidRPr="0021550A">
        <w:t xml:space="preserve"> shows the relative rates of usage for each variant spelling for </w:t>
      </w:r>
      <w:r w:rsidR="0014200A" w:rsidRPr="0021550A">
        <w:rPr>
          <w:smallCaps/>
        </w:rPr>
        <w:t>i</w:t>
      </w:r>
      <w:r w:rsidR="0014200A" w:rsidRPr="0021550A">
        <w:t xml:space="preserve"> in the </w:t>
      </w:r>
      <w:r w:rsidR="0014200A" w:rsidRPr="0021550A">
        <w:rPr>
          <w:i/>
          <w:iCs/>
        </w:rPr>
        <w:t>Canterbury Tales.</w:t>
      </w:r>
      <w:r w:rsidR="0014200A" w:rsidRPr="0021550A">
        <w:t xml:space="preserve"> Here the information is transformed so that we can see the rates at which each quire makes use of the variants </w:t>
      </w:r>
      <w:r w:rsidR="0014200A" w:rsidRPr="0021550A">
        <w:rPr>
          <w:i/>
        </w:rPr>
        <w:t>i</w:t>
      </w:r>
      <w:r w:rsidR="0014200A" w:rsidRPr="0021550A">
        <w:t xml:space="preserve"> and </w:t>
      </w:r>
      <w:r w:rsidR="0014200A" w:rsidRPr="0021550A">
        <w:rPr>
          <w:i/>
        </w:rPr>
        <w:t>y</w:t>
      </w:r>
      <w:r w:rsidR="0014200A" w:rsidRPr="0021550A">
        <w:t xml:space="preserve">. Previously, the far higher frequency of </w:t>
      </w:r>
      <w:r w:rsidR="0014200A" w:rsidRPr="0021550A">
        <w:rPr>
          <w:i/>
          <w:iCs/>
        </w:rPr>
        <w:t>i</w:t>
      </w:r>
      <w:r w:rsidR="0014200A" w:rsidRPr="0021550A">
        <w:t xml:space="preserve"> used in Quire s may have caused the clustering algorithm to believe the two quires’ use of the variants for </w:t>
      </w:r>
      <w:r w:rsidR="0014200A" w:rsidRPr="0021550A">
        <w:rPr>
          <w:smallCaps/>
        </w:rPr>
        <w:t>i</w:t>
      </w:r>
      <w:r w:rsidR="0014200A" w:rsidRPr="0021550A">
        <w:t xml:space="preserve"> were more different than they are. The introduction of normalisation prevents skewing created by the greater frequencies of some words depending on the frequencies of each distinct word in each quire. </w:t>
      </w:r>
    </w:p>
    <w:p w14:paraId="0E579F9F" w14:textId="662D9064" w:rsidR="007F5605" w:rsidRPr="0021550A" w:rsidRDefault="0014200A" w:rsidP="007F5605">
      <w:r w:rsidRPr="0021550A">
        <w:t xml:space="preserve">We can expand </w:t>
      </w:r>
      <w:r w:rsidR="004D4BD1">
        <w:t>Table 4.11</w:t>
      </w:r>
      <w:r w:rsidRPr="0021550A">
        <w:t xml:space="preserve"> to include the variant spellings for </w:t>
      </w:r>
      <w:r w:rsidRPr="0021550A">
        <w:rPr>
          <w:smallCaps/>
        </w:rPr>
        <w:t>there, not,</w:t>
      </w:r>
      <w:r w:rsidRPr="0021550A">
        <w:t xml:space="preserve"> and </w:t>
      </w:r>
      <w:r w:rsidRPr="0021550A">
        <w:rPr>
          <w:smallCaps/>
        </w:rPr>
        <w:t>her</w:t>
      </w:r>
      <w:r w:rsidRPr="0021550A">
        <w:t xml:space="preserve">, transformed into ratios, as in </w:t>
      </w:r>
      <w:r w:rsidR="004D4BD1">
        <w:t>Table 4.12</w:t>
      </w:r>
      <w:r w:rsidRPr="0021550A">
        <w:t xml:space="preserve">. </w:t>
      </w:r>
      <w:r w:rsidR="004D4BD1">
        <w:t>Table 4.12</w:t>
      </w:r>
      <w:r w:rsidR="007F5605" w:rsidRPr="0021550A">
        <w:t xml:space="preserve"> shows the ratios of use for each spelling variant of </w:t>
      </w:r>
      <w:r w:rsidR="007F5605" w:rsidRPr="0021550A">
        <w:rPr>
          <w:smallCaps/>
        </w:rPr>
        <w:t>i, there, not</w:t>
      </w:r>
      <w:r w:rsidR="007F5605" w:rsidRPr="0021550A">
        <w:t xml:space="preserve"> and </w:t>
      </w:r>
      <w:r w:rsidR="007F5605" w:rsidRPr="0021550A">
        <w:rPr>
          <w:smallCaps/>
        </w:rPr>
        <w:t>her</w:t>
      </w:r>
      <w:r w:rsidR="007F5605" w:rsidRPr="0021550A">
        <w:t xml:space="preserve"> within Quire a and Quire s of the </w:t>
      </w:r>
      <w:r w:rsidR="007F5605" w:rsidRPr="0021550A">
        <w:rPr>
          <w:i/>
          <w:iCs/>
        </w:rPr>
        <w:t>Canterbury Tales</w:t>
      </w:r>
      <w:r w:rsidR="007F5605" w:rsidRPr="0021550A">
        <w:t xml:space="preserve">. The spelling variants that are used the most within each quire are highlighted in blue. Of the four words, three words tend to use the same spelling variant. Only one word, </w:t>
      </w:r>
      <w:r w:rsidR="007F5605" w:rsidRPr="0021550A">
        <w:rPr>
          <w:smallCaps/>
        </w:rPr>
        <w:t>her</w:t>
      </w:r>
      <w:r w:rsidR="007F5605" w:rsidRPr="0021550A">
        <w:t xml:space="preserve">, uses different variants most often in Quire a and Quire s. It is not surprising that Quire a and Quire s use similar spellings, because both quires were set by the same compositor and likely used the same copy text. Imposing normalisation in this manner means that each word is considered in isolation, and the variation of words with few tokens are given the same weight as more frequent words. Additionally, the normalisation removes problems introduced by varying frequencies of words between quires. </w:t>
      </w:r>
    </w:p>
    <w:p w14:paraId="54E64A0B" w14:textId="2F727913" w:rsidR="0014200A" w:rsidRPr="0021550A" w:rsidRDefault="0014200A" w:rsidP="000737CB"/>
    <w:tbl>
      <w:tblPr>
        <w:tblStyle w:val="GridTable1Light1"/>
        <w:tblW w:w="0" w:type="auto"/>
        <w:tblInd w:w="-113" w:type="dxa"/>
        <w:tblLayout w:type="fixed"/>
        <w:tblLook w:val="0020" w:firstRow="1" w:lastRow="0" w:firstColumn="0" w:lastColumn="0" w:noHBand="0" w:noVBand="0"/>
      </w:tblPr>
      <w:tblGrid>
        <w:gridCol w:w="2245"/>
        <w:gridCol w:w="2543"/>
        <w:gridCol w:w="1800"/>
      </w:tblGrid>
      <w:tr w:rsidR="002B24C0" w:rsidRPr="0021550A" w14:paraId="044ACF91" w14:textId="77777777" w:rsidTr="008B401F">
        <w:trPr>
          <w:cnfStyle w:val="100000000000" w:firstRow="1" w:lastRow="0" w:firstColumn="0" w:lastColumn="0" w:oddVBand="0" w:evenVBand="0" w:oddHBand="0" w:evenHBand="0" w:firstRowFirstColumn="0" w:firstRowLastColumn="0" w:lastRowFirstColumn="0" w:lastRowLastColumn="0"/>
          <w:trHeight w:val="288"/>
        </w:trPr>
        <w:tc>
          <w:tcPr>
            <w:tcW w:w="2245" w:type="dxa"/>
            <w:vAlign w:val="center"/>
          </w:tcPr>
          <w:p w14:paraId="7A9A7674" w14:textId="77777777" w:rsidR="0014200A" w:rsidRPr="0021550A" w:rsidRDefault="0014200A" w:rsidP="002B24C0">
            <w:pPr>
              <w:ind w:hanging="6"/>
              <w:jc w:val="center"/>
            </w:pPr>
          </w:p>
        </w:tc>
        <w:tc>
          <w:tcPr>
            <w:tcW w:w="2543" w:type="dxa"/>
            <w:vAlign w:val="center"/>
          </w:tcPr>
          <w:p w14:paraId="12BF357B" w14:textId="51691C17" w:rsidR="0014200A" w:rsidRPr="0021550A" w:rsidRDefault="00265527" w:rsidP="00265527">
            <w:pPr>
              <w:ind w:hanging="6"/>
              <w:jc w:val="center"/>
            </w:pPr>
            <w:r>
              <w:t>Quire a</w:t>
            </w:r>
          </w:p>
        </w:tc>
        <w:tc>
          <w:tcPr>
            <w:tcW w:w="1800" w:type="dxa"/>
            <w:vAlign w:val="center"/>
          </w:tcPr>
          <w:p w14:paraId="4C73748B" w14:textId="1836495C" w:rsidR="0014200A" w:rsidRPr="0021550A" w:rsidRDefault="00265527" w:rsidP="00265527">
            <w:pPr>
              <w:ind w:hanging="6"/>
              <w:jc w:val="center"/>
            </w:pPr>
            <w:r>
              <w:t>Quire s</w:t>
            </w:r>
          </w:p>
        </w:tc>
      </w:tr>
      <w:tr w:rsidR="002B24C0" w:rsidRPr="0021550A" w14:paraId="4C8B8041" w14:textId="77777777" w:rsidTr="008B401F">
        <w:trPr>
          <w:trHeight w:val="288"/>
        </w:trPr>
        <w:tc>
          <w:tcPr>
            <w:tcW w:w="2245" w:type="dxa"/>
            <w:vAlign w:val="center"/>
          </w:tcPr>
          <w:p w14:paraId="4509A3B3" w14:textId="77777777" w:rsidR="0014200A" w:rsidRPr="002B24C0" w:rsidRDefault="0014200A" w:rsidP="002B24C0">
            <w:pPr>
              <w:ind w:hanging="6"/>
              <w:jc w:val="center"/>
              <w:rPr>
                <w:i/>
              </w:rPr>
            </w:pPr>
            <w:r w:rsidRPr="002B24C0">
              <w:rPr>
                <w:i/>
              </w:rPr>
              <w:t>y</w:t>
            </w:r>
          </w:p>
        </w:tc>
        <w:tc>
          <w:tcPr>
            <w:tcW w:w="2543" w:type="dxa"/>
            <w:shd w:val="clear" w:color="auto" w:fill="auto"/>
            <w:vAlign w:val="center"/>
          </w:tcPr>
          <w:p w14:paraId="1DD9E272" w14:textId="77777777" w:rsidR="0014200A" w:rsidRPr="0021550A" w:rsidRDefault="0014200A" w:rsidP="002B24C0">
            <w:pPr>
              <w:ind w:hanging="6"/>
              <w:jc w:val="center"/>
            </w:pPr>
            <w:r w:rsidRPr="0021550A">
              <w:t>0.15</w:t>
            </w:r>
          </w:p>
        </w:tc>
        <w:tc>
          <w:tcPr>
            <w:tcW w:w="1800" w:type="dxa"/>
            <w:shd w:val="clear" w:color="auto" w:fill="auto"/>
            <w:vAlign w:val="center"/>
          </w:tcPr>
          <w:p w14:paraId="4AD0EFC7" w14:textId="77777777" w:rsidR="0014200A" w:rsidRPr="0021550A" w:rsidRDefault="0014200A" w:rsidP="002B24C0">
            <w:pPr>
              <w:ind w:hanging="6"/>
              <w:jc w:val="center"/>
            </w:pPr>
            <w:r w:rsidRPr="0021550A">
              <w:t>0.06</w:t>
            </w:r>
          </w:p>
        </w:tc>
      </w:tr>
      <w:tr w:rsidR="002B24C0" w:rsidRPr="0021550A" w14:paraId="470A65FE" w14:textId="77777777" w:rsidTr="00EC1F82">
        <w:trPr>
          <w:trHeight w:val="288"/>
        </w:trPr>
        <w:tc>
          <w:tcPr>
            <w:tcW w:w="2245" w:type="dxa"/>
            <w:tcBorders>
              <w:bottom w:val="single" w:sz="6" w:space="0" w:color="000000"/>
            </w:tcBorders>
            <w:shd w:val="clear" w:color="auto" w:fill="FFF2CC" w:themeFill="accent4" w:themeFillTint="33"/>
            <w:vAlign w:val="center"/>
          </w:tcPr>
          <w:p w14:paraId="1EC42B16" w14:textId="77777777" w:rsidR="0014200A" w:rsidRPr="002B24C0" w:rsidRDefault="0014200A" w:rsidP="002B24C0">
            <w:pPr>
              <w:ind w:hanging="6"/>
              <w:jc w:val="center"/>
              <w:rPr>
                <w:i/>
              </w:rPr>
            </w:pPr>
            <w:r w:rsidRPr="002B24C0">
              <w:rPr>
                <w:i/>
              </w:rPr>
              <w:lastRenderedPageBreak/>
              <w:t>i</w:t>
            </w:r>
          </w:p>
        </w:tc>
        <w:tc>
          <w:tcPr>
            <w:tcW w:w="2543" w:type="dxa"/>
            <w:tcBorders>
              <w:bottom w:val="single" w:sz="6" w:space="0" w:color="000000"/>
            </w:tcBorders>
            <w:shd w:val="clear" w:color="auto" w:fill="FFF2CC" w:themeFill="accent4" w:themeFillTint="33"/>
            <w:vAlign w:val="center"/>
          </w:tcPr>
          <w:p w14:paraId="66B5ACED" w14:textId="77777777" w:rsidR="0014200A" w:rsidRPr="0021550A" w:rsidRDefault="0014200A" w:rsidP="002B24C0">
            <w:pPr>
              <w:ind w:hanging="6"/>
              <w:jc w:val="center"/>
            </w:pPr>
            <w:r w:rsidRPr="0021550A">
              <w:t>0.85</w:t>
            </w:r>
          </w:p>
        </w:tc>
        <w:tc>
          <w:tcPr>
            <w:tcW w:w="1800" w:type="dxa"/>
            <w:tcBorders>
              <w:bottom w:val="single" w:sz="6" w:space="0" w:color="000000"/>
            </w:tcBorders>
            <w:shd w:val="clear" w:color="auto" w:fill="FFF2CC" w:themeFill="accent4" w:themeFillTint="33"/>
            <w:vAlign w:val="center"/>
          </w:tcPr>
          <w:p w14:paraId="62B7FA4E" w14:textId="77777777" w:rsidR="0014200A" w:rsidRPr="0021550A" w:rsidRDefault="0014200A" w:rsidP="002B24C0">
            <w:pPr>
              <w:ind w:hanging="6"/>
              <w:jc w:val="center"/>
            </w:pPr>
            <w:r w:rsidRPr="0021550A">
              <w:t>0.94</w:t>
            </w:r>
          </w:p>
        </w:tc>
      </w:tr>
      <w:tr w:rsidR="002B24C0" w:rsidRPr="0021550A" w14:paraId="034DDFC7" w14:textId="77777777" w:rsidTr="00EC1F82">
        <w:trPr>
          <w:trHeight w:val="288"/>
        </w:trPr>
        <w:tc>
          <w:tcPr>
            <w:tcW w:w="2245" w:type="dxa"/>
            <w:tcBorders>
              <w:top w:val="single" w:sz="6" w:space="0" w:color="000000"/>
            </w:tcBorders>
            <w:shd w:val="clear" w:color="auto" w:fill="FFF2CC" w:themeFill="accent4" w:themeFillTint="33"/>
            <w:vAlign w:val="center"/>
          </w:tcPr>
          <w:p w14:paraId="74F78B13" w14:textId="77777777" w:rsidR="0014200A" w:rsidRPr="002B24C0" w:rsidRDefault="0014200A" w:rsidP="002B24C0">
            <w:pPr>
              <w:ind w:hanging="6"/>
              <w:jc w:val="center"/>
              <w:rPr>
                <w:i/>
              </w:rPr>
            </w:pPr>
            <w:r w:rsidRPr="002B24C0">
              <w:rPr>
                <w:i/>
              </w:rPr>
              <w:t>ther</w:t>
            </w:r>
          </w:p>
        </w:tc>
        <w:tc>
          <w:tcPr>
            <w:tcW w:w="2543" w:type="dxa"/>
            <w:tcBorders>
              <w:top w:val="single" w:sz="6" w:space="0" w:color="000000"/>
            </w:tcBorders>
            <w:shd w:val="clear" w:color="auto" w:fill="FFF2CC" w:themeFill="accent4" w:themeFillTint="33"/>
            <w:vAlign w:val="center"/>
          </w:tcPr>
          <w:p w14:paraId="579F54E2" w14:textId="77777777" w:rsidR="0014200A" w:rsidRPr="0021550A" w:rsidRDefault="0014200A" w:rsidP="002B24C0">
            <w:pPr>
              <w:ind w:hanging="6"/>
              <w:jc w:val="center"/>
            </w:pPr>
            <w:r w:rsidRPr="0021550A">
              <w:t>0.67</w:t>
            </w:r>
          </w:p>
        </w:tc>
        <w:tc>
          <w:tcPr>
            <w:tcW w:w="1800" w:type="dxa"/>
            <w:tcBorders>
              <w:top w:val="single" w:sz="6" w:space="0" w:color="000000"/>
            </w:tcBorders>
            <w:shd w:val="clear" w:color="auto" w:fill="FFF2CC" w:themeFill="accent4" w:themeFillTint="33"/>
            <w:vAlign w:val="center"/>
          </w:tcPr>
          <w:p w14:paraId="16883B0B" w14:textId="77777777" w:rsidR="0014200A" w:rsidRPr="0021550A" w:rsidRDefault="0014200A" w:rsidP="002B24C0">
            <w:pPr>
              <w:ind w:hanging="6"/>
              <w:jc w:val="center"/>
            </w:pPr>
            <w:r w:rsidRPr="0021550A">
              <w:t>0.63</w:t>
            </w:r>
          </w:p>
        </w:tc>
      </w:tr>
      <w:tr w:rsidR="002B24C0" w:rsidRPr="0021550A" w14:paraId="52F5C489" w14:textId="77777777" w:rsidTr="008B401F">
        <w:trPr>
          <w:trHeight w:val="288"/>
        </w:trPr>
        <w:tc>
          <w:tcPr>
            <w:tcW w:w="2245" w:type="dxa"/>
            <w:tcBorders>
              <w:bottom w:val="single" w:sz="4" w:space="0" w:color="000000"/>
            </w:tcBorders>
            <w:vAlign w:val="center"/>
          </w:tcPr>
          <w:p w14:paraId="5D8E9368" w14:textId="77777777" w:rsidR="0014200A" w:rsidRPr="002B24C0" w:rsidRDefault="0014200A" w:rsidP="002B24C0">
            <w:pPr>
              <w:ind w:hanging="6"/>
              <w:jc w:val="center"/>
              <w:rPr>
                <w:i/>
              </w:rPr>
            </w:pPr>
            <w:r w:rsidRPr="002B24C0">
              <w:rPr>
                <w:i/>
              </w:rPr>
              <w:t>there</w:t>
            </w:r>
          </w:p>
        </w:tc>
        <w:tc>
          <w:tcPr>
            <w:tcW w:w="2543" w:type="dxa"/>
            <w:tcBorders>
              <w:bottom w:val="single" w:sz="4" w:space="0" w:color="000000"/>
            </w:tcBorders>
            <w:shd w:val="clear" w:color="auto" w:fill="auto"/>
            <w:vAlign w:val="center"/>
          </w:tcPr>
          <w:p w14:paraId="41B9ECE0" w14:textId="77777777" w:rsidR="0014200A" w:rsidRPr="0021550A" w:rsidRDefault="0014200A" w:rsidP="002B24C0">
            <w:pPr>
              <w:ind w:hanging="6"/>
              <w:jc w:val="center"/>
            </w:pPr>
            <w:r w:rsidRPr="0021550A">
              <w:t>0.33</w:t>
            </w:r>
          </w:p>
        </w:tc>
        <w:tc>
          <w:tcPr>
            <w:tcW w:w="1800" w:type="dxa"/>
            <w:tcBorders>
              <w:bottom w:val="single" w:sz="4" w:space="0" w:color="000000"/>
            </w:tcBorders>
            <w:shd w:val="clear" w:color="auto" w:fill="auto"/>
            <w:vAlign w:val="center"/>
          </w:tcPr>
          <w:p w14:paraId="14C13408" w14:textId="77777777" w:rsidR="0014200A" w:rsidRPr="0021550A" w:rsidRDefault="0014200A" w:rsidP="002B24C0">
            <w:pPr>
              <w:ind w:hanging="6"/>
              <w:jc w:val="center"/>
            </w:pPr>
            <w:r w:rsidRPr="0021550A">
              <w:t>0.37</w:t>
            </w:r>
          </w:p>
        </w:tc>
      </w:tr>
      <w:tr w:rsidR="002B24C0" w:rsidRPr="0021550A" w14:paraId="67AA57EC" w14:textId="77777777" w:rsidTr="00EC1F82">
        <w:trPr>
          <w:trHeight w:val="288"/>
        </w:trPr>
        <w:tc>
          <w:tcPr>
            <w:tcW w:w="2245" w:type="dxa"/>
            <w:tcBorders>
              <w:top w:val="single" w:sz="4" w:space="0" w:color="000000"/>
            </w:tcBorders>
            <w:shd w:val="clear" w:color="auto" w:fill="FFF2CC" w:themeFill="accent4" w:themeFillTint="33"/>
            <w:vAlign w:val="center"/>
          </w:tcPr>
          <w:p w14:paraId="3981AD5D" w14:textId="77777777" w:rsidR="0014200A" w:rsidRPr="002B24C0" w:rsidRDefault="0014200A" w:rsidP="002B24C0">
            <w:pPr>
              <w:ind w:hanging="6"/>
              <w:jc w:val="center"/>
              <w:rPr>
                <w:i/>
              </w:rPr>
            </w:pPr>
            <w:r w:rsidRPr="002B24C0">
              <w:rPr>
                <w:i/>
              </w:rPr>
              <w:t>not</w:t>
            </w:r>
          </w:p>
        </w:tc>
        <w:tc>
          <w:tcPr>
            <w:tcW w:w="2543" w:type="dxa"/>
            <w:tcBorders>
              <w:top w:val="single" w:sz="4" w:space="0" w:color="000000"/>
            </w:tcBorders>
            <w:shd w:val="clear" w:color="auto" w:fill="FFF2CC" w:themeFill="accent4" w:themeFillTint="33"/>
            <w:vAlign w:val="center"/>
          </w:tcPr>
          <w:p w14:paraId="3EE48A59" w14:textId="77777777" w:rsidR="0014200A" w:rsidRPr="0021550A" w:rsidRDefault="0014200A" w:rsidP="002B24C0">
            <w:pPr>
              <w:ind w:hanging="6"/>
              <w:jc w:val="center"/>
            </w:pPr>
            <w:r w:rsidRPr="0021550A">
              <w:t>1</w:t>
            </w:r>
          </w:p>
        </w:tc>
        <w:tc>
          <w:tcPr>
            <w:tcW w:w="1800" w:type="dxa"/>
            <w:tcBorders>
              <w:top w:val="single" w:sz="4" w:space="0" w:color="000000"/>
            </w:tcBorders>
            <w:shd w:val="clear" w:color="auto" w:fill="FFF2CC" w:themeFill="accent4" w:themeFillTint="33"/>
            <w:vAlign w:val="center"/>
          </w:tcPr>
          <w:p w14:paraId="609C4FB2" w14:textId="77777777" w:rsidR="0014200A" w:rsidRPr="0021550A" w:rsidRDefault="0014200A" w:rsidP="002B24C0">
            <w:pPr>
              <w:ind w:hanging="6"/>
              <w:jc w:val="center"/>
            </w:pPr>
            <w:r w:rsidRPr="0021550A">
              <w:t>0.89</w:t>
            </w:r>
          </w:p>
        </w:tc>
      </w:tr>
      <w:tr w:rsidR="002B24C0" w:rsidRPr="0021550A" w14:paraId="4B25B7D3" w14:textId="77777777" w:rsidTr="008B401F">
        <w:trPr>
          <w:trHeight w:val="288"/>
        </w:trPr>
        <w:tc>
          <w:tcPr>
            <w:tcW w:w="2245" w:type="dxa"/>
            <w:tcBorders>
              <w:bottom w:val="single" w:sz="6" w:space="0" w:color="000000"/>
            </w:tcBorders>
            <w:vAlign w:val="center"/>
          </w:tcPr>
          <w:p w14:paraId="0CFBE708" w14:textId="77777777" w:rsidR="0014200A" w:rsidRPr="002B24C0" w:rsidRDefault="0014200A" w:rsidP="002B24C0">
            <w:pPr>
              <w:ind w:hanging="6"/>
              <w:jc w:val="center"/>
              <w:rPr>
                <w:i/>
              </w:rPr>
            </w:pPr>
            <w:r w:rsidRPr="002B24C0">
              <w:rPr>
                <w:i/>
              </w:rPr>
              <w:t>nat</w:t>
            </w:r>
          </w:p>
        </w:tc>
        <w:tc>
          <w:tcPr>
            <w:tcW w:w="2543" w:type="dxa"/>
            <w:tcBorders>
              <w:bottom w:val="single" w:sz="6" w:space="0" w:color="000000"/>
            </w:tcBorders>
            <w:shd w:val="clear" w:color="auto" w:fill="auto"/>
            <w:vAlign w:val="center"/>
          </w:tcPr>
          <w:p w14:paraId="36DADFC5" w14:textId="77777777" w:rsidR="0014200A" w:rsidRPr="0021550A" w:rsidRDefault="0014200A" w:rsidP="002B24C0">
            <w:pPr>
              <w:ind w:hanging="6"/>
              <w:jc w:val="center"/>
            </w:pPr>
            <w:r w:rsidRPr="0021550A">
              <w:t>0</w:t>
            </w:r>
          </w:p>
        </w:tc>
        <w:tc>
          <w:tcPr>
            <w:tcW w:w="1800" w:type="dxa"/>
            <w:tcBorders>
              <w:bottom w:val="single" w:sz="6" w:space="0" w:color="000000"/>
            </w:tcBorders>
            <w:shd w:val="clear" w:color="auto" w:fill="auto"/>
            <w:vAlign w:val="center"/>
          </w:tcPr>
          <w:p w14:paraId="05C75572" w14:textId="77777777" w:rsidR="0014200A" w:rsidRPr="0021550A" w:rsidRDefault="0014200A" w:rsidP="002B24C0">
            <w:pPr>
              <w:ind w:hanging="6"/>
              <w:jc w:val="center"/>
            </w:pPr>
            <w:r w:rsidRPr="0021550A">
              <w:t>0.11</w:t>
            </w:r>
          </w:p>
        </w:tc>
      </w:tr>
      <w:tr w:rsidR="002B24C0" w:rsidRPr="0021550A" w14:paraId="00CB4404" w14:textId="77777777" w:rsidTr="008B401F">
        <w:trPr>
          <w:trHeight w:val="288"/>
        </w:trPr>
        <w:tc>
          <w:tcPr>
            <w:tcW w:w="2245" w:type="dxa"/>
            <w:tcBorders>
              <w:top w:val="single" w:sz="6" w:space="0" w:color="000000"/>
            </w:tcBorders>
            <w:vAlign w:val="center"/>
          </w:tcPr>
          <w:p w14:paraId="010A0973" w14:textId="77777777" w:rsidR="0014200A" w:rsidRPr="002B24C0" w:rsidRDefault="0014200A" w:rsidP="002B24C0">
            <w:pPr>
              <w:ind w:hanging="6"/>
              <w:jc w:val="center"/>
              <w:rPr>
                <w:i/>
              </w:rPr>
            </w:pPr>
            <w:r w:rsidRPr="002B24C0">
              <w:rPr>
                <w:i/>
              </w:rPr>
              <w:t>her</w:t>
            </w:r>
          </w:p>
        </w:tc>
        <w:tc>
          <w:tcPr>
            <w:tcW w:w="2543" w:type="dxa"/>
            <w:tcBorders>
              <w:top w:val="single" w:sz="6" w:space="0" w:color="000000"/>
            </w:tcBorders>
            <w:shd w:val="clear" w:color="auto" w:fill="auto"/>
            <w:vAlign w:val="center"/>
          </w:tcPr>
          <w:p w14:paraId="7919348D" w14:textId="77777777" w:rsidR="0014200A" w:rsidRPr="0021550A" w:rsidRDefault="0014200A" w:rsidP="002B24C0">
            <w:pPr>
              <w:ind w:hanging="6"/>
              <w:jc w:val="center"/>
            </w:pPr>
            <w:r w:rsidRPr="0021550A">
              <w:t>0.38</w:t>
            </w:r>
          </w:p>
        </w:tc>
        <w:tc>
          <w:tcPr>
            <w:tcW w:w="1800" w:type="dxa"/>
            <w:tcBorders>
              <w:top w:val="single" w:sz="6" w:space="0" w:color="000000"/>
            </w:tcBorders>
            <w:shd w:val="clear" w:color="auto" w:fill="FFF2CC" w:themeFill="accent4" w:themeFillTint="33"/>
            <w:vAlign w:val="center"/>
          </w:tcPr>
          <w:p w14:paraId="5701F2C5" w14:textId="77777777" w:rsidR="0014200A" w:rsidRPr="0021550A" w:rsidRDefault="0014200A" w:rsidP="002B24C0">
            <w:pPr>
              <w:ind w:hanging="6"/>
              <w:jc w:val="center"/>
            </w:pPr>
            <w:r w:rsidRPr="0021550A">
              <w:t>0.96</w:t>
            </w:r>
          </w:p>
        </w:tc>
      </w:tr>
      <w:tr w:rsidR="002B24C0" w:rsidRPr="0021550A" w14:paraId="5650BE25" w14:textId="77777777" w:rsidTr="008B401F">
        <w:trPr>
          <w:trHeight w:val="288"/>
        </w:trPr>
        <w:tc>
          <w:tcPr>
            <w:tcW w:w="2245" w:type="dxa"/>
            <w:vAlign w:val="center"/>
          </w:tcPr>
          <w:p w14:paraId="10FCF5C5" w14:textId="77777777" w:rsidR="0014200A" w:rsidRPr="002B24C0" w:rsidRDefault="0014200A" w:rsidP="002B24C0">
            <w:pPr>
              <w:ind w:hanging="6"/>
              <w:jc w:val="center"/>
              <w:rPr>
                <w:i/>
              </w:rPr>
            </w:pPr>
            <w:r w:rsidRPr="002B24C0">
              <w:rPr>
                <w:i/>
              </w:rPr>
              <w:t>hir</w:t>
            </w:r>
          </w:p>
        </w:tc>
        <w:tc>
          <w:tcPr>
            <w:tcW w:w="2543" w:type="dxa"/>
            <w:shd w:val="clear" w:color="auto" w:fill="FFF2CC" w:themeFill="accent4" w:themeFillTint="33"/>
            <w:vAlign w:val="center"/>
          </w:tcPr>
          <w:p w14:paraId="536D2F67" w14:textId="77777777" w:rsidR="0014200A" w:rsidRPr="0021550A" w:rsidRDefault="0014200A" w:rsidP="002B24C0">
            <w:pPr>
              <w:ind w:hanging="6"/>
              <w:jc w:val="center"/>
            </w:pPr>
            <w:r w:rsidRPr="0021550A">
              <w:t>0.58</w:t>
            </w:r>
          </w:p>
        </w:tc>
        <w:tc>
          <w:tcPr>
            <w:tcW w:w="1800" w:type="dxa"/>
            <w:shd w:val="clear" w:color="auto" w:fill="auto"/>
            <w:vAlign w:val="center"/>
          </w:tcPr>
          <w:p w14:paraId="1EC06789" w14:textId="77777777" w:rsidR="0014200A" w:rsidRPr="0021550A" w:rsidRDefault="0014200A" w:rsidP="002B24C0">
            <w:pPr>
              <w:ind w:hanging="6"/>
              <w:jc w:val="center"/>
            </w:pPr>
            <w:r w:rsidRPr="0021550A">
              <w:t>0.04</w:t>
            </w:r>
          </w:p>
        </w:tc>
      </w:tr>
      <w:tr w:rsidR="002B24C0" w:rsidRPr="0021550A" w14:paraId="1CDBBFD8" w14:textId="77777777" w:rsidTr="008B401F">
        <w:trPr>
          <w:trHeight w:val="288"/>
        </w:trPr>
        <w:tc>
          <w:tcPr>
            <w:tcW w:w="2245" w:type="dxa"/>
            <w:vAlign w:val="center"/>
          </w:tcPr>
          <w:p w14:paraId="729B874D" w14:textId="77777777" w:rsidR="0014200A" w:rsidRPr="002B24C0" w:rsidRDefault="0014200A" w:rsidP="002B24C0">
            <w:pPr>
              <w:ind w:hanging="6"/>
              <w:jc w:val="center"/>
              <w:rPr>
                <w:i/>
              </w:rPr>
            </w:pPr>
            <w:r w:rsidRPr="002B24C0">
              <w:rPr>
                <w:i/>
              </w:rPr>
              <w:t>hire</w:t>
            </w:r>
          </w:p>
        </w:tc>
        <w:tc>
          <w:tcPr>
            <w:tcW w:w="2543" w:type="dxa"/>
            <w:shd w:val="clear" w:color="auto" w:fill="auto"/>
            <w:vAlign w:val="center"/>
          </w:tcPr>
          <w:p w14:paraId="53A28A76" w14:textId="77777777" w:rsidR="0014200A" w:rsidRPr="0021550A" w:rsidRDefault="0014200A" w:rsidP="002B24C0">
            <w:pPr>
              <w:ind w:hanging="6"/>
              <w:jc w:val="center"/>
            </w:pPr>
            <w:r w:rsidRPr="0021550A">
              <w:t>0.04</w:t>
            </w:r>
          </w:p>
        </w:tc>
        <w:tc>
          <w:tcPr>
            <w:tcW w:w="1800" w:type="dxa"/>
            <w:shd w:val="clear" w:color="auto" w:fill="auto"/>
            <w:vAlign w:val="center"/>
          </w:tcPr>
          <w:p w14:paraId="1DA6A384" w14:textId="77777777" w:rsidR="0014200A" w:rsidRPr="0021550A" w:rsidRDefault="0014200A" w:rsidP="002B24C0">
            <w:pPr>
              <w:ind w:hanging="6"/>
              <w:jc w:val="center"/>
            </w:pPr>
            <w:r w:rsidRPr="0021550A">
              <w:t>0</w:t>
            </w:r>
          </w:p>
        </w:tc>
      </w:tr>
    </w:tbl>
    <w:p w14:paraId="355B807C" w14:textId="49F3E268" w:rsidR="0014200A" w:rsidRPr="0021550A" w:rsidRDefault="004D4BD1" w:rsidP="000737CB">
      <w:pPr>
        <w:pStyle w:val="Caption"/>
        <w:rPr>
          <w:i/>
        </w:rPr>
      </w:pPr>
      <w:bookmarkStart w:id="99" w:name="_Toc499753476"/>
      <w:r>
        <w:t>Table 4.12:</w:t>
      </w:r>
      <w:r w:rsidR="0014200A" w:rsidRPr="0021550A">
        <w:t xml:space="preserve"> Ratios of use for </w:t>
      </w:r>
      <w:r w:rsidR="0014200A" w:rsidRPr="0021550A">
        <w:rPr>
          <w:smallCaps/>
        </w:rPr>
        <w:t xml:space="preserve">i, there, not, </w:t>
      </w:r>
      <w:r w:rsidR="0014200A" w:rsidRPr="0021550A">
        <w:t>and</w:t>
      </w:r>
      <w:r w:rsidR="0014200A" w:rsidRPr="0021550A">
        <w:rPr>
          <w:smallCaps/>
        </w:rPr>
        <w:t xml:space="preserve"> her</w:t>
      </w:r>
      <w:r w:rsidR="0014200A" w:rsidRPr="0021550A">
        <w:t xml:space="preserve"> in the </w:t>
      </w:r>
      <w:r w:rsidR="0014200A" w:rsidRPr="0021550A">
        <w:rPr>
          <w:i/>
        </w:rPr>
        <w:t>Canterbury Tales</w:t>
      </w:r>
      <w:bookmarkEnd w:id="99"/>
    </w:p>
    <w:p w14:paraId="125CE5AC" w14:textId="77777777" w:rsidR="0014200A" w:rsidRPr="0021550A" w:rsidRDefault="0014200A" w:rsidP="000737CB"/>
    <w:p w14:paraId="1BA90C09" w14:textId="5A5D07BF" w:rsidR="005306CF" w:rsidRDefault="005306CF" w:rsidP="005306CF">
      <w:pPr>
        <w:pStyle w:val="Heading2"/>
      </w:pPr>
      <w:bookmarkStart w:id="100" w:name="_Ref498704164"/>
      <w:r>
        <w:t>The curse of dimensionality</w:t>
      </w:r>
      <w:bookmarkEnd w:id="100"/>
    </w:p>
    <w:p w14:paraId="1E6EA5E1" w14:textId="2EB80A87" w:rsidR="005306CF" w:rsidRDefault="005306CF" w:rsidP="005306CF">
      <w:r w:rsidRPr="0021550A">
        <w:t>One of the strengths of this study is its ability to compare all the spelling variants used in one text simultaneously, but in doing so complications arise from the high number of dimensions in the dataset. These issues are known collectively as the curse of dimensionality, and the problems affect analysis undertaken in a diverse range of fields. In the case of this study, the high number of dimensions has implications both for the density of a group of objects and the distance between individual objects, therefore affecting both density- and proximity-based clustering algorithms</w:t>
      </w:r>
      <w:r w:rsidR="00D60059">
        <w:t xml:space="preserve"> developed in Chapter 5 and the similarity testing developed in Chapter 6</w:t>
      </w:r>
      <w:r w:rsidRPr="0021550A">
        <w:t xml:space="preserve">. The number of dimensions that the spelling data has is derived from the number of spelling variants that are undergoing comparison. The full matrix for the </w:t>
      </w:r>
      <w:r w:rsidRPr="0021550A">
        <w:rPr>
          <w:i/>
        </w:rPr>
        <w:t>Polychronicon</w:t>
      </w:r>
      <w:r w:rsidRPr="0021550A">
        <w:t xml:space="preserve"> contains 2,154 spelling variants, which means that the matrix itself runs to 2,154 dimensions. While having a table that runs to thousands of rows may not appear to be an immediate problem, the clustering algorithms work by grouping objects based on how they relate to one another in space. The high dimensionality of the data therefore has spatial implications for both the density- and proximity-based clustering algorithms. As such, there is a high likelihood that none of the three algorithms will work on the data. </w:t>
      </w:r>
    </w:p>
    <w:p w14:paraId="6A61B91A" w14:textId="77777777" w:rsidR="00993A98" w:rsidRPr="0021550A" w:rsidRDefault="00993A98" w:rsidP="005306CF"/>
    <w:tbl>
      <w:tblPr>
        <w:tblStyle w:val="GridTable1Light1"/>
        <w:tblW w:w="0" w:type="auto"/>
        <w:tblInd w:w="-113" w:type="dxa"/>
        <w:tblLook w:val="04A0" w:firstRow="1" w:lastRow="0" w:firstColumn="1" w:lastColumn="0" w:noHBand="0" w:noVBand="1"/>
      </w:tblPr>
      <w:tblGrid>
        <w:gridCol w:w="1300"/>
        <w:gridCol w:w="1300"/>
        <w:gridCol w:w="1300"/>
      </w:tblGrid>
      <w:tr w:rsidR="00993A98" w:rsidRPr="0021550A" w14:paraId="723D344C" w14:textId="77777777" w:rsidTr="00A11845">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300" w:type="dxa"/>
            <w:noWrap/>
            <w:vAlign w:val="center"/>
          </w:tcPr>
          <w:p w14:paraId="2B3C6690" w14:textId="77777777" w:rsidR="00993A98" w:rsidRPr="0021550A" w:rsidRDefault="00993A98" w:rsidP="00A11845">
            <w:pPr>
              <w:ind w:hanging="7"/>
              <w:jc w:val="center"/>
            </w:pPr>
          </w:p>
        </w:tc>
        <w:tc>
          <w:tcPr>
            <w:tcW w:w="1300" w:type="dxa"/>
            <w:noWrap/>
            <w:vAlign w:val="center"/>
          </w:tcPr>
          <w:p w14:paraId="47376A78" w14:textId="77777777" w:rsidR="00993A98" w:rsidRPr="0021550A" w:rsidRDefault="00993A98" w:rsidP="00A11845">
            <w:pPr>
              <w:ind w:hanging="7"/>
              <w:jc w:val="center"/>
              <w:cnfStyle w:val="100000000000" w:firstRow="1" w:lastRow="0" w:firstColumn="0" w:lastColumn="0" w:oddVBand="0" w:evenVBand="0" w:oddHBand="0" w:evenHBand="0" w:firstRowFirstColumn="0" w:firstRowLastColumn="0" w:lastRowFirstColumn="0" w:lastRowLastColumn="0"/>
            </w:pPr>
            <w:r w:rsidRPr="0021550A">
              <w:t>Quire a</w:t>
            </w:r>
          </w:p>
        </w:tc>
        <w:tc>
          <w:tcPr>
            <w:tcW w:w="1300" w:type="dxa"/>
            <w:noWrap/>
            <w:vAlign w:val="center"/>
          </w:tcPr>
          <w:p w14:paraId="33FC545D" w14:textId="77777777" w:rsidR="00993A98" w:rsidRPr="0021550A" w:rsidRDefault="00993A98" w:rsidP="00A11845">
            <w:pPr>
              <w:ind w:hanging="7"/>
              <w:jc w:val="center"/>
              <w:cnfStyle w:val="100000000000" w:firstRow="1" w:lastRow="0" w:firstColumn="0" w:lastColumn="0" w:oddVBand="0" w:evenVBand="0" w:oddHBand="0" w:evenHBand="0" w:firstRowFirstColumn="0" w:firstRowLastColumn="0" w:lastRowFirstColumn="0" w:lastRowLastColumn="0"/>
            </w:pPr>
            <w:r w:rsidRPr="0021550A">
              <w:t>Quire b</w:t>
            </w:r>
          </w:p>
        </w:tc>
      </w:tr>
      <w:tr w:rsidR="00993A98" w:rsidRPr="0021550A" w14:paraId="523FB39A" w14:textId="77777777" w:rsidTr="00A11845">
        <w:trPr>
          <w:trHeight w:val="320"/>
        </w:trPr>
        <w:tc>
          <w:tcPr>
            <w:cnfStyle w:val="001000000000" w:firstRow="0" w:lastRow="0" w:firstColumn="1" w:lastColumn="0" w:oddVBand="0" w:evenVBand="0" w:oddHBand="0" w:evenHBand="0" w:firstRowFirstColumn="0" w:firstRowLastColumn="0" w:lastRowFirstColumn="0" w:lastRowLastColumn="0"/>
            <w:tcW w:w="1300" w:type="dxa"/>
            <w:noWrap/>
            <w:vAlign w:val="center"/>
            <w:hideMark/>
          </w:tcPr>
          <w:p w14:paraId="310C3083" w14:textId="77777777" w:rsidR="00993A98" w:rsidRPr="005560E9" w:rsidRDefault="00993A98" w:rsidP="00A11845">
            <w:pPr>
              <w:ind w:hanging="7"/>
              <w:jc w:val="center"/>
              <w:rPr>
                <w:b w:val="0"/>
                <w:i/>
              </w:rPr>
            </w:pPr>
            <w:r w:rsidRPr="005560E9">
              <w:rPr>
                <w:b w:val="0"/>
                <w:i/>
              </w:rPr>
              <w:t>began</w:t>
            </w:r>
          </w:p>
        </w:tc>
        <w:tc>
          <w:tcPr>
            <w:tcW w:w="1300" w:type="dxa"/>
            <w:noWrap/>
            <w:vAlign w:val="center"/>
            <w:hideMark/>
          </w:tcPr>
          <w:p w14:paraId="3BADD075" w14:textId="77777777" w:rsidR="00993A98" w:rsidRPr="0021550A" w:rsidRDefault="00993A98" w:rsidP="00A11845">
            <w:pPr>
              <w:ind w:hanging="7"/>
              <w:jc w:val="center"/>
              <w:cnfStyle w:val="000000000000" w:firstRow="0" w:lastRow="0" w:firstColumn="0" w:lastColumn="0" w:oddVBand="0" w:evenVBand="0" w:oddHBand="0" w:evenHBand="0" w:firstRowFirstColumn="0" w:firstRowLastColumn="0" w:lastRowFirstColumn="0" w:lastRowLastColumn="0"/>
            </w:pPr>
            <w:r w:rsidRPr="0021550A">
              <w:t>0.2</w:t>
            </w:r>
          </w:p>
        </w:tc>
        <w:tc>
          <w:tcPr>
            <w:tcW w:w="1300" w:type="dxa"/>
            <w:noWrap/>
            <w:vAlign w:val="center"/>
            <w:hideMark/>
          </w:tcPr>
          <w:p w14:paraId="1622DB31" w14:textId="77777777" w:rsidR="00993A98" w:rsidRPr="0021550A" w:rsidRDefault="00993A98" w:rsidP="00A11845">
            <w:pPr>
              <w:ind w:hanging="7"/>
              <w:jc w:val="center"/>
              <w:cnfStyle w:val="000000000000" w:firstRow="0" w:lastRow="0" w:firstColumn="0" w:lastColumn="0" w:oddVBand="0" w:evenVBand="0" w:oddHBand="0" w:evenHBand="0" w:firstRowFirstColumn="0" w:firstRowLastColumn="0" w:lastRowFirstColumn="0" w:lastRowLastColumn="0"/>
            </w:pPr>
            <w:r w:rsidRPr="0021550A">
              <w:t>0.5</w:t>
            </w:r>
          </w:p>
        </w:tc>
      </w:tr>
      <w:tr w:rsidR="00993A98" w:rsidRPr="0021550A" w14:paraId="32130E54" w14:textId="77777777" w:rsidTr="00A11845">
        <w:trPr>
          <w:trHeight w:val="320"/>
        </w:trPr>
        <w:tc>
          <w:tcPr>
            <w:cnfStyle w:val="001000000000" w:firstRow="0" w:lastRow="0" w:firstColumn="1" w:lastColumn="0" w:oddVBand="0" w:evenVBand="0" w:oddHBand="0" w:evenHBand="0" w:firstRowFirstColumn="0" w:firstRowLastColumn="0" w:lastRowFirstColumn="0" w:lastRowLastColumn="0"/>
            <w:tcW w:w="1300" w:type="dxa"/>
            <w:noWrap/>
            <w:vAlign w:val="center"/>
            <w:hideMark/>
          </w:tcPr>
          <w:p w14:paraId="70D9FBC0" w14:textId="77777777" w:rsidR="00993A98" w:rsidRPr="005560E9" w:rsidRDefault="00993A98" w:rsidP="00A11845">
            <w:pPr>
              <w:ind w:hanging="7"/>
              <w:jc w:val="center"/>
              <w:rPr>
                <w:b w:val="0"/>
                <w:i/>
              </w:rPr>
            </w:pPr>
            <w:r w:rsidRPr="005560E9">
              <w:rPr>
                <w:b w:val="0"/>
                <w:i/>
              </w:rPr>
              <w:t>bygan</w:t>
            </w:r>
          </w:p>
        </w:tc>
        <w:tc>
          <w:tcPr>
            <w:tcW w:w="1300" w:type="dxa"/>
            <w:noWrap/>
            <w:vAlign w:val="center"/>
            <w:hideMark/>
          </w:tcPr>
          <w:p w14:paraId="759BE8A9" w14:textId="77777777" w:rsidR="00993A98" w:rsidRPr="0021550A" w:rsidRDefault="00993A98" w:rsidP="00A11845">
            <w:pPr>
              <w:ind w:hanging="7"/>
              <w:jc w:val="center"/>
              <w:cnfStyle w:val="000000000000" w:firstRow="0" w:lastRow="0" w:firstColumn="0" w:lastColumn="0" w:oddVBand="0" w:evenVBand="0" w:oddHBand="0" w:evenHBand="0" w:firstRowFirstColumn="0" w:firstRowLastColumn="0" w:lastRowFirstColumn="0" w:lastRowLastColumn="0"/>
            </w:pPr>
            <w:r w:rsidRPr="0021550A">
              <w:t>0.6</w:t>
            </w:r>
          </w:p>
        </w:tc>
        <w:tc>
          <w:tcPr>
            <w:tcW w:w="1300" w:type="dxa"/>
            <w:noWrap/>
            <w:vAlign w:val="center"/>
            <w:hideMark/>
          </w:tcPr>
          <w:p w14:paraId="79399B98" w14:textId="77777777" w:rsidR="00993A98" w:rsidRPr="0021550A" w:rsidRDefault="00993A98" w:rsidP="00A11845">
            <w:pPr>
              <w:ind w:hanging="7"/>
              <w:jc w:val="center"/>
              <w:cnfStyle w:val="000000000000" w:firstRow="0" w:lastRow="0" w:firstColumn="0" w:lastColumn="0" w:oddVBand="0" w:evenVBand="0" w:oddHBand="0" w:evenHBand="0" w:firstRowFirstColumn="0" w:firstRowLastColumn="0" w:lastRowFirstColumn="0" w:lastRowLastColumn="0"/>
            </w:pPr>
            <w:r w:rsidRPr="0021550A">
              <w:t>0.5</w:t>
            </w:r>
          </w:p>
        </w:tc>
      </w:tr>
      <w:tr w:rsidR="00993A98" w:rsidRPr="0021550A" w14:paraId="0AE08539" w14:textId="77777777" w:rsidTr="00A11845">
        <w:trPr>
          <w:trHeight w:val="320"/>
        </w:trPr>
        <w:tc>
          <w:tcPr>
            <w:cnfStyle w:val="001000000000" w:firstRow="0" w:lastRow="0" w:firstColumn="1" w:lastColumn="0" w:oddVBand="0" w:evenVBand="0" w:oddHBand="0" w:evenHBand="0" w:firstRowFirstColumn="0" w:firstRowLastColumn="0" w:lastRowFirstColumn="0" w:lastRowLastColumn="0"/>
            <w:tcW w:w="1300" w:type="dxa"/>
            <w:noWrap/>
            <w:vAlign w:val="center"/>
            <w:hideMark/>
          </w:tcPr>
          <w:p w14:paraId="20198CF3" w14:textId="77777777" w:rsidR="00993A98" w:rsidRPr="005560E9" w:rsidRDefault="00993A98" w:rsidP="00A11845">
            <w:pPr>
              <w:ind w:hanging="7"/>
              <w:jc w:val="center"/>
              <w:rPr>
                <w:b w:val="0"/>
                <w:i/>
              </w:rPr>
            </w:pPr>
            <w:r w:rsidRPr="005560E9">
              <w:rPr>
                <w:b w:val="0"/>
                <w:i/>
              </w:rPr>
              <w:t>bigan</w:t>
            </w:r>
          </w:p>
        </w:tc>
        <w:tc>
          <w:tcPr>
            <w:tcW w:w="1300" w:type="dxa"/>
            <w:noWrap/>
            <w:vAlign w:val="center"/>
            <w:hideMark/>
          </w:tcPr>
          <w:p w14:paraId="0F41175A" w14:textId="77777777" w:rsidR="00993A98" w:rsidRPr="0021550A" w:rsidRDefault="00993A98" w:rsidP="00A11845">
            <w:pPr>
              <w:ind w:hanging="7"/>
              <w:jc w:val="center"/>
              <w:cnfStyle w:val="000000000000" w:firstRow="0" w:lastRow="0" w:firstColumn="0" w:lastColumn="0" w:oddVBand="0" w:evenVBand="0" w:oddHBand="0" w:evenHBand="0" w:firstRowFirstColumn="0" w:firstRowLastColumn="0" w:lastRowFirstColumn="0" w:lastRowLastColumn="0"/>
            </w:pPr>
            <w:r w:rsidRPr="0021550A">
              <w:t>0.2</w:t>
            </w:r>
          </w:p>
        </w:tc>
        <w:tc>
          <w:tcPr>
            <w:tcW w:w="1300" w:type="dxa"/>
            <w:noWrap/>
            <w:vAlign w:val="center"/>
            <w:hideMark/>
          </w:tcPr>
          <w:p w14:paraId="4F299FB3" w14:textId="77777777" w:rsidR="00993A98" w:rsidRPr="0021550A" w:rsidRDefault="00993A98" w:rsidP="00A11845">
            <w:pPr>
              <w:ind w:hanging="7"/>
              <w:jc w:val="center"/>
              <w:cnfStyle w:val="000000000000" w:firstRow="0" w:lastRow="0" w:firstColumn="0" w:lastColumn="0" w:oddVBand="0" w:evenVBand="0" w:oddHBand="0" w:evenHBand="0" w:firstRowFirstColumn="0" w:firstRowLastColumn="0" w:lastRowFirstColumn="0" w:lastRowLastColumn="0"/>
            </w:pPr>
            <w:r w:rsidRPr="0021550A">
              <w:t>0</w:t>
            </w:r>
          </w:p>
        </w:tc>
      </w:tr>
    </w:tbl>
    <w:p w14:paraId="6263A476" w14:textId="3DD0978E" w:rsidR="00993A98" w:rsidRPr="0021550A" w:rsidRDefault="004D4BD1" w:rsidP="00993A98">
      <w:pPr>
        <w:pStyle w:val="Caption"/>
      </w:pPr>
      <w:bookmarkStart w:id="101" w:name="_Toc499753477"/>
      <w:r>
        <w:t>Table 4.13:</w:t>
      </w:r>
      <w:r w:rsidR="00993A98" w:rsidRPr="0021550A">
        <w:t xml:space="preserve"> Ratios for </w:t>
      </w:r>
      <w:r w:rsidR="00993A98" w:rsidRPr="0021550A">
        <w:rPr>
          <w:smallCaps/>
        </w:rPr>
        <w:t>began</w:t>
      </w:r>
      <w:r w:rsidR="00993A98" w:rsidRPr="0021550A">
        <w:t xml:space="preserve"> in Quire a and Quire b of the </w:t>
      </w:r>
      <w:r w:rsidR="00993A98" w:rsidRPr="0021550A">
        <w:rPr>
          <w:i/>
        </w:rPr>
        <w:t>Confessio Amantis</w:t>
      </w:r>
      <w:bookmarkEnd w:id="101"/>
    </w:p>
    <w:p w14:paraId="0F051581" w14:textId="77777777" w:rsidR="00453776" w:rsidRDefault="00453776" w:rsidP="005306CF"/>
    <w:p w14:paraId="15DE680E" w14:textId="06530A84" w:rsidR="005306CF" w:rsidRPr="0021550A" w:rsidRDefault="005306CF" w:rsidP="005306CF">
      <w:r w:rsidRPr="0021550A">
        <w:lastRenderedPageBreak/>
        <w:t>Objects can be positioned in space by treating their values as coordinates. These objects can then be clustered by how close they are to one another (proximity-based clustering) or by how densely they are arranged (density-based clustering)</w:t>
      </w:r>
      <w:r w:rsidR="00114E61">
        <w:t xml:space="preserve">, or the objects can undergo similarity testing </w:t>
      </w:r>
      <w:r w:rsidR="00056B44">
        <w:t xml:space="preserve">by taking the angle between the vectors that can be created from the coordinates (discussed further in Section </w:t>
      </w:r>
      <w:r w:rsidR="00056B44">
        <w:fldChar w:fldCharType="begin"/>
      </w:r>
      <w:r w:rsidR="00056B44">
        <w:instrText xml:space="preserve"> REF _Ref499564792 \r </w:instrText>
      </w:r>
      <w:r w:rsidR="00056B44">
        <w:fldChar w:fldCharType="separate"/>
      </w:r>
      <w:r w:rsidR="00D11844">
        <w:t>6.1</w:t>
      </w:r>
      <w:r w:rsidR="00056B44">
        <w:fldChar w:fldCharType="end"/>
      </w:r>
      <w:r w:rsidR="00056B44">
        <w:t xml:space="preserve">). </w:t>
      </w:r>
      <w:r w:rsidRPr="0021550A">
        <w:t xml:space="preserve">For this study, the quires are the objects that undergo clustering, and the values that determine where in space a quire is positioned are the ratios for each spelling variant. As an example, </w:t>
      </w:r>
      <w:r w:rsidR="004D4BD1">
        <w:t>Table 4.13</w:t>
      </w:r>
      <w:r w:rsidRPr="0021550A">
        <w:t xml:space="preserve"> shows the ratios for </w:t>
      </w:r>
      <w:r w:rsidRPr="0021550A">
        <w:rPr>
          <w:smallCaps/>
        </w:rPr>
        <w:t>began</w:t>
      </w:r>
      <w:r w:rsidRPr="0021550A">
        <w:t xml:space="preserve"> used in the first two quires of the </w:t>
      </w:r>
      <w:r w:rsidRPr="0021550A">
        <w:rPr>
          <w:i/>
        </w:rPr>
        <w:t>Confessio Amantis</w:t>
      </w:r>
      <w:r w:rsidRPr="0021550A">
        <w:t xml:space="preserve">. </w:t>
      </w:r>
    </w:p>
    <w:p w14:paraId="3BD30AED" w14:textId="0361FAE8" w:rsidR="005306CF" w:rsidRDefault="005306CF" w:rsidP="005306CF">
      <w:r w:rsidRPr="0021550A">
        <w:t xml:space="preserve">We can use the ratios for each spelling variant to position Quire a and Quire b in space. We can start by taking </w:t>
      </w:r>
      <w:r w:rsidRPr="0021550A">
        <w:rPr>
          <w:i/>
        </w:rPr>
        <w:t>began</w:t>
      </w:r>
      <w:r w:rsidRPr="0021550A">
        <w:t xml:space="preserve"> as the first dimension. Quire a and Quire b are plotted in one dimension—the dimension for </w:t>
      </w:r>
      <w:r w:rsidRPr="0021550A">
        <w:rPr>
          <w:i/>
        </w:rPr>
        <w:t>began</w:t>
      </w:r>
      <w:r w:rsidRPr="0021550A">
        <w:t xml:space="preserve">—in </w:t>
      </w:r>
      <w:r w:rsidR="004D4BD1">
        <w:t>Figure 4.14.</w:t>
      </w:r>
    </w:p>
    <w:p w14:paraId="6ADD9425" w14:textId="77777777" w:rsidR="00993A98" w:rsidRPr="0021550A" w:rsidRDefault="00993A98" w:rsidP="00993A98">
      <w:pPr>
        <w:spacing w:line="240" w:lineRule="auto"/>
      </w:pPr>
    </w:p>
    <w:p w14:paraId="6489042C" w14:textId="138BA70D" w:rsidR="005306CF" w:rsidRPr="0021550A" w:rsidRDefault="005306CF" w:rsidP="00993A98">
      <w:pPr>
        <w:spacing w:line="240" w:lineRule="auto"/>
        <w:ind w:firstLine="0"/>
      </w:pPr>
      <w:r w:rsidRPr="0021550A">
        <w:rPr>
          <w:noProof/>
          <w:lang w:eastAsia="en-GB"/>
        </w:rPr>
        <w:drawing>
          <wp:inline distT="0" distB="0" distL="0" distR="0" wp14:anchorId="7436722E" wp14:editId="4D145B30">
            <wp:extent cx="4950554" cy="804465"/>
            <wp:effectExtent l="0" t="0" r="2540" b="889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Began Quire a and b.pdf"/>
                    <pic:cNvPicPr/>
                  </pic:nvPicPr>
                  <pic:blipFill rotWithShape="1">
                    <a:blip r:embed="rId40">
                      <a:extLst>
                        <a:ext uri="{28A0092B-C50C-407E-A947-70E740481C1C}">
                          <a14:useLocalDpi xmlns:a14="http://schemas.microsoft.com/office/drawing/2010/main"/>
                        </a:ext>
                      </a:extLst>
                    </a:blip>
                    <a:srcRect l="15965" t="23578" r="34905" b="62230"/>
                    <a:stretch/>
                  </pic:blipFill>
                  <pic:spPr bwMode="auto">
                    <a:xfrm>
                      <a:off x="0" y="0"/>
                      <a:ext cx="5245699" cy="852426"/>
                    </a:xfrm>
                    <a:prstGeom prst="rect">
                      <a:avLst/>
                    </a:prstGeom>
                    <a:ln>
                      <a:noFill/>
                    </a:ln>
                    <a:extLst>
                      <a:ext uri="{53640926-AAD7-44D8-BBD7-CCE9431645EC}">
                        <a14:shadowObscured xmlns:a14="http://schemas.microsoft.com/office/drawing/2010/main"/>
                      </a:ext>
                    </a:extLst>
                  </pic:spPr>
                </pic:pic>
              </a:graphicData>
            </a:graphic>
          </wp:inline>
        </w:drawing>
      </w:r>
    </w:p>
    <w:p w14:paraId="7771ECDD" w14:textId="45A782E4" w:rsidR="005306CF" w:rsidRPr="0021550A" w:rsidRDefault="004D4BD1" w:rsidP="00993A98">
      <w:pPr>
        <w:pStyle w:val="Caption"/>
      </w:pPr>
      <w:bookmarkStart w:id="102" w:name="_Toc499753522"/>
      <w:r>
        <w:t>Figure 4.14</w:t>
      </w:r>
      <w:r w:rsidR="005306CF" w:rsidRPr="0021550A">
        <w:t xml:space="preserve"> Graphical representation of </w:t>
      </w:r>
      <w:r w:rsidR="005306CF" w:rsidRPr="0021550A">
        <w:rPr>
          <w:i/>
        </w:rPr>
        <w:t>began</w:t>
      </w:r>
      <w:r w:rsidR="005306CF" w:rsidRPr="0021550A">
        <w:t xml:space="preserve"> in </w:t>
      </w:r>
      <w:r w:rsidR="00F90A3F">
        <w:t>quires</w:t>
      </w:r>
      <w:r w:rsidR="005306CF" w:rsidRPr="0021550A">
        <w:t xml:space="preserve"> of the </w:t>
      </w:r>
      <w:r w:rsidR="005306CF" w:rsidRPr="0021550A">
        <w:rPr>
          <w:i/>
        </w:rPr>
        <w:t>Confessio Amantis</w:t>
      </w:r>
      <w:bookmarkEnd w:id="102"/>
    </w:p>
    <w:p w14:paraId="6898D52A" w14:textId="77777777" w:rsidR="005306CF" w:rsidRPr="0021550A" w:rsidRDefault="005306CF" w:rsidP="00993A98">
      <w:pPr>
        <w:spacing w:line="240" w:lineRule="auto"/>
      </w:pPr>
    </w:p>
    <w:p w14:paraId="4F25A35A" w14:textId="4FB5A7B3" w:rsidR="00993A98" w:rsidRDefault="004D4BD1" w:rsidP="007F5605">
      <w:r>
        <w:t>Figure 4.14</w:t>
      </w:r>
      <w:r w:rsidR="005306CF" w:rsidRPr="0021550A">
        <w:t xml:space="preserve"> shows how we can plot the values for Quire a and Quire b in one dimensional space for the spelling variant </w:t>
      </w:r>
      <w:r w:rsidR="005306CF" w:rsidRPr="0021550A">
        <w:rPr>
          <w:i/>
        </w:rPr>
        <w:t>began</w:t>
      </w:r>
      <w:r w:rsidR="005306CF" w:rsidRPr="0021550A">
        <w:t xml:space="preserve">. We can extend this representation to include the spelling variant for </w:t>
      </w:r>
      <w:r w:rsidR="005306CF" w:rsidRPr="0021550A">
        <w:rPr>
          <w:i/>
        </w:rPr>
        <w:t>bygan</w:t>
      </w:r>
      <w:r w:rsidR="005306CF" w:rsidRPr="0021550A">
        <w:t xml:space="preserve"> and plot the values for Quire a and Quire b in two dimensions, as in </w:t>
      </w:r>
      <w:r>
        <w:t>Figure 4.15.</w:t>
      </w:r>
    </w:p>
    <w:p w14:paraId="0034E8CC" w14:textId="77777777" w:rsidR="00993A98" w:rsidRDefault="00993A98" w:rsidP="007F5605"/>
    <w:p w14:paraId="52B7E9A5" w14:textId="0466F88F" w:rsidR="005306CF" w:rsidRPr="0021550A" w:rsidRDefault="005306CF" w:rsidP="005306CF">
      <w:pPr>
        <w:ind w:firstLine="0"/>
      </w:pPr>
      <w:r w:rsidRPr="0021550A">
        <w:rPr>
          <w:noProof/>
          <w:lang w:eastAsia="en-GB"/>
        </w:rPr>
        <w:drawing>
          <wp:inline distT="0" distB="0" distL="0" distR="0" wp14:anchorId="639E5F2A" wp14:editId="61A24D59">
            <wp:extent cx="2907091" cy="297434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atios began 2d.pdf"/>
                    <pic:cNvPicPr/>
                  </pic:nvPicPr>
                  <pic:blipFill rotWithShape="1">
                    <a:blip r:embed="rId41">
                      <a:extLst>
                        <a:ext uri="{28A0092B-C50C-407E-A947-70E740481C1C}">
                          <a14:useLocalDpi xmlns:a14="http://schemas.microsoft.com/office/drawing/2010/main"/>
                        </a:ext>
                      </a:extLst>
                    </a:blip>
                    <a:srcRect l="59297" t="953" r="7204" b="38119"/>
                    <a:stretch/>
                  </pic:blipFill>
                  <pic:spPr bwMode="auto">
                    <a:xfrm>
                      <a:off x="0" y="0"/>
                      <a:ext cx="2907091" cy="2974340"/>
                    </a:xfrm>
                    <a:prstGeom prst="rect">
                      <a:avLst/>
                    </a:prstGeom>
                    <a:ln>
                      <a:noFill/>
                    </a:ln>
                    <a:extLst>
                      <a:ext uri="{53640926-AAD7-44D8-BBD7-CCE9431645EC}">
                        <a14:shadowObscured xmlns:a14="http://schemas.microsoft.com/office/drawing/2010/main"/>
                      </a:ext>
                    </a:extLst>
                  </pic:spPr>
                </pic:pic>
              </a:graphicData>
            </a:graphic>
          </wp:inline>
        </w:drawing>
      </w:r>
    </w:p>
    <w:p w14:paraId="748B3E8C" w14:textId="5203CA20" w:rsidR="005306CF" w:rsidRPr="0021550A" w:rsidRDefault="004D4BD1" w:rsidP="005306CF">
      <w:pPr>
        <w:pStyle w:val="Caption"/>
        <w:rPr>
          <w:i/>
        </w:rPr>
      </w:pPr>
      <w:bookmarkStart w:id="103" w:name="_Toc499753523"/>
      <w:r>
        <w:t>Figure 4.15:</w:t>
      </w:r>
      <w:r w:rsidR="005306CF" w:rsidRPr="0021550A">
        <w:t xml:space="preserve"> Graphical representation of </w:t>
      </w:r>
      <w:r w:rsidR="005306CF" w:rsidRPr="0021550A">
        <w:rPr>
          <w:i/>
        </w:rPr>
        <w:t>began</w:t>
      </w:r>
      <w:r w:rsidR="005306CF" w:rsidRPr="0021550A">
        <w:t xml:space="preserve"> and </w:t>
      </w:r>
      <w:r w:rsidR="005306CF" w:rsidRPr="0021550A">
        <w:rPr>
          <w:i/>
        </w:rPr>
        <w:t>bygan</w:t>
      </w:r>
      <w:r w:rsidR="005306CF" w:rsidRPr="0021550A">
        <w:t xml:space="preserve"> for </w:t>
      </w:r>
      <w:r w:rsidR="00F90A3F">
        <w:t xml:space="preserve">two quires </w:t>
      </w:r>
      <w:r w:rsidR="005306CF" w:rsidRPr="0021550A">
        <w:t xml:space="preserve">of the </w:t>
      </w:r>
      <w:r w:rsidR="005306CF" w:rsidRPr="0021550A">
        <w:rPr>
          <w:i/>
        </w:rPr>
        <w:t>Confessio Amantis</w:t>
      </w:r>
      <w:bookmarkEnd w:id="103"/>
    </w:p>
    <w:p w14:paraId="1CEB785F" w14:textId="77777777" w:rsidR="005306CF" w:rsidRDefault="005306CF" w:rsidP="005306CF"/>
    <w:p w14:paraId="47C37402" w14:textId="76FBA812" w:rsidR="00004D21" w:rsidRDefault="00993A98" w:rsidP="005306CF">
      <w:r w:rsidRPr="0021550A">
        <w:lastRenderedPageBreak/>
        <w:t xml:space="preserve">The cluster analysis is undertaken over all the quires that comprise one of Caxton’s texts. We can expand the graph in </w:t>
      </w:r>
      <w:r w:rsidR="004D4BD1">
        <w:t>Figure 4.15</w:t>
      </w:r>
      <w:r w:rsidRPr="0021550A">
        <w:t xml:space="preserve"> to include more of the quires of the </w:t>
      </w:r>
      <w:r w:rsidRPr="0021550A">
        <w:rPr>
          <w:i/>
        </w:rPr>
        <w:t>Confessio Amantis</w:t>
      </w:r>
      <w:r w:rsidRPr="0021550A">
        <w:t xml:space="preserve">. </w:t>
      </w:r>
      <w:r w:rsidR="004D4BD1">
        <w:t>Figure 4.16</w:t>
      </w:r>
      <w:r w:rsidRPr="0021550A">
        <w:t xml:space="preserve"> shows how we can compare the similarity of the spellings for </w:t>
      </w:r>
      <w:r w:rsidRPr="0021550A">
        <w:rPr>
          <w:smallCaps/>
        </w:rPr>
        <w:t>began</w:t>
      </w:r>
      <w:r w:rsidRPr="0021550A">
        <w:t xml:space="preserve"> in the quires of the </w:t>
      </w:r>
      <w:r w:rsidRPr="0021550A">
        <w:rPr>
          <w:i/>
        </w:rPr>
        <w:t>Confessio Amantis</w:t>
      </w:r>
      <w:r w:rsidRPr="0021550A">
        <w:t>. The quires that are closest together have a similar distribution of spelling variants. Here we can see that</w:t>
      </w:r>
      <w:r>
        <w:t xml:space="preserve"> Quire q, Quire u, and Quire t </w:t>
      </w:r>
      <w:r w:rsidRPr="0021550A">
        <w:t xml:space="preserve">are close together and thus use the spellings </w:t>
      </w:r>
      <w:r w:rsidRPr="0021550A">
        <w:rPr>
          <w:i/>
        </w:rPr>
        <w:t>began</w:t>
      </w:r>
      <w:r w:rsidRPr="0021550A">
        <w:t xml:space="preserve"> and </w:t>
      </w:r>
      <w:r w:rsidRPr="0021550A">
        <w:rPr>
          <w:i/>
        </w:rPr>
        <w:t>bygan</w:t>
      </w:r>
      <w:r w:rsidRPr="0021550A">
        <w:t xml:space="preserve"> at a similar rate. The figure is not exhaustive; many of the quires had the same coordinate points as other quires and are not shown on the figure for this reason. </w:t>
      </w:r>
    </w:p>
    <w:p w14:paraId="23A32B06" w14:textId="77777777" w:rsidR="00CF4BBF" w:rsidRPr="0021550A" w:rsidRDefault="00CF4BBF" w:rsidP="005306CF"/>
    <w:p w14:paraId="0C1096FE" w14:textId="66248BBE" w:rsidR="005306CF" w:rsidRPr="0021550A" w:rsidRDefault="005306CF" w:rsidP="005306CF">
      <w:pPr>
        <w:pStyle w:val="Caption"/>
      </w:pPr>
      <w:r w:rsidRPr="0021550A">
        <w:rPr>
          <w:noProof/>
          <w:lang w:eastAsia="en-GB"/>
        </w:rPr>
        <w:drawing>
          <wp:inline distT="0" distB="0" distL="0" distR="0" wp14:anchorId="50881004" wp14:editId="5947D838">
            <wp:extent cx="2959735" cy="3023690"/>
            <wp:effectExtent l="0" t="0" r="1206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egan for lots of quires 2d.pdf"/>
                    <pic:cNvPicPr/>
                  </pic:nvPicPr>
                  <pic:blipFill rotWithShape="1">
                    <a:blip r:embed="rId42">
                      <a:extLst>
                        <a:ext uri="{28A0092B-C50C-407E-A947-70E740481C1C}">
                          <a14:useLocalDpi xmlns:a14="http://schemas.microsoft.com/office/drawing/2010/main"/>
                        </a:ext>
                      </a:extLst>
                    </a:blip>
                    <a:srcRect l="2281" t="3191" r="64110" b="35771"/>
                    <a:stretch/>
                  </pic:blipFill>
                  <pic:spPr bwMode="auto">
                    <a:xfrm>
                      <a:off x="0" y="0"/>
                      <a:ext cx="2959735" cy="3023690"/>
                    </a:xfrm>
                    <a:prstGeom prst="rect">
                      <a:avLst/>
                    </a:prstGeom>
                    <a:ln>
                      <a:noFill/>
                    </a:ln>
                    <a:extLst>
                      <a:ext uri="{53640926-AAD7-44D8-BBD7-CCE9431645EC}">
                        <a14:shadowObscured xmlns:a14="http://schemas.microsoft.com/office/drawing/2010/main"/>
                      </a:ext>
                    </a:extLst>
                  </pic:spPr>
                </pic:pic>
              </a:graphicData>
            </a:graphic>
          </wp:inline>
        </w:drawing>
      </w:r>
    </w:p>
    <w:p w14:paraId="737D5348" w14:textId="2FD93682" w:rsidR="005306CF" w:rsidRPr="0021550A" w:rsidRDefault="004D4BD1" w:rsidP="005306CF">
      <w:pPr>
        <w:pStyle w:val="Caption"/>
      </w:pPr>
      <w:bookmarkStart w:id="104" w:name="_Toc499753524"/>
      <w:r>
        <w:t xml:space="preserve">Figure 4.16: </w:t>
      </w:r>
      <w:r w:rsidR="005306CF" w:rsidRPr="0021550A">
        <w:t xml:space="preserve">Graphical representation of </w:t>
      </w:r>
      <w:r w:rsidR="005306CF" w:rsidRPr="0021550A">
        <w:rPr>
          <w:i/>
        </w:rPr>
        <w:t xml:space="preserve">began </w:t>
      </w:r>
      <w:r w:rsidR="005306CF" w:rsidRPr="0021550A">
        <w:t xml:space="preserve">and </w:t>
      </w:r>
      <w:r w:rsidR="005306CF" w:rsidRPr="0021550A">
        <w:rPr>
          <w:i/>
        </w:rPr>
        <w:t>bygan</w:t>
      </w:r>
      <w:r w:rsidR="005306CF" w:rsidRPr="0021550A">
        <w:t xml:space="preserve"> in </w:t>
      </w:r>
      <w:r w:rsidR="00004D21">
        <w:t xml:space="preserve">quires of </w:t>
      </w:r>
      <w:r w:rsidR="005306CF" w:rsidRPr="0021550A">
        <w:t xml:space="preserve">the </w:t>
      </w:r>
      <w:r w:rsidR="005306CF" w:rsidRPr="0021550A">
        <w:rPr>
          <w:i/>
        </w:rPr>
        <w:t>Confessio Amantis</w:t>
      </w:r>
      <w:bookmarkEnd w:id="104"/>
    </w:p>
    <w:p w14:paraId="29F0D629" w14:textId="77777777" w:rsidR="005306CF" w:rsidRPr="0021550A" w:rsidRDefault="005306CF" w:rsidP="005306CF"/>
    <w:p w14:paraId="3D8E0570" w14:textId="771B4FC8" w:rsidR="00F47CEF" w:rsidRDefault="00F47CEF" w:rsidP="00993A98">
      <w:r w:rsidRPr="0021550A">
        <w:t xml:space="preserve">Many of the quires also use other spellings to represent </w:t>
      </w:r>
      <w:r w:rsidRPr="0021550A">
        <w:rPr>
          <w:smallCaps/>
        </w:rPr>
        <w:t>began</w:t>
      </w:r>
      <w:r w:rsidRPr="0021550A">
        <w:t xml:space="preserve"> other than </w:t>
      </w:r>
      <w:r w:rsidRPr="0021550A">
        <w:rPr>
          <w:i/>
        </w:rPr>
        <w:t>began</w:t>
      </w:r>
      <w:r w:rsidRPr="0021550A">
        <w:t xml:space="preserve"> or </w:t>
      </w:r>
      <w:r w:rsidRPr="0021550A">
        <w:rPr>
          <w:i/>
        </w:rPr>
        <w:t>bygan</w:t>
      </w:r>
      <w:r w:rsidRPr="0021550A">
        <w:t xml:space="preserve">, for example in </w:t>
      </w:r>
      <w:r w:rsidR="004D4BD1">
        <w:t>Table 4.13</w:t>
      </w:r>
      <w:r w:rsidRPr="0021550A">
        <w:t xml:space="preserve">, we saw that Quire a also uses the variant form </w:t>
      </w:r>
      <w:r w:rsidRPr="0021550A">
        <w:rPr>
          <w:i/>
        </w:rPr>
        <w:t xml:space="preserve">bigan </w:t>
      </w:r>
      <w:r w:rsidRPr="0021550A">
        <w:t xml:space="preserve">twenty per cent of the time. Quire q, Quire u, and Quire t all use </w:t>
      </w:r>
      <w:r w:rsidRPr="0021550A">
        <w:rPr>
          <w:i/>
        </w:rPr>
        <w:t>bygan</w:t>
      </w:r>
      <w:r w:rsidRPr="0021550A">
        <w:t xml:space="preserve"> between thirty and fifty per cent of the time, and use </w:t>
      </w:r>
      <w:r w:rsidRPr="0021550A">
        <w:rPr>
          <w:i/>
        </w:rPr>
        <w:t>began</w:t>
      </w:r>
      <w:r w:rsidRPr="0021550A">
        <w:t xml:space="preserve"> under twenty per cent of the time. These three quires all make use </w:t>
      </w:r>
      <w:r w:rsidRPr="0021550A">
        <w:rPr>
          <w:i/>
        </w:rPr>
        <w:t xml:space="preserve">bigan </w:t>
      </w:r>
      <w:r w:rsidRPr="0021550A">
        <w:t xml:space="preserve">to represent </w:t>
      </w:r>
      <w:r w:rsidRPr="0021550A">
        <w:rPr>
          <w:smallCaps/>
        </w:rPr>
        <w:t>began</w:t>
      </w:r>
      <w:r w:rsidRPr="0021550A">
        <w:t xml:space="preserve"> the rest of the time. To represent how the quires all use </w:t>
      </w:r>
      <w:r w:rsidRPr="0021550A">
        <w:rPr>
          <w:i/>
        </w:rPr>
        <w:t>bigan w</w:t>
      </w:r>
      <w:r w:rsidRPr="0021550A">
        <w:t xml:space="preserve">e could extend </w:t>
      </w:r>
      <w:r w:rsidR="004D4BD1">
        <w:t>Figure 4.16</w:t>
      </w:r>
      <w:r w:rsidRPr="0021550A">
        <w:t xml:space="preserve"> into three dimensions.</w:t>
      </w:r>
    </w:p>
    <w:p w14:paraId="18237178" w14:textId="0C736DB0" w:rsidR="00993A98" w:rsidRPr="0021550A" w:rsidRDefault="00993A98" w:rsidP="00993A98">
      <w:r w:rsidRPr="0021550A">
        <w:t xml:space="preserve">Cluster analysis uses the spatial distribution of objects to determine which objects should belong in the same cluster. The quires that are the closest to one another spatially are the quires that have similar values in the highest number of dimensions. I have limited this example to </w:t>
      </w:r>
      <w:r w:rsidRPr="0021550A">
        <w:rPr>
          <w:smallCaps/>
        </w:rPr>
        <w:t>began</w:t>
      </w:r>
      <w:r w:rsidRPr="0021550A">
        <w:t xml:space="preserve"> in order to use a simple example, and when we look only at the spellings for </w:t>
      </w:r>
      <w:r w:rsidRPr="0021550A">
        <w:rPr>
          <w:smallCaps/>
        </w:rPr>
        <w:t>began</w:t>
      </w:r>
      <w:r w:rsidRPr="0021550A">
        <w:t xml:space="preserve"> Quire a and Quire b are not very close to one another. The cluster analysis for the </w:t>
      </w:r>
      <w:r w:rsidRPr="0021550A">
        <w:rPr>
          <w:i/>
        </w:rPr>
        <w:t>Confessio Amantis</w:t>
      </w:r>
      <w:r w:rsidRPr="0021550A">
        <w:t xml:space="preserve"> is carried out over all the words that are used in the </w:t>
      </w:r>
      <w:r w:rsidRPr="0021550A">
        <w:lastRenderedPageBreak/>
        <w:t xml:space="preserve">text, a total of 4,231 spelling variants. It does not necessarily matter that Quire a and Quire b are not very close to one another for the word </w:t>
      </w:r>
      <w:r w:rsidRPr="0021550A">
        <w:rPr>
          <w:smallCaps/>
        </w:rPr>
        <w:t>began</w:t>
      </w:r>
      <w:r w:rsidRPr="0021550A">
        <w:t xml:space="preserve">, because Quire a and Quire b are close together spatially for other words, i.e. in other dimensions. Now that it is clear how cluster analysis makes use of spatial representation of objects, it is necessary to discuss the issues that come with </w:t>
      </w:r>
      <w:r>
        <w:t>analysing</w:t>
      </w:r>
      <w:r w:rsidRPr="0021550A">
        <w:t xml:space="preserve"> objects in high-dimensional space.</w:t>
      </w:r>
    </w:p>
    <w:p w14:paraId="761018CA" w14:textId="77777777" w:rsidR="005306CF" w:rsidRPr="0021550A" w:rsidRDefault="005306CF" w:rsidP="005306CF"/>
    <w:p w14:paraId="6293FBDC" w14:textId="297A37F4" w:rsidR="005306CF" w:rsidRPr="0021550A" w:rsidRDefault="005306CF" w:rsidP="005306CF">
      <w:pPr>
        <w:pStyle w:val="Heading3"/>
      </w:pPr>
      <w:bookmarkStart w:id="105" w:name="_Ref490836644"/>
      <w:r w:rsidRPr="0021550A">
        <w:t>The curse of dimensionality: proximity</w:t>
      </w:r>
      <w:bookmarkEnd w:id="105"/>
    </w:p>
    <w:p w14:paraId="62321823" w14:textId="6DD09E85" w:rsidR="005306CF" w:rsidRPr="0021550A" w:rsidRDefault="005306CF" w:rsidP="005306CF">
      <w:r w:rsidRPr="0021550A">
        <w:t xml:space="preserve">In the case of proximity-based clustering, we are interested in the distance between objects. The more dimensions that are added to a dataset, the further away all the points that exist in that space become. We can illustrate this using the ratios for </w:t>
      </w:r>
      <w:r w:rsidRPr="0021550A">
        <w:rPr>
          <w:smallCaps/>
        </w:rPr>
        <w:t>began</w:t>
      </w:r>
      <w:r w:rsidRPr="0021550A">
        <w:t xml:space="preserve"> that we saw in the previous section. This data is presented in </w:t>
      </w:r>
      <w:r w:rsidR="004D4BD1">
        <w:t>Table 4.17</w:t>
      </w:r>
      <w:r w:rsidRPr="0021550A">
        <w:t xml:space="preserve">. </w:t>
      </w:r>
    </w:p>
    <w:p w14:paraId="36D4E22A" w14:textId="77777777" w:rsidR="005306CF" w:rsidRPr="0021550A" w:rsidRDefault="005306CF" w:rsidP="005306CF"/>
    <w:tbl>
      <w:tblPr>
        <w:tblStyle w:val="GridTable1Light1"/>
        <w:tblW w:w="0" w:type="auto"/>
        <w:tblInd w:w="-113" w:type="dxa"/>
        <w:tblLook w:val="04A0" w:firstRow="1" w:lastRow="0" w:firstColumn="1" w:lastColumn="0" w:noHBand="0" w:noVBand="1"/>
      </w:tblPr>
      <w:tblGrid>
        <w:gridCol w:w="1300"/>
        <w:gridCol w:w="1300"/>
        <w:gridCol w:w="1300"/>
      </w:tblGrid>
      <w:tr w:rsidR="005306CF" w:rsidRPr="0021550A" w14:paraId="42616857" w14:textId="77777777" w:rsidTr="00114E61">
        <w:trPr>
          <w:cnfStyle w:val="100000000000" w:firstRow="1" w:lastRow="0" w:firstColumn="0" w:lastColumn="0" w:oddVBand="0" w:evenVBand="0" w:oddHBand="0"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1300" w:type="dxa"/>
            <w:noWrap/>
            <w:vAlign w:val="center"/>
          </w:tcPr>
          <w:p w14:paraId="1FF52ADE" w14:textId="77777777" w:rsidR="005306CF" w:rsidRPr="0021550A" w:rsidRDefault="005306CF" w:rsidP="0075112E">
            <w:pPr>
              <w:ind w:hanging="7"/>
              <w:jc w:val="center"/>
            </w:pPr>
          </w:p>
        </w:tc>
        <w:tc>
          <w:tcPr>
            <w:tcW w:w="1300" w:type="dxa"/>
            <w:noWrap/>
            <w:vAlign w:val="center"/>
          </w:tcPr>
          <w:p w14:paraId="1B7A56AD" w14:textId="77777777" w:rsidR="005306CF" w:rsidRPr="0021550A" w:rsidRDefault="005306CF" w:rsidP="0075112E">
            <w:pPr>
              <w:ind w:hanging="7"/>
              <w:jc w:val="center"/>
              <w:cnfStyle w:val="100000000000" w:firstRow="1" w:lastRow="0" w:firstColumn="0" w:lastColumn="0" w:oddVBand="0" w:evenVBand="0" w:oddHBand="0" w:evenHBand="0" w:firstRowFirstColumn="0" w:firstRowLastColumn="0" w:lastRowFirstColumn="0" w:lastRowLastColumn="0"/>
            </w:pPr>
            <w:r w:rsidRPr="0021550A">
              <w:t>Quire a</w:t>
            </w:r>
          </w:p>
        </w:tc>
        <w:tc>
          <w:tcPr>
            <w:tcW w:w="1300" w:type="dxa"/>
            <w:noWrap/>
            <w:vAlign w:val="center"/>
          </w:tcPr>
          <w:p w14:paraId="3F5BDE06" w14:textId="77777777" w:rsidR="005306CF" w:rsidRPr="0021550A" w:rsidRDefault="005306CF" w:rsidP="0075112E">
            <w:pPr>
              <w:ind w:hanging="7"/>
              <w:jc w:val="center"/>
              <w:cnfStyle w:val="100000000000" w:firstRow="1" w:lastRow="0" w:firstColumn="0" w:lastColumn="0" w:oddVBand="0" w:evenVBand="0" w:oddHBand="0" w:evenHBand="0" w:firstRowFirstColumn="0" w:firstRowLastColumn="0" w:lastRowFirstColumn="0" w:lastRowLastColumn="0"/>
            </w:pPr>
            <w:r w:rsidRPr="0021550A">
              <w:t>Quire b</w:t>
            </w:r>
          </w:p>
        </w:tc>
      </w:tr>
      <w:tr w:rsidR="005306CF" w:rsidRPr="0021550A" w14:paraId="0A7EB04C" w14:textId="77777777" w:rsidTr="00114E61">
        <w:trPr>
          <w:trHeight w:val="320"/>
        </w:trPr>
        <w:tc>
          <w:tcPr>
            <w:cnfStyle w:val="001000000000" w:firstRow="0" w:lastRow="0" w:firstColumn="1" w:lastColumn="0" w:oddVBand="0" w:evenVBand="0" w:oddHBand="0" w:evenHBand="0" w:firstRowFirstColumn="0" w:firstRowLastColumn="0" w:lastRowFirstColumn="0" w:lastRowLastColumn="0"/>
            <w:tcW w:w="1300" w:type="dxa"/>
            <w:noWrap/>
            <w:vAlign w:val="center"/>
            <w:hideMark/>
          </w:tcPr>
          <w:p w14:paraId="2DECBB7B" w14:textId="77777777" w:rsidR="005306CF" w:rsidRPr="005560E9" w:rsidRDefault="005306CF" w:rsidP="0075112E">
            <w:pPr>
              <w:ind w:hanging="7"/>
              <w:jc w:val="center"/>
              <w:rPr>
                <w:b w:val="0"/>
                <w:i/>
              </w:rPr>
            </w:pPr>
            <w:r w:rsidRPr="005560E9">
              <w:rPr>
                <w:b w:val="0"/>
                <w:i/>
              </w:rPr>
              <w:t>began</w:t>
            </w:r>
          </w:p>
        </w:tc>
        <w:tc>
          <w:tcPr>
            <w:tcW w:w="1300" w:type="dxa"/>
            <w:noWrap/>
            <w:vAlign w:val="center"/>
            <w:hideMark/>
          </w:tcPr>
          <w:p w14:paraId="6DE12A68" w14:textId="77777777" w:rsidR="005306CF" w:rsidRPr="0021550A" w:rsidRDefault="005306CF" w:rsidP="0075112E">
            <w:pPr>
              <w:ind w:hanging="7"/>
              <w:jc w:val="center"/>
              <w:cnfStyle w:val="000000000000" w:firstRow="0" w:lastRow="0" w:firstColumn="0" w:lastColumn="0" w:oddVBand="0" w:evenVBand="0" w:oddHBand="0" w:evenHBand="0" w:firstRowFirstColumn="0" w:firstRowLastColumn="0" w:lastRowFirstColumn="0" w:lastRowLastColumn="0"/>
            </w:pPr>
            <w:r w:rsidRPr="0021550A">
              <w:t>0.2</w:t>
            </w:r>
          </w:p>
        </w:tc>
        <w:tc>
          <w:tcPr>
            <w:tcW w:w="1300" w:type="dxa"/>
            <w:noWrap/>
            <w:vAlign w:val="center"/>
            <w:hideMark/>
          </w:tcPr>
          <w:p w14:paraId="7224D7FB" w14:textId="77777777" w:rsidR="005306CF" w:rsidRPr="0021550A" w:rsidRDefault="005306CF" w:rsidP="0075112E">
            <w:pPr>
              <w:ind w:hanging="7"/>
              <w:jc w:val="center"/>
              <w:cnfStyle w:val="000000000000" w:firstRow="0" w:lastRow="0" w:firstColumn="0" w:lastColumn="0" w:oddVBand="0" w:evenVBand="0" w:oddHBand="0" w:evenHBand="0" w:firstRowFirstColumn="0" w:firstRowLastColumn="0" w:lastRowFirstColumn="0" w:lastRowLastColumn="0"/>
            </w:pPr>
            <w:r w:rsidRPr="0021550A">
              <w:t>0.5</w:t>
            </w:r>
          </w:p>
        </w:tc>
      </w:tr>
      <w:tr w:rsidR="005306CF" w:rsidRPr="0021550A" w14:paraId="6B4A20DF" w14:textId="77777777" w:rsidTr="00114E61">
        <w:trPr>
          <w:trHeight w:val="320"/>
        </w:trPr>
        <w:tc>
          <w:tcPr>
            <w:cnfStyle w:val="001000000000" w:firstRow="0" w:lastRow="0" w:firstColumn="1" w:lastColumn="0" w:oddVBand="0" w:evenVBand="0" w:oddHBand="0" w:evenHBand="0" w:firstRowFirstColumn="0" w:firstRowLastColumn="0" w:lastRowFirstColumn="0" w:lastRowLastColumn="0"/>
            <w:tcW w:w="1300" w:type="dxa"/>
            <w:noWrap/>
            <w:vAlign w:val="center"/>
            <w:hideMark/>
          </w:tcPr>
          <w:p w14:paraId="393E0DAE" w14:textId="77777777" w:rsidR="005306CF" w:rsidRPr="005560E9" w:rsidRDefault="005306CF" w:rsidP="0075112E">
            <w:pPr>
              <w:ind w:hanging="7"/>
              <w:jc w:val="center"/>
              <w:rPr>
                <w:b w:val="0"/>
                <w:i/>
              </w:rPr>
            </w:pPr>
            <w:r w:rsidRPr="005560E9">
              <w:rPr>
                <w:b w:val="0"/>
                <w:i/>
              </w:rPr>
              <w:t>bygan</w:t>
            </w:r>
          </w:p>
        </w:tc>
        <w:tc>
          <w:tcPr>
            <w:tcW w:w="1300" w:type="dxa"/>
            <w:noWrap/>
            <w:vAlign w:val="center"/>
            <w:hideMark/>
          </w:tcPr>
          <w:p w14:paraId="1C9F9D49" w14:textId="77777777" w:rsidR="005306CF" w:rsidRPr="0021550A" w:rsidRDefault="005306CF" w:rsidP="0075112E">
            <w:pPr>
              <w:ind w:hanging="7"/>
              <w:jc w:val="center"/>
              <w:cnfStyle w:val="000000000000" w:firstRow="0" w:lastRow="0" w:firstColumn="0" w:lastColumn="0" w:oddVBand="0" w:evenVBand="0" w:oddHBand="0" w:evenHBand="0" w:firstRowFirstColumn="0" w:firstRowLastColumn="0" w:lastRowFirstColumn="0" w:lastRowLastColumn="0"/>
            </w:pPr>
            <w:r w:rsidRPr="0021550A">
              <w:t>0.6</w:t>
            </w:r>
          </w:p>
        </w:tc>
        <w:tc>
          <w:tcPr>
            <w:tcW w:w="1300" w:type="dxa"/>
            <w:noWrap/>
            <w:vAlign w:val="center"/>
            <w:hideMark/>
          </w:tcPr>
          <w:p w14:paraId="3261C187" w14:textId="77777777" w:rsidR="005306CF" w:rsidRPr="0021550A" w:rsidRDefault="005306CF" w:rsidP="0075112E">
            <w:pPr>
              <w:ind w:hanging="7"/>
              <w:jc w:val="center"/>
              <w:cnfStyle w:val="000000000000" w:firstRow="0" w:lastRow="0" w:firstColumn="0" w:lastColumn="0" w:oddVBand="0" w:evenVBand="0" w:oddHBand="0" w:evenHBand="0" w:firstRowFirstColumn="0" w:firstRowLastColumn="0" w:lastRowFirstColumn="0" w:lastRowLastColumn="0"/>
            </w:pPr>
            <w:r w:rsidRPr="0021550A">
              <w:t>0.5</w:t>
            </w:r>
          </w:p>
        </w:tc>
      </w:tr>
      <w:tr w:rsidR="005306CF" w:rsidRPr="0021550A" w14:paraId="7CE06755" w14:textId="77777777" w:rsidTr="00114E61">
        <w:trPr>
          <w:trHeight w:val="320"/>
        </w:trPr>
        <w:tc>
          <w:tcPr>
            <w:cnfStyle w:val="001000000000" w:firstRow="0" w:lastRow="0" w:firstColumn="1" w:lastColumn="0" w:oddVBand="0" w:evenVBand="0" w:oddHBand="0" w:evenHBand="0" w:firstRowFirstColumn="0" w:firstRowLastColumn="0" w:lastRowFirstColumn="0" w:lastRowLastColumn="0"/>
            <w:tcW w:w="1300" w:type="dxa"/>
            <w:noWrap/>
            <w:vAlign w:val="center"/>
            <w:hideMark/>
          </w:tcPr>
          <w:p w14:paraId="15DBFA22" w14:textId="77777777" w:rsidR="005306CF" w:rsidRPr="005560E9" w:rsidRDefault="005306CF" w:rsidP="0075112E">
            <w:pPr>
              <w:ind w:hanging="7"/>
              <w:jc w:val="center"/>
              <w:rPr>
                <w:b w:val="0"/>
                <w:i/>
              </w:rPr>
            </w:pPr>
            <w:r w:rsidRPr="005560E9">
              <w:rPr>
                <w:b w:val="0"/>
                <w:i/>
              </w:rPr>
              <w:t>bigan</w:t>
            </w:r>
          </w:p>
        </w:tc>
        <w:tc>
          <w:tcPr>
            <w:tcW w:w="1300" w:type="dxa"/>
            <w:noWrap/>
            <w:vAlign w:val="center"/>
            <w:hideMark/>
          </w:tcPr>
          <w:p w14:paraId="3317AC37" w14:textId="77777777" w:rsidR="005306CF" w:rsidRPr="0021550A" w:rsidRDefault="005306CF" w:rsidP="0075112E">
            <w:pPr>
              <w:ind w:hanging="7"/>
              <w:jc w:val="center"/>
              <w:cnfStyle w:val="000000000000" w:firstRow="0" w:lastRow="0" w:firstColumn="0" w:lastColumn="0" w:oddVBand="0" w:evenVBand="0" w:oddHBand="0" w:evenHBand="0" w:firstRowFirstColumn="0" w:firstRowLastColumn="0" w:lastRowFirstColumn="0" w:lastRowLastColumn="0"/>
            </w:pPr>
            <w:r w:rsidRPr="0021550A">
              <w:t>0.2</w:t>
            </w:r>
          </w:p>
        </w:tc>
        <w:tc>
          <w:tcPr>
            <w:tcW w:w="1300" w:type="dxa"/>
            <w:noWrap/>
            <w:vAlign w:val="center"/>
            <w:hideMark/>
          </w:tcPr>
          <w:p w14:paraId="2E3686DC" w14:textId="77777777" w:rsidR="005306CF" w:rsidRPr="0021550A" w:rsidRDefault="005306CF" w:rsidP="0075112E">
            <w:pPr>
              <w:ind w:hanging="7"/>
              <w:jc w:val="center"/>
              <w:cnfStyle w:val="000000000000" w:firstRow="0" w:lastRow="0" w:firstColumn="0" w:lastColumn="0" w:oddVBand="0" w:evenVBand="0" w:oddHBand="0" w:evenHBand="0" w:firstRowFirstColumn="0" w:firstRowLastColumn="0" w:lastRowFirstColumn="0" w:lastRowLastColumn="0"/>
            </w:pPr>
            <w:r w:rsidRPr="0021550A">
              <w:t>0</w:t>
            </w:r>
          </w:p>
        </w:tc>
      </w:tr>
    </w:tbl>
    <w:p w14:paraId="47E917AC" w14:textId="12648BAB" w:rsidR="005306CF" w:rsidRPr="0021550A" w:rsidRDefault="004D4BD1" w:rsidP="005306CF">
      <w:pPr>
        <w:pStyle w:val="Caption"/>
      </w:pPr>
      <w:bookmarkStart w:id="106" w:name="_Toc499753478"/>
      <w:r>
        <w:t>Table 4.17:</w:t>
      </w:r>
      <w:r w:rsidR="005306CF" w:rsidRPr="0021550A">
        <w:t xml:space="preserve"> Ratios of </w:t>
      </w:r>
      <w:r w:rsidR="005306CF" w:rsidRPr="0021550A">
        <w:rPr>
          <w:smallCaps/>
        </w:rPr>
        <w:t>began</w:t>
      </w:r>
      <w:r w:rsidR="005306CF" w:rsidRPr="0021550A">
        <w:t xml:space="preserve"> in Quire a and Quire b of the </w:t>
      </w:r>
      <w:r w:rsidR="005306CF" w:rsidRPr="0021550A">
        <w:rPr>
          <w:i/>
        </w:rPr>
        <w:t>Confessio Amantis</w:t>
      </w:r>
      <w:bookmarkEnd w:id="106"/>
    </w:p>
    <w:p w14:paraId="543DFB9F" w14:textId="77777777" w:rsidR="005306CF" w:rsidRPr="0021550A" w:rsidRDefault="005306CF" w:rsidP="005306CF"/>
    <w:p w14:paraId="68EAF04E" w14:textId="079918C7" w:rsidR="005306CF" w:rsidRPr="0021550A" w:rsidRDefault="004D4BD1" w:rsidP="005306CF">
      <w:r>
        <w:t xml:space="preserve">Table 4.17 </w:t>
      </w:r>
      <w:r w:rsidR="005306CF" w:rsidRPr="0021550A">
        <w:t xml:space="preserve">provides the ratios for the three spellings used to represent </w:t>
      </w:r>
      <w:r w:rsidR="005306CF" w:rsidRPr="0021550A">
        <w:rPr>
          <w:smallCaps/>
        </w:rPr>
        <w:t>began</w:t>
      </w:r>
      <w:r w:rsidR="005306CF" w:rsidRPr="0021550A">
        <w:t xml:space="preserve"> in Quire a and Quire b of the </w:t>
      </w:r>
      <w:r w:rsidR="005306CF" w:rsidRPr="0021550A">
        <w:rPr>
          <w:i/>
        </w:rPr>
        <w:t>Confessio Amantis</w:t>
      </w:r>
      <w:r w:rsidR="005306CF" w:rsidRPr="0021550A">
        <w:t xml:space="preserve">. We can plot the information for the first variable, </w:t>
      </w:r>
      <w:r w:rsidR="005306CF" w:rsidRPr="0021550A">
        <w:rPr>
          <w:i/>
        </w:rPr>
        <w:t>began</w:t>
      </w:r>
      <w:r w:rsidR="005306CF" w:rsidRPr="0021550A">
        <w:t xml:space="preserve">, onto a one-dimensional graph. </w:t>
      </w:r>
    </w:p>
    <w:p w14:paraId="1811CF9B" w14:textId="77777777" w:rsidR="005306CF" w:rsidRPr="0021550A" w:rsidRDefault="005306CF" w:rsidP="005306CF"/>
    <w:p w14:paraId="7E563D07" w14:textId="32F7B346" w:rsidR="005306CF" w:rsidRPr="0021550A" w:rsidRDefault="005306CF" w:rsidP="005306CF">
      <w:pPr>
        <w:ind w:firstLine="0"/>
      </w:pPr>
      <w:r w:rsidRPr="0021550A">
        <w:rPr>
          <w:noProof/>
          <w:lang w:eastAsia="en-GB"/>
        </w:rPr>
        <w:drawing>
          <wp:inline distT="0" distB="0" distL="0" distR="0" wp14:anchorId="0D8EBBF7" wp14:editId="4823871E">
            <wp:extent cx="4915535" cy="79877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Began Quire a and b.pdf"/>
                    <pic:cNvPicPr/>
                  </pic:nvPicPr>
                  <pic:blipFill rotWithShape="1">
                    <a:blip r:embed="rId43">
                      <a:extLst>
                        <a:ext uri="{28A0092B-C50C-407E-A947-70E740481C1C}">
                          <a14:useLocalDpi xmlns:a14="http://schemas.microsoft.com/office/drawing/2010/main"/>
                        </a:ext>
                      </a:extLst>
                    </a:blip>
                    <a:srcRect l="15965" t="23578" r="34905" b="62230"/>
                    <a:stretch/>
                  </pic:blipFill>
                  <pic:spPr bwMode="auto">
                    <a:xfrm>
                      <a:off x="0" y="0"/>
                      <a:ext cx="5202340" cy="845381"/>
                    </a:xfrm>
                    <a:prstGeom prst="rect">
                      <a:avLst/>
                    </a:prstGeom>
                    <a:ln>
                      <a:noFill/>
                    </a:ln>
                    <a:extLst>
                      <a:ext uri="{53640926-AAD7-44D8-BBD7-CCE9431645EC}">
                        <a14:shadowObscured xmlns:a14="http://schemas.microsoft.com/office/drawing/2010/main"/>
                      </a:ext>
                    </a:extLst>
                  </pic:spPr>
                </pic:pic>
              </a:graphicData>
            </a:graphic>
          </wp:inline>
        </w:drawing>
      </w:r>
    </w:p>
    <w:p w14:paraId="4D703FEF" w14:textId="2864D6A7" w:rsidR="005306CF" w:rsidRPr="0021550A" w:rsidRDefault="004D4BD1" w:rsidP="005306CF">
      <w:pPr>
        <w:pStyle w:val="Caption"/>
      </w:pPr>
      <w:bookmarkStart w:id="107" w:name="_Toc499753525"/>
      <w:r>
        <w:t>Figure 4.18:</w:t>
      </w:r>
      <w:r w:rsidR="005306CF" w:rsidRPr="0021550A">
        <w:t xml:space="preserve"> Graphical representation of </w:t>
      </w:r>
      <w:r w:rsidR="005306CF" w:rsidRPr="0021550A">
        <w:rPr>
          <w:i/>
        </w:rPr>
        <w:t>began</w:t>
      </w:r>
      <w:r w:rsidR="005306CF" w:rsidRPr="0021550A">
        <w:t xml:space="preserve"> in </w:t>
      </w:r>
      <w:r w:rsidR="00F90A3F">
        <w:t>quires</w:t>
      </w:r>
      <w:r w:rsidR="005306CF" w:rsidRPr="0021550A">
        <w:t xml:space="preserve"> of the </w:t>
      </w:r>
      <w:r w:rsidR="005306CF" w:rsidRPr="0021550A">
        <w:rPr>
          <w:i/>
        </w:rPr>
        <w:t>Confessio Amantis</w:t>
      </w:r>
      <w:bookmarkEnd w:id="107"/>
    </w:p>
    <w:p w14:paraId="6651A08B" w14:textId="77777777" w:rsidR="005306CF" w:rsidRPr="0021550A" w:rsidRDefault="005306CF" w:rsidP="005306CF"/>
    <w:p w14:paraId="6488E3D6" w14:textId="7EA52DDA" w:rsidR="005306CF" w:rsidRDefault="005306CF" w:rsidP="005306CF">
      <w:r w:rsidRPr="0021550A">
        <w:t xml:space="preserve">In the case of proximity-based clustering, we are now interested in the distance between the two objects represented in </w:t>
      </w:r>
      <w:r w:rsidR="004D4BD1">
        <w:t>Figure 4.18.</w:t>
      </w:r>
      <w:r w:rsidRPr="0021550A">
        <w:t>The Euclidean distance between Quire a and Quire b is 0.3.</w:t>
      </w:r>
      <w:r w:rsidRPr="005C54CE">
        <w:rPr>
          <w:rStyle w:val="FootnoteReference"/>
        </w:rPr>
        <w:footnoteReference w:id="10"/>
      </w:r>
      <w:r w:rsidRPr="0021550A">
        <w:t xml:space="preserve"> Again, we can expand the number of dimensions to two, by including the spelling variant </w:t>
      </w:r>
      <w:r w:rsidRPr="0021550A">
        <w:rPr>
          <w:i/>
        </w:rPr>
        <w:t>bygan</w:t>
      </w:r>
      <w:r w:rsidRPr="0021550A">
        <w:t xml:space="preserve">, seen below in </w:t>
      </w:r>
      <w:r w:rsidR="004D4BD1">
        <w:t>Figure 4.19.</w:t>
      </w:r>
    </w:p>
    <w:p w14:paraId="729985CB" w14:textId="77777777" w:rsidR="005306CF" w:rsidRPr="0021550A" w:rsidRDefault="005306CF" w:rsidP="005306CF">
      <w:r w:rsidRPr="0021550A">
        <w:lastRenderedPageBreak/>
        <w:tab/>
      </w:r>
    </w:p>
    <w:p w14:paraId="06AEC305" w14:textId="1723A77F" w:rsidR="005306CF" w:rsidRPr="0021550A" w:rsidRDefault="005306CF" w:rsidP="005306CF">
      <w:r w:rsidRPr="0021550A">
        <w:rPr>
          <w:noProof/>
          <w:lang w:eastAsia="en-GB"/>
        </w:rPr>
        <w:drawing>
          <wp:inline distT="0" distB="0" distL="0" distR="0" wp14:anchorId="65CD43AD" wp14:editId="3A06E5A7">
            <wp:extent cx="2590965" cy="259573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ratios began 2d.pdf"/>
                    <pic:cNvPicPr/>
                  </pic:nvPicPr>
                  <pic:blipFill rotWithShape="1">
                    <a:blip r:embed="rId44">
                      <a:extLst>
                        <a:ext uri="{28A0092B-C50C-407E-A947-70E740481C1C}">
                          <a14:useLocalDpi xmlns:a14="http://schemas.microsoft.com/office/drawing/2010/main"/>
                        </a:ext>
                      </a:extLst>
                    </a:blip>
                    <a:srcRect l="59058" t="1067" r="7091" b="38645"/>
                    <a:stretch/>
                  </pic:blipFill>
                  <pic:spPr bwMode="auto">
                    <a:xfrm>
                      <a:off x="0" y="0"/>
                      <a:ext cx="2687242" cy="2692189"/>
                    </a:xfrm>
                    <a:prstGeom prst="rect">
                      <a:avLst/>
                    </a:prstGeom>
                    <a:ln>
                      <a:noFill/>
                    </a:ln>
                    <a:extLst>
                      <a:ext uri="{53640926-AAD7-44D8-BBD7-CCE9431645EC}">
                        <a14:shadowObscured xmlns:a14="http://schemas.microsoft.com/office/drawing/2010/main"/>
                      </a:ext>
                    </a:extLst>
                  </pic:spPr>
                </pic:pic>
              </a:graphicData>
            </a:graphic>
          </wp:inline>
        </w:drawing>
      </w:r>
    </w:p>
    <w:p w14:paraId="797C5D78" w14:textId="18895074" w:rsidR="005306CF" w:rsidRPr="0021550A" w:rsidRDefault="004D4BD1" w:rsidP="005306CF">
      <w:pPr>
        <w:pStyle w:val="Caption"/>
        <w:rPr>
          <w:i/>
        </w:rPr>
      </w:pPr>
      <w:bookmarkStart w:id="108" w:name="_Toc499753526"/>
      <w:r>
        <w:t>Figure 4.19:</w:t>
      </w:r>
      <w:r w:rsidR="005306CF" w:rsidRPr="0021550A">
        <w:t xml:space="preserve"> Graphical representation of </w:t>
      </w:r>
      <w:r w:rsidR="005306CF" w:rsidRPr="0021550A">
        <w:rPr>
          <w:i/>
        </w:rPr>
        <w:t>began</w:t>
      </w:r>
      <w:r w:rsidR="005306CF" w:rsidRPr="0021550A">
        <w:t xml:space="preserve"> and </w:t>
      </w:r>
      <w:r w:rsidR="005306CF" w:rsidRPr="0021550A">
        <w:rPr>
          <w:i/>
        </w:rPr>
        <w:t>bygan</w:t>
      </w:r>
      <w:r w:rsidR="005306CF" w:rsidRPr="0021550A">
        <w:t xml:space="preserve"> in the </w:t>
      </w:r>
      <w:r w:rsidR="005306CF" w:rsidRPr="0021550A">
        <w:rPr>
          <w:i/>
        </w:rPr>
        <w:t>Confessio Amantis</w:t>
      </w:r>
      <w:bookmarkEnd w:id="108"/>
    </w:p>
    <w:p w14:paraId="331ACFD0" w14:textId="77777777" w:rsidR="005306CF" w:rsidRPr="0021550A" w:rsidRDefault="005306CF" w:rsidP="005306CF"/>
    <w:p w14:paraId="26A324EC" w14:textId="77777777" w:rsidR="005306CF" w:rsidRPr="0021550A" w:rsidRDefault="005306CF" w:rsidP="005306CF">
      <w:r w:rsidRPr="0021550A">
        <w:t xml:space="preserve">Now Quires a and b exist in two dimensions, and the distance between the two points here is 0.32 units. The distance between Quire a and Quire b has increased from 0.3 units to 0.32 upon moving from one dimension to two dimensions. With every dimension that we add, the distance between Quire a and Quire b will increase (or at the very least, the distance between them will remain the same). Adding successive dimensions pushes the quires further and further apart, and this has implications for the use of a clustering algorithm that is dependent upon the distance between objects in space. </w:t>
      </w:r>
    </w:p>
    <w:p w14:paraId="5BCC3AB7" w14:textId="66E0276A" w:rsidR="005306CF" w:rsidRPr="0021550A" w:rsidRDefault="005306CF" w:rsidP="005306CF">
      <w:r w:rsidRPr="0021550A">
        <w:t xml:space="preserve">While it is not possible to visualise the data in more than three dimensions, it is possible to prove that an increase in dimensions will result in a greater or equal distance between Quire a and Quire b by starting with Pythagoras theorem given below in Equation </w:t>
      </w:r>
      <w:r w:rsidR="004D4BD1">
        <w:t>4</w:t>
      </w:r>
      <w:r w:rsidRPr="0021550A">
        <w:t>.1.</w:t>
      </w:r>
    </w:p>
    <w:p w14:paraId="44F5552C" w14:textId="77777777" w:rsidR="005306CF" w:rsidRPr="0021550A" w:rsidRDefault="005306CF" w:rsidP="005306CF"/>
    <w:p w14:paraId="12D158E5" w14:textId="77777777" w:rsidR="005306CF" w:rsidRPr="0021550A" w:rsidRDefault="005306CF" w:rsidP="00114E61">
      <w:pPr>
        <w:ind w:left="288"/>
      </w:pPr>
      <m:oMathPara>
        <m:oMathParaPr>
          <m:jc m:val="left"/>
        </m:oMathParaPr>
        <m:oMath>
          <m:r>
            <w:rPr>
              <w:rFonts w:ascii="Cambria Math" w:hAnsi="Cambria Math"/>
            </w:rPr>
            <m:t>c</m:t>
          </m:r>
          <m:r>
            <m:rPr>
              <m:sty m:val="p"/>
            </m:rPr>
            <w:rPr>
              <w:rFonts w:ascii="Cambria Math" w:hAnsi="Cambria Math"/>
            </w:rPr>
            <m:t xml:space="preserve">= </m:t>
          </m:r>
          <m:rad>
            <m:radPr>
              <m:degHide m:val="1"/>
              <m:ctrlPr>
                <w:rPr>
                  <w:rFonts w:ascii="Cambria Math" w:hAnsi="Cambria Math"/>
                </w:rPr>
              </m:ctrlPr>
            </m:radPr>
            <m:deg/>
            <m:e>
              <m:sSup>
                <m:sSupPr>
                  <m:ctrlPr>
                    <w:rPr>
                      <w:rFonts w:ascii="Cambria Math" w:hAnsi="Cambria Math"/>
                    </w:rPr>
                  </m:ctrlPr>
                </m:sSupPr>
                <m:e>
                  <m:r>
                    <w:rPr>
                      <w:rFonts w:ascii="Cambria Math" w:hAnsi="Cambria Math"/>
                    </w:rPr>
                    <m:t>a</m:t>
                  </m:r>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r>
                    <w:rPr>
                      <w:rFonts w:ascii="Cambria Math" w:hAnsi="Cambria Math"/>
                    </w:rPr>
                    <m:t>b</m:t>
                  </m:r>
                </m:e>
                <m:sup>
                  <m:r>
                    <m:rPr>
                      <m:sty m:val="p"/>
                    </m:rPr>
                    <w:rPr>
                      <w:rFonts w:ascii="Cambria Math" w:hAnsi="Cambria Math"/>
                    </w:rPr>
                    <m:t>2</m:t>
                  </m:r>
                </m:sup>
              </m:sSup>
            </m:e>
          </m:rad>
        </m:oMath>
      </m:oMathPara>
    </w:p>
    <w:p w14:paraId="044C0FDA" w14:textId="77777777" w:rsidR="005306CF" w:rsidRPr="0021550A" w:rsidRDefault="005306CF" w:rsidP="005306CF">
      <w:pPr>
        <w:pStyle w:val="Caption"/>
      </w:pPr>
      <w:bookmarkStart w:id="109" w:name="_Ref499565194"/>
      <w:r w:rsidRPr="0021550A">
        <w:t xml:space="preserve">Equation </w:t>
      </w:r>
      <w:r>
        <w:fldChar w:fldCharType="begin"/>
      </w:r>
      <w:r>
        <w:instrText xml:space="preserve"> STYLEREF 1 \s </w:instrText>
      </w:r>
      <w:r>
        <w:fldChar w:fldCharType="separate"/>
      </w:r>
      <w:r w:rsidR="00D11844">
        <w:rPr>
          <w:noProof/>
        </w:rPr>
        <w:t>4</w:t>
      </w:r>
      <w:r>
        <w:rPr>
          <w:noProof/>
        </w:rPr>
        <w:fldChar w:fldCharType="end"/>
      </w:r>
      <w:r w:rsidRPr="0021550A">
        <w:t>.</w:t>
      </w:r>
      <w:r>
        <w:fldChar w:fldCharType="begin"/>
      </w:r>
      <w:r>
        <w:instrText xml:space="preserve"> SEQ Equation \* ARABIC \s 1 </w:instrText>
      </w:r>
      <w:r>
        <w:fldChar w:fldCharType="separate"/>
      </w:r>
      <w:r w:rsidR="00D11844">
        <w:rPr>
          <w:noProof/>
        </w:rPr>
        <w:t>1</w:t>
      </w:r>
      <w:r>
        <w:rPr>
          <w:noProof/>
        </w:rPr>
        <w:fldChar w:fldCharType="end"/>
      </w:r>
      <w:bookmarkEnd w:id="109"/>
      <w:r w:rsidRPr="0021550A">
        <w:t>: Pythagoras theorem for calculating distance in two dimensions</w:t>
      </w:r>
    </w:p>
    <w:p w14:paraId="7508DCAF" w14:textId="77777777" w:rsidR="005306CF" w:rsidRPr="0021550A" w:rsidRDefault="005306CF" w:rsidP="005306CF"/>
    <w:p w14:paraId="70071225" w14:textId="1513A94F" w:rsidR="005306CF" w:rsidRPr="0021550A" w:rsidRDefault="005306CF" w:rsidP="005306CF">
      <w:r w:rsidRPr="0021550A">
        <w:t xml:space="preserve">To find the Euclidean distance between Quire a and Quire b we can apply Pythagoras theorem onto the triangle formed when taking the Manhattan distance between Quire a and Quire b, demonstrated in </w:t>
      </w:r>
      <w:r w:rsidR="004D4BD1">
        <w:t xml:space="preserve">Figure 4.20. </w:t>
      </w:r>
      <w:r w:rsidRPr="0021550A">
        <w:t xml:space="preserve">The distance between Quire a and Quire b is the value </w:t>
      </w:r>
      <w:r w:rsidRPr="0021550A">
        <w:rPr>
          <w:i/>
        </w:rPr>
        <w:t>c</w:t>
      </w:r>
      <w:r w:rsidRPr="0021550A">
        <w:t xml:space="preserve">. </w:t>
      </w:r>
    </w:p>
    <w:p w14:paraId="5A4FF6EC" w14:textId="77777777" w:rsidR="005306CF" w:rsidRDefault="005306CF" w:rsidP="005306CF"/>
    <w:p w14:paraId="48C0A1B6" w14:textId="0A10FD6E" w:rsidR="005306CF" w:rsidRPr="0021550A" w:rsidRDefault="005306CF" w:rsidP="005306CF">
      <w:pPr>
        <w:ind w:firstLine="0"/>
      </w:pPr>
      <w:r>
        <w:rPr>
          <w:noProof/>
          <w:lang w:eastAsia="en-GB"/>
        </w:rPr>
        <w:lastRenderedPageBreak/>
        <w:drawing>
          <wp:inline distT="0" distB="0" distL="0" distR="0" wp14:anchorId="3280753C" wp14:editId="6837468F">
            <wp:extent cx="2566035" cy="2640640"/>
            <wp:effectExtent l="0" t="0" r="0" b="127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Began pythagoras.pdf"/>
                    <pic:cNvPicPr/>
                  </pic:nvPicPr>
                  <pic:blipFill rotWithShape="1">
                    <a:blip r:embed="rId45">
                      <a:extLst>
                        <a:ext uri="{28A0092B-C50C-407E-A947-70E740481C1C}">
                          <a14:useLocalDpi xmlns:a14="http://schemas.microsoft.com/office/drawing/2010/main"/>
                        </a:ext>
                      </a:extLst>
                    </a:blip>
                    <a:srcRect l="35369" t="24576" r="39161" b="28830"/>
                    <a:stretch/>
                  </pic:blipFill>
                  <pic:spPr bwMode="auto">
                    <a:xfrm>
                      <a:off x="0" y="0"/>
                      <a:ext cx="2606206" cy="2681979"/>
                    </a:xfrm>
                    <a:prstGeom prst="rect">
                      <a:avLst/>
                    </a:prstGeom>
                    <a:ln>
                      <a:noFill/>
                    </a:ln>
                    <a:extLst>
                      <a:ext uri="{53640926-AAD7-44D8-BBD7-CCE9431645EC}">
                        <a14:shadowObscured xmlns:a14="http://schemas.microsoft.com/office/drawing/2010/main"/>
                      </a:ext>
                    </a:extLst>
                  </pic:spPr>
                </pic:pic>
              </a:graphicData>
            </a:graphic>
          </wp:inline>
        </w:drawing>
      </w:r>
    </w:p>
    <w:p w14:paraId="2108A520" w14:textId="1C673B86" w:rsidR="005306CF" w:rsidRPr="0021550A" w:rsidRDefault="004D4BD1" w:rsidP="005306CF">
      <w:pPr>
        <w:pStyle w:val="Caption"/>
      </w:pPr>
      <w:bookmarkStart w:id="110" w:name="_Toc499753527"/>
      <w:r>
        <w:t>Figure 4.20:</w:t>
      </w:r>
      <w:r w:rsidR="005306CF" w:rsidRPr="0021550A">
        <w:t xml:space="preserve"> Applying Pythagoras theorem onto </w:t>
      </w:r>
      <w:r w:rsidR="00F90A3F">
        <w:t>quires</w:t>
      </w:r>
      <w:r w:rsidR="005306CF" w:rsidRPr="0021550A">
        <w:t xml:space="preserve"> of the </w:t>
      </w:r>
      <w:r w:rsidR="005306CF" w:rsidRPr="0021550A">
        <w:rPr>
          <w:i/>
        </w:rPr>
        <w:t>Confessio Amantis</w:t>
      </w:r>
      <w:bookmarkEnd w:id="110"/>
    </w:p>
    <w:p w14:paraId="63B38694" w14:textId="77777777" w:rsidR="005306CF" w:rsidRPr="0021550A" w:rsidRDefault="005306CF" w:rsidP="005306CF"/>
    <w:p w14:paraId="793EC051" w14:textId="4EF2BCCD" w:rsidR="005306CF" w:rsidRDefault="005306CF" w:rsidP="005306CF">
      <w:r w:rsidRPr="0021550A">
        <w:t xml:space="preserve">Pythagoras theorem proves that the distance between two points will always increase along with an increase in dimensions (and therefore an increase in spelling variants). </w:t>
      </w:r>
      <w:r w:rsidRPr="0021550A">
        <w:rPr>
          <w:i/>
        </w:rPr>
        <w:t>a</w:t>
      </w:r>
      <w:r w:rsidRPr="0021550A">
        <w:rPr>
          <w:vertAlign w:val="superscript"/>
        </w:rPr>
        <w:t>2</w:t>
      </w:r>
      <w:r w:rsidRPr="0021550A">
        <w:t xml:space="preserve"> is the square of the distance between Quire </w:t>
      </w:r>
      <w:r w:rsidR="00A74476">
        <w:t>a</w:t>
      </w:r>
      <w:r w:rsidRPr="0021550A">
        <w:t xml:space="preserve"> and Quire </w:t>
      </w:r>
      <w:r w:rsidR="00A74476">
        <w:t>b</w:t>
      </w:r>
      <w:r w:rsidRPr="0021550A">
        <w:t xml:space="preserve"> on the </w:t>
      </w:r>
      <w:r w:rsidRPr="0021550A">
        <w:rPr>
          <w:i/>
        </w:rPr>
        <w:t>x</w:t>
      </w:r>
      <w:r w:rsidRPr="0021550A">
        <w:t xml:space="preserve"> axis (in this case, the difference between the ratio of </w:t>
      </w:r>
      <w:r w:rsidRPr="0021550A">
        <w:rPr>
          <w:i/>
        </w:rPr>
        <w:t>begin</w:t>
      </w:r>
      <w:r w:rsidRPr="0021550A">
        <w:t xml:space="preserve"> in each quire), and </w:t>
      </w:r>
      <w:r w:rsidRPr="0021550A">
        <w:rPr>
          <w:i/>
        </w:rPr>
        <w:t>b</w:t>
      </w:r>
      <w:r w:rsidRPr="0021550A">
        <w:rPr>
          <w:vertAlign w:val="superscript"/>
        </w:rPr>
        <w:t>2</w:t>
      </w:r>
      <w:r w:rsidRPr="0021550A">
        <w:t xml:space="preserve"> is the square of the distance between Quire </w:t>
      </w:r>
      <w:r w:rsidR="00A74476">
        <w:t>a</w:t>
      </w:r>
      <w:r w:rsidRPr="0021550A">
        <w:t xml:space="preserve"> and Quire </w:t>
      </w:r>
      <w:r w:rsidR="00A74476">
        <w:t>b</w:t>
      </w:r>
      <w:r w:rsidR="00601C01">
        <w:t xml:space="preserve"> </w:t>
      </w:r>
      <w:r w:rsidRPr="0021550A">
        <w:t xml:space="preserve">on the </w:t>
      </w:r>
      <w:r w:rsidRPr="0021550A">
        <w:rPr>
          <w:i/>
        </w:rPr>
        <w:t>y</w:t>
      </w:r>
      <w:r w:rsidRPr="0021550A">
        <w:t xml:space="preserve"> axis (or the difference between the ratios of </w:t>
      </w:r>
      <w:r w:rsidR="008E7E42">
        <w:rPr>
          <w:i/>
        </w:rPr>
        <w:t>byga</w:t>
      </w:r>
      <w:r w:rsidRPr="0021550A">
        <w:rPr>
          <w:i/>
        </w:rPr>
        <w:t>n</w:t>
      </w:r>
      <w:r w:rsidRPr="0021550A">
        <w:t xml:space="preserve"> in each of the two quires). Both </w:t>
      </w:r>
      <w:r w:rsidRPr="0021550A">
        <w:rPr>
          <w:i/>
        </w:rPr>
        <w:t>a</w:t>
      </w:r>
      <w:r w:rsidRPr="0021550A">
        <w:rPr>
          <w:vertAlign w:val="superscript"/>
        </w:rPr>
        <w:t>2</w:t>
      </w:r>
      <w:r w:rsidRPr="0021550A">
        <w:t xml:space="preserve"> and </w:t>
      </w:r>
      <w:r w:rsidRPr="0021550A">
        <w:rPr>
          <w:i/>
        </w:rPr>
        <w:t>b</w:t>
      </w:r>
      <w:r w:rsidRPr="0021550A">
        <w:rPr>
          <w:vertAlign w:val="superscript"/>
        </w:rPr>
        <w:t>2</w:t>
      </w:r>
      <w:r w:rsidRPr="0021550A">
        <w:t xml:space="preserve"> will always be a positive value because the ratios are always positive numbers; it is not possible to have a ratio of -0.3 for the spelling </w:t>
      </w:r>
      <w:r w:rsidRPr="0021550A">
        <w:rPr>
          <w:i/>
        </w:rPr>
        <w:t>begin</w:t>
      </w:r>
      <w:r w:rsidR="00993A98">
        <w:t>, for example</w:t>
      </w:r>
      <w:r w:rsidRPr="0021550A">
        <w:t xml:space="preserve">. If </w:t>
      </w:r>
      <w:r w:rsidRPr="0021550A">
        <w:rPr>
          <w:i/>
        </w:rPr>
        <w:t>begin</w:t>
      </w:r>
      <w:r w:rsidRPr="0021550A">
        <w:t xml:space="preserve"> is not used in a quire then the value of the ratio is zero for that dimension, and negative numbers are not possible when dealing with this real-world data. The square of the positive ratios in </w:t>
      </w:r>
      <w:r w:rsidRPr="0021550A">
        <w:rPr>
          <w:i/>
        </w:rPr>
        <w:t xml:space="preserve">a </w:t>
      </w:r>
      <w:r w:rsidRPr="0021550A">
        <w:t xml:space="preserve">and </w:t>
      </w:r>
      <w:r w:rsidRPr="0021550A">
        <w:rPr>
          <w:i/>
        </w:rPr>
        <w:t xml:space="preserve">b </w:t>
      </w:r>
      <w:r w:rsidRPr="0021550A">
        <w:t xml:space="preserve">will also always yield a positive value, because the square of any positive number is always a positive number: </w:t>
      </w:r>
      <w:r w:rsidRPr="0021550A">
        <w:rPr>
          <w:i/>
        </w:rPr>
        <w:t>a</w:t>
      </w:r>
      <w:r w:rsidRPr="0021550A">
        <w:rPr>
          <w:vertAlign w:val="superscript"/>
        </w:rPr>
        <w:t>2</w:t>
      </w:r>
      <w:r w:rsidRPr="0021550A">
        <w:t xml:space="preserve"> and </w:t>
      </w:r>
      <w:r w:rsidRPr="0021550A">
        <w:rPr>
          <w:i/>
        </w:rPr>
        <w:t>b</w:t>
      </w:r>
      <w:r w:rsidRPr="0021550A">
        <w:rPr>
          <w:vertAlign w:val="superscript"/>
        </w:rPr>
        <w:t>2</w:t>
      </w:r>
      <w:r w:rsidRPr="0021550A">
        <w:t xml:space="preserve"> will both always be positive values (or zero, if either </w:t>
      </w:r>
      <w:r w:rsidRPr="0021550A">
        <w:rPr>
          <w:i/>
        </w:rPr>
        <w:t>a</w:t>
      </w:r>
      <w:r w:rsidRPr="0021550A">
        <w:t xml:space="preserve"> or </w:t>
      </w:r>
      <w:r w:rsidRPr="0021550A">
        <w:rPr>
          <w:i/>
        </w:rPr>
        <w:t>b</w:t>
      </w:r>
      <w:r w:rsidRPr="0021550A">
        <w:t xml:space="preserve"> is zero). Now that we know that </w:t>
      </w:r>
      <w:r w:rsidRPr="0021550A">
        <w:rPr>
          <w:i/>
        </w:rPr>
        <w:t>a</w:t>
      </w:r>
      <w:r w:rsidRPr="0021550A">
        <w:rPr>
          <w:vertAlign w:val="superscript"/>
        </w:rPr>
        <w:t>2</w:t>
      </w:r>
      <w:r w:rsidRPr="0021550A">
        <w:t xml:space="preserve"> and </w:t>
      </w:r>
      <w:r w:rsidRPr="0021550A">
        <w:rPr>
          <w:i/>
        </w:rPr>
        <w:t>b</w:t>
      </w:r>
      <w:r w:rsidRPr="0021550A">
        <w:rPr>
          <w:vertAlign w:val="superscript"/>
        </w:rPr>
        <w:t>2</w:t>
      </w:r>
      <w:r w:rsidRPr="0021550A">
        <w:t xml:space="preserve"> are always positive, we also know that </w:t>
      </w:r>
      <w:r w:rsidRPr="0021550A">
        <w:rPr>
          <w:i/>
        </w:rPr>
        <w:t>a</w:t>
      </w:r>
      <w:r w:rsidRPr="0021550A">
        <w:rPr>
          <w:vertAlign w:val="superscript"/>
        </w:rPr>
        <w:t>2</w:t>
      </w:r>
      <w:r w:rsidRPr="0021550A">
        <w:t xml:space="preserve"> + </w:t>
      </w:r>
      <w:r w:rsidRPr="0021550A">
        <w:rPr>
          <w:i/>
        </w:rPr>
        <w:t>b</w:t>
      </w:r>
      <w:r w:rsidRPr="0021550A">
        <w:rPr>
          <w:vertAlign w:val="superscript"/>
        </w:rPr>
        <w:t>2</w:t>
      </w:r>
      <w:r w:rsidRPr="0021550A">
        <w:t xml:space="preserve"> will always be equal to or bigger than </w:t>
      </w:r>
      <w:r w:rsidRPr="0021550A">
        <w:rPr>
          <w:i/>
        </w:rPr>
        <w:t>a</w:t>
      </w:r>
      <w:r w:rsidRPr="0021550A">
        <w:rPr>
          <w:vertAlign w:val="superscript"/>
        </w:rPr>
        <w:t>2</w:t>
      </w:r>
      <w:r w:rsidRPr="0021550A">
        <w:t xml:space="preserve"> alone because </w:t>
      </w:r>
      <w:r w:rsidRPr="0021550A">
        <w:rPr>
          <w:i/>
        </w:rPr>
        <w:t>b</w:t>
      </w:r>
      <w:r w:rsidRPr="0021550A">
        <w:rPr>
          <w:vertAlign w:val="superscript"/>
        </w:rPr>
        <w:t xml:space="preserve">2 </w:t>
      </w:r>
      <w:r w:rsidRPr="0021550A">
        <w:t>is either zero or a positive value. We can extend Pythagoras theorem further into finite dimensions</w:t>
      </w:r>
      <w:r w:rsidR="008E7E42">
        <w:t>,</w:t>
      </w:r>
      <w:r w:rsidRPr="005C54CE">
        <w:rPr>
          <w:rStyle w:val="FootnoteReference"/>
        </w:rPr>
        <w:footnoteReference w:id="11"/>
      </w:r>
      <w:r w:rsidR="008E7E42">
        <w:t xml:space="preserve"> demonstrated in </w:t>
      </w:r>
      <w:r w:rsidR="008E7E42">
        <w:fldChar w:fldCharType="begin"/>
      </w:r>
      <w:r w:rsidR="008E7E42">
        <w:instrText xml:space="preserve"> REF _Ref499565166 </w:instrText>
      </w:r>
      <w:r w:rsidR="008E7E42">
        <w:fldChar w:fldCharType="separate"/>
      </w:r>
      <w:r w:rsidR="00D11844" w:rsidRPr="0021550A">
        <w:t xml:space="preserve">Equation </w:t>
      </w:r>
      <w:r w:rsidR="00D11844">
        <w:rPr>
          <w:noProof/>
        </w:rPr>
        <w:t>4</w:t>
      </w:r>
      <w:r w:rsidR="00D11844" w:rsidRPr="0021550A">
        <w:t>.</w:t>
      </w:r>
      <w:r w:rsidR="00D11844">
        <w:rPr>
          <w:noProof/>
        </w:rPr>
        <w:t>2</w:t>
      </w:r>
      <w:r w:rsidR="008E7E42">
        <w:fldChar w:fldCharType="end"/>
      </w:r>
      <w:r w:rsidRPr="0021550A">
        <w:t xml:space="preserve">. </w:t>
      </w:r>
    </w:p>
    <w:p w14:paraId="7764DA7C" w14:textId="77777777" w:rsidR="005306CF" w:rsidRPr="0021550A" w:rsidRDefault="005306CF" w:rsidP="005306CF"/>
    <w:p w14:paraId="731EB903" w14:textId="77777777" w:rsidR="005306CF" w:rsidRPr="0021550A" w:rsidRDefault="005306CF" w:rsidP="00114E61">
      <w:pPr>
        <w:ind w:left="288"/>
      </w:pPr>
      <m:oMathPara>
        <m:oMathParaPr>
          <m:jc m:val="left"/>
        </m:oMathParaPr>
        <m:oMath>
          <m:r>
            <w:rPr>
              <w:rFonts w:ascii="Cambria Math" w:hAnsi="Cambria Math"/>
            </w:rPr>
            <m:t>c</m:t>
          </m:r>
          <m:r>
            <m:rPr>
              <m:sty m:val="p"/>
            </m:rPr>
            <w:rPr>
              <w:rFonts w:ascii="Cambria Math" w:hAnsi="Cambria Math"/>
            </w:rPr>
            <m:t xml:space="preserve">= </m:t>
          </m:r>
          <m:rad>
            <m:radPr>
              <m:degHide m:val="1"/>
              <m:ctrlPr>
                <w:rPr>
                  <w:rFonts w:ascii="Cambria Math" w:hAnsi="Cambria Math"/>
                </w:rPr>
              </m:ctrlPr>
            </m:radPr>
            <m:deg/>
            <m:e>
              <m:nary>
                <m:naryPr>
                  <m:chr m:val="∑"/>
                  <m:limLoc m:val="undOvr"/>
                  <m:ctrlPr>
                    <w:rPr>
                      <w:rFonts w:ascii="Cambria Math" w:hAnsi="Cambria Math"/>
                    </w:rPr>
                  </m:ctrlPr>
                </m:naryPr>
                <m:sub>
                  <m:r>
                    <w:rPr>
                      <w:rFonts w:ascii="Cambria Math" w:hAnsi="Cambria Math"/>
                    </w:rPr>
                    <m:t>j</m:t>
                  </m:r>
                  <m:r>
                    <m:rPr>
                      <m:sty m:val="p"/>
                    </m:rPr>
                    <w:rPr>
                      <w:rFonts w:ascii="Cambria Math" w:hAnsi="Cambria Math"/>
                    </w:rPr>
                    <m:t>=1</m:t>
                  </m:r>
                </m:sub>
                <m:sup>
                  <m:r>
                    <w:rPr>
                      <w:rFonts w:ascii="Cambria Math" w:hAnsi="Cambria Math"/>
                    </w:rPr>
                    <m:t>n</m:t>
                  </m:r>
                </m:sup>
                <m:e>
                  <m:sSubSup>
                    <m:sSubSupPr>
                      <m:ctrlPr>
                        <w:rPr>
                          <w:rFonts w:ascii="Cambria Math" w:hAnsi="Cambria Math"/>
                        </w:rPr>
                      </m:ctrlPr>
                    </m:sSubSupPr>
                    <m:e>
                      <m:r>
                        <w:rPr>
                          <w:rFonts w:ascii="Cambria Math" w:hAnsi="Cambria Math"/>
                        </w:rPr>
                        <m:t>x</m:t>
                      </m:r>
                    </m:e>
                    <m:sub>
                      <m:r>
                        <w:rPr>
                          <w:rFonts w:ascii="Cambria Math" w:hAnsi="Cambria Math"/>
                        </w:rPr>
                        <m:t>j</m:t>
                      </m:r>
                    </m:sub>
                    <m:sup>
                      <m:r>
                        <m:rPr>
                          <m:sty m:val="p"/>
                        </m:rPr>
                        <w:rPr>
                          <w:rFonts w:ascii="Cambria Math" w:hAnsi="Cambria Math"/>
                        </w:rPr>
                        <m:t>2</m:t>
                      </m:r>
                    </m:sup>
                  </m:sSubSup>
                </m:e>
              </m:nary>
            </m:e>
          </m:rad>
        </m:oMath>
      </m:oMathPara>
    </w:p>
    <w:p w14:paraId="7CAC8C91" w14:textId="6E1A16C0" w:rsidR="005306CF" w:rsidRPr="0021550A" w:rsidRDefault="005306CF" w:rsidP="005306CF">
      <w:pPr>
        <w:pStyle w:val="Caption"/>
      </w:pPr>
      <w:bookmarkStart w:id="111" w:name="_Ref499565166"/>
      <w:r w:rsidRPr="0021550A">
        <w:t xml:space="preserve">Equation </w:t>
      </w:r>
      <w:r>
        <w:fldChar w:fldCharType="begin"/>
      </w:r>
      <w:r>
        <w:instrText xml:space="preserve"> STYLEREF 1 \s </w:instrText>
      </w:r>
      <w:r>
        <w:fldChar w:fldCharType="separate"/>
      </w:r>
      <w:r w:rsidR="00D11844">
        <w:rPr>
          <w:noProof/>
        </w:rPr>
        <w:t>4</w:t>
      </w:r>
      <w:r>
        <w:rPr>
          <w:noProof/>
        </w:rPr>
        <w:fldChar w:fldCharType="end"/>
      </w:r>
      <w:r w:rsidRPr="0021550A">
        <w:t>.</w:t>
      </w:r>
      <w:r>
        <w:fldChar w:fldCharType="begin"/>
      </w:r>
      <w:r>
        <w:instrText xml:space="preserve"> SEQ Equation \* ARABIC \s 1 </w:instrText>
      </w:r>
      <w:r>
        <w:fldChar w:fldCharType="separate"/>
      </w:r>
      <w:r w:rsidR="00D11844">
        <w:rPr>
          <w:noProof/>
        </w:rPr>
        <w:t>2</w:t>
      </w:r>
      <w:r>
        <w:rPr>
          <w:noProof/>
        </w:rPr>
        <w:fldChar w:fldCharType="end"/>
      </w:r>
      <w:bookmarkEnd w:id="111"/>
      <w:r w:rsidRPr="0021550A">
        <w:t>: Pythagoras theorem extended into finite dimensions</w:t>
      </w:r>
    </w:p>
    <w:p w14:paraId="029986D9" w14:textId="77777777" w:rsidR="005306CF" w:rsidRPr="0021550A" w:rsidRDefault="005306CF" w:rsidP="005306CF"/>
    <w:p w14:paraId="56D6E329" w14:textId="7A3FD69F" w:rsidR="005306CF" w:rsidRPr="0021550A" w:rsidRDefault="008E7E42" w:rsidP="005306CF">
      <w:r>
        <w:lastRenderedPageBreak/>
        <w:fldChar w:fldCharType="begin"/>
      </w:r>
      <w:r>
        <w:instrText xml:space="preserve"> REF _Ref499565166 </w:instrText>
      </w:r>
      <w:r>
        <w:fldChar w:fldCharType="separate"/>
      </w:r>
      <w:r w:rsidR="00D11844" w:rsidRPr="0021550A">
        <w:t xml:space="preserve">Equation </w:t>
      </w:r>
      <w:r w:rsidR="00D11844">
        <w:rPr>
          <w:noProof/>
        </w:rPr>
        <w:t>4</w:t>
      </w:r>
      <w:r w:rsidR="00D11844" w:rsidRPr="0021550A">
        <w:t>.</w:t>
      </w:r>
      <w:r w:rsidR="00D11844">
        <w:rPr>
          <w:noProof/>
        </w:rPr>
        <w:t>2</w:t>
      </w:r>
      <w:r>
        <w:fldChar w:fldCharType="end"/>
      </w:r>
      <w:r w:rsidR="005306CF" w:rsidRPr="0021550A">
        <w:t xml:space="preserve"> looks more complicated than </w:t>
      </w:r>
      <w:r>
        <w:fldChar w:fldCharType="begin"/>
      </w:r>
      <w:r>
        <w:instrText xml:space="preserve"> REF _Ref499565194 </w:instrText>
      </w:r>
      <w:r>
        <w:fldChar w:fldCharType="separate"/>
      </w:r>
      <w:r w:rsidR="00D11844" w:rsidRPr="0021550A">
        <w:t xml:space="preserve">Equation </w:t>
      </w:r>
      <w:r w:rsidR="00D11844">
        <w:rPr>
          <w:noProof/>
        </w:rPr>
        <w:t>4</w:t>
      </w:r>
      <w:r w:rsidR="00D11844" w:rsidRPr="0021550A">
        <w:t>.</w:t>
      </w:r>
      <w:r w:rsidR="00D11844">
        <w:rPr>
          <w:noProof/>
        </w:rPr>
        <w:t>1</w:t>
      </w:r>
      <w:r>
        <w:fldChar w:fldCharType="end"/>
      </w:r>
      <w:r>
        <w:t xml:space="preserve"> </w:t>
      </w:r>
      <w:r w:rsidR="005306CF" w:rsidRPr="0021550A">
        <w:t xml:space="preserve">but the function of both equations is the same just extended into </w:t>
      </w:r>
      <w:r>
        <w:t xml:space="preserve">more dimensions. In </w:t>
      </w:r>
      <w:r>
        <w:fldChar w:fldCharType="begin"/>
      </w:r>
      <w:r>
        <w:instrText xml:space="preserve"> REF _Ref499565194 </w:instrText>
      </w:r>
      <w:r>
        <w:fldChar w:fldCharType="separate"/>
      </w:r>
      <w:r w:rsidR="00D11844" w:rsidRPr="0021550A">
        <w:t xml:space="preserve">Equation </w:t>
      </w:r>
      <w:r w:rsidR="00D11844">
        <w:rPr>
          <w:noProof/>
        </w:rPr>
        <w:t>4</w:t>
      </w:r>
      <w:r w:rsidR="00D11844" w:rsidRPr="0021550A">
        <w:t>.</w:t>
      </w:r>
      <w:r w:rsidR="00D11844">
        <w:rPr>
          <w:noProof/>
        </w:rPr>
        <w:t>1</w:t>
      </w:r>
      <w:r>
        <w:fldChar w:fldCharType="end"/>
      </w:r>
      <w:r w:rsidR="005306CF" w:rsidRPr="0021550A">
        <w:t xml:space="preserve"> we have the lengths </w:t>
      </w:r>
      <w:r w:rsidR="005306CF" w:rsidRPr="0021550A">
        <w:rPr>
          <w:i/>
        </w:rPr>
        <w:t>a</w:t>
      </w:r>
      <w:r w:rsidR="005306CF" w:rsidRPr="0021550A">
        <w:t xml:space="preserve"> and </w:t>
      </w:r>
      <w:r w:rsidR="005306CF" w:rsidRPr="0021550A">
        <w:rPr>
          <w:i/>
        </w:rPr>
        <w:t>b</w:t>
      </w:r>
      <w:r w:rsidR="005306CF" w:rsidRPr="0021550A">
        <w:t xml:space="preserve">, which here are represented by </w:t>
      </w:r>
      <w:r w:rsidR="005306CF" w:rsidRPr="0021550A">
        <w:rPr>
          <w:i/>
        </w:rPr>
        <w:t>x</w:t>
      </w:r>
      <w:r w:rsidR="005306CF" w:rsidRPr="0021550A">
        <w:rPr>
          <w:vertAlign w:val="subscript"/>
        </w:rPr>
        <w:t>j</w:t>
      </w:r>
      <w:r w:rsidR="005306CF" w:rsidRPr="0021550A">
        <w:t xml:space="preserve">. </w:t>
      </w:r>
      <w:r w:rsidR="005306CF" w:rsidRPr="0021550A">
        <w:rPr>
          <w:i/>
        </w:rPr>
        <w:t>x</w:t>
      </w:r>
      <w:r w:rsidR="005306CF" w:rsidRPr="0021550A">
        <w:rPr>
          <w:vertAlign w:val="subscript"/>
        </w:rPr>
        <w:t>j</w:t>
      </w:r>
      <w:r w:rsidR="005306CF" w:rsidRPr="0021550A">
        <w:t xml:space="preserve"> represents any number of lengths such as </w:t>
      </w:r>
      <w:r w:rsidR="005306CF" w:rsidRPr="0021550A">
        <w:rPr>
          <w:i/>
        </w:rPr>
        <w:t>x</w:t>
      </w:r>
      <w:r w:rsidR="005306CF" w:rsidRPr="0021550A">
        <w:rPr>
          <w:vertAlign w:val="subscript"/>
        </w:rPr>
        <w:t>1</w:t>
      </w:r>
      <w:r w:rsidR="005306CF" w:rsidRPr="0021550A">
        <w:t xml:space="preserve"> and </w:t>
      </w:r>
      <w:r w:rsidR="005306CF" w:rsidRPr="0021550A">
        <w:rPr>
          <w:i/>
        </w:rPr>
        <w:t>x</w:t>
      </w:r>
      <w:r w:rsidR="005306CF" w:rsidRPr="0021550A">
        <w:rPr>
          <w:vertAlign w:val="subscript"/>
        </w:rPr>
        <w:t>2</w:t>
      </w:r>
      <w:r w:rsidR="005306CF" w:rsidRPr="0021550A">
        <w:t xml:space="preserve">, which here represent the first two dimensions, </w:t>
      </w:r>
      <w:r w:rsidR="005306CF" w:rsidRPr="0021550A">
        <w:rPr>
          <w:i/>
        </w:rPr>
        <w:t>a</w:t>
      </w:r>
      <w:r w:rsidR="005306CF" w:rsidRPr="0021550A">
        <w:t xml:space="preserve"> and </w:t>
      </w:r>
      <w:r w:rsidR="005306CF" w:rsidRPr="0021550A">
        <w:rPr>
          <w:i/>
        </w:rPr>
        <w:t>b</w:t>
      </w:r>
      <w:r w:rsidR="005306CF" w:rsidRPr="0021550A">
        <w:t xml:space="preserve">. These lengths can be extended into further dimensions: </w:t>
      </w:r>
      <w:r w:rsidR="005306CF" w:rsidRPr="0021550A">
        <w:rPr>
          <w:i/>
        </w:rPr>
        <w:t>x</w:t>
      </w:r>
      <w:r w:rsidR="005306CF" w:rsidRPr="0021550A">
        <w:rPr>
          <w:vertAlign w:val="subscript"/>
        </w:rPr>
        <w:t>3</w:t>
      </w:r>
      <w:r w:rsidR="005306CF" w:rsidRPr="0021550A">
        <w:t xml:space="preserve">, </w:t>
      </w:r>
      <w:r w:rsidR="005306CF" w:rsidRPr="0021550A">
        <w:rPr>
          <w:i/>
        </w:rPr>
        <w:t>x</w:t>
      </w:r>
      <w:r w:rsidR="005306CF" w:rsidRPr="0021550A">
        <w:rPr>
          <w:vertAlign w:val="subscript"/>
        </w:rPr>
        <w:t>4</w:t>
      </w:r>
      <w:r w:rsidR="005306CF" w:rsidRPr="0021550A">
        <w:t xml:space="preserve">, etc. </w:t>
      </w:r>
      <w:r>
        <w:fldChar w:fldCharType="begin"/>
      </w:r>
      <w:r>
        <w:instrText xml:space="preserve"> REF _Ref499565166 </w:instrText>
      </w:r>
      <w:r>
        <w:fldChar w:fldCharType="separate"/>
      </w:r>
      <w:r w:rsidR="00D11844" w:rsidRPr="0021550A">
        <w:t xml:space="preserve">Equation </w:t>
      </w:r>
      <w:r w:rsidR="00D11844">
        <w:rPr>
          <w:noProof/>
        </w:rPr>
        <w:t>4</w:t>
      </w:r>
      <w:r w:rsidR="00D11844" w:rsidRPr="0021550A">
        <w:t>.</w:t>
      </w:r>
      <w:r w:rsidR="00D11844">
        <w:rPr>
          <w:noProof/>
        </w:rPr>
        <w:t>2</w:t>
      </w:r>
      <w:r>
        <w:fldChar w:fldCharType="end"/>
      </w:r>
      <w:r>
        <w:t xml:space="preserve"> </w:t>
      </w:r>
      <w:r w:rsidR="005306CF" w:rsidRPr="0021550A">
        <w:t xml:space="preserve">says that each value of </w:t>
      </w:r>
      <w:r w:rsidR="005306CF" w:rsidRPr="0021550A">
        <w:rPr>
          <w:i/>
        </w:rPr>
        <w:t>x</w:t>
      </w:r>
      <w:r w:rsidR="005306CF" w:rsidRPr="0021550A">
        <w:rPr>
          <w:vertAlign w:val="subscript"/>
        </w:rPr>
        <w:t>1</w:t>
      </w:r>
      <w:r w:rsidR="005306CF" w:rsidRPr="0021550A">
        <w:t xml:space="preserve">, </w:t>
      </w:r>
      <w:r w:rsidR="005306CF" w:rsidRPr="0021550A">
        <w:rPr>
          <w:i/>
        </w:rPr>
        <w:t>x</w:t>
      </w:r>
      <w:r w:rsidR="005306CF" w:rsidRPr="0021550A">
        <w:rPr>
          <w:vertAlign w:val="subscript"/>
        </w:rPr>
        <w:t>2</w:t>
      </w:r>
      <w:r w:rsidR="005306CF" w:rsidRPr="0021550A">
        <w:t xml:space="preserve">, </w:t>
      </w:r>
      <w:r w:rsidR="005306CF" w:rsidRPr="0021550A">
        <w:rPr>
          <w:i/>
        </w:rPr>
        <w:t>x</w:t>
      </w:r>
      <w:r w:rsidR="005306CF" w:rsidRPr="0021550A">
        <w:rPr>
          <w:vertAlign w:val="subscript"/>
        </w:rPr>
        <w:t>3</w:t>
      </w:r>
      <w:r w:rsidR="005306CF" w:rsidRPr="0021550A">
        <w:t xml:space="preserve">, </w:t>
      </w:r>
      <w:r w:rsidR="005306CF" w:rsidRPr="0021550A">
        <w:rPr>
          <w:i/>
        </w:rPr>
        <w:t>x</w:t>
      </w:r>
      <w:r w:rsidR="005306CF" w:rsidRPr="0021550A">
        <w:rPr>
          <w:vertAlign w:val="subscript"/>
        </w:rPr>
        <w:t xml:space="preserve">4 </w:t>
      </w:r>
      <w:r w:rsidR="005306CF" w:rsidRPr="0021550A">
        <w:t xml:space="preserve">… </w:t>
      </w:r>
      <w:r w:rsidR="005306CF" w:rsidRPr="0021550A">
        <w:rPr>
          <w:i/>
        </w:rPr>
        <w:t>x</w:t>
      </w:r>
      <w:r w:rsidR="005306CF" w:rsidRPr="0021550A">
        <w:rPr>
          <w:i/>
          <w:vertAlign w:val="subscript"/>
        </w:rPr>
        <w:t>n</w:t>
      </w:r>
      <w:r w:rsidR="005306CF" w:rsidRPr="0021550A">
        <w:t xml:space="preserve"> is squared, and the squared values are all added together, before the square root of the whole is taken. The same principles hold as those in </w:t>
      </w:r>
      <w:r>
        <w:fldChar w:fldCharType="begin"/>
      </w:r>
      <w:r>
        <w:instrText xml:space="preserve"> REF _Ref499565194 </w:instrText>
      </w:r>
      <w:r>
        <w:fldChar w:fldCharType="separate"/>
      </w:r>
      <w:r w:rsidR="00D11844" w:rsidRPr="0021550A">
        <w:t xml:space="preserve">Equation </w:t>
      </w:r>
      <w:r w:rsidR="00D11844">
        <w:rPr>
          <w:noProof/>
        </w:rPr>
        <w:t>4</w:t>
      </w:r>
      <w:r w:rsidR="00D11844" w:rsidRPr="0021550A">
        <w:t>.</w:t>
      </w:r>
      <w:r w:rsidR="00D11844">
        <w:rPr>
          <w:noProof/>
        </w:rPr>
        <w:t>1</w:t>
      </w:r>
      <w:r>
        <w:fldChar w:fldCharType="end"/>
      </w:r>
      <w:r w:rsidR="005306CF" w:rsidRPr="0021550A">
        <w:t xml:space="preserve">, though it is not possible to visualise the shape in question. Here, every value of </w:t>
      </w:r>
      <w:r w:rsidR="005306CF" w:rsidRPr="0021550A">
        <w:rPr>
          <w:i/>
        </w:rPr>
        <w:t>x</w:t>
      </w:r>
      <w:r w:rsidR="005306CF" w:rsidRPr="0021550A">
        <w:rPr>
          <w:i/>
          <w:vertAlign w:val="subscript"/>
        </w:rPr>
        <w:t>j</w:t>
      </w:r>
      <w:r w:rsidR="005306CF" w:rsidRPr="0021550A">
        <w:rPr>
          <w:vertAlign w:val="subscript"/>
        </w:rPr>
        <w:t xml:space="preserve"> </w:t>
      </w:r>
      <w:r w:rsidR="005306CF" w:rsidRPr="0021550A">
        <w:t xml:space="preserve">is zero or positive, and every value of </w:t>
      </w:r>
      <w:r w:rsidR="005306CF" w:rsidRPr="0021550A">
        <w:rPr>
          <w:i/>
        </w:rPr>
        <w:t>x</w:t>
      </w:r>
      <w:r w:rsidR="005306CF" w:rsidRPr="0021550A">
        <w:rPr>
          <w:i/>
          <w:vertAlign w:val="subscript"/>
        </w:rPr>
        <w:t>j</w:t>
      </w:r>
      <w:r w:rsidR="005306CF" w:rsidRPr="0021550A">
        <w:rPr>
          <w:vertAlign w:val="superscript"/>
        </w:rPr>
        <w:t xml:space="preserve">2 </w:t>
      </w:r>
      <w:r w:rsidR="005306CF" w:rsidRPr="0021550A">
        <w:t xml:space="preserve">is also zero or positive. As a result, within high-dimensional finite space, every additional dimension – or in this case every additional spelling variant added to a quire – means that the quires will be at least the same distance apart, if not further away. </w:t>
      </w:r>
    </w:p>
    <w:p w14:paraId="0CD57BCF" w14:textId="5141E102" w:rsidR="005306CF" w:rsidRPr="0021550A" w:rsidRDefault="005306CF" w:rsidP="005306CF">
      <w:r w:rsidRPr="0021550A">
        <w:t xml:space="preserve">There is only one way in which adding a dimension will not increase the distance between two objects, and that is if all objects have the same value in the new dimension. In spelling terms, adding a spelling variant has no effect on the distance between quires if all quires have the same number of tokens for the new variant. We can demonstrate this with an example. </w:t>
      </w:r>
      <w:r w:rsidR="004D4BD1">
        <w:t>Table 4.21</w:t>
      </w:r>
      <w:r w:rsidRPr="0021550A">
        <w:t xml:space="preserve"> shows the ratios of use for </w:t>
      </w:r>
      <w:r w:rsidRPr="0021550A">
        <w:rPr>
          <w:smallCaps/>
        </w:rPr>
        <w:t>began</w:t>
      </w:r>
      <w:r w:rsidRPr="0021550A">
        <w:t xml:space="preserve"> for Quire q and Quire u of the </w:t>
      </w:r>
      <w:r w:rsidRPr="0021550A">
        <w:rPr>
          <w:i/>
        </w:rPr>
        <w:t>Confessio Amantis</w:t>
      </w:r>
      <w:r w:rsidRPr="0021550A">
        <w:t xml:space="preserve">. </w:t>
      </w:r>
    </w:p>
    <w:p w14:paraId="74FB6B7E" w14:textId="77777777" w:rsidR="005306CF" w:rsidRPr="0021550A" w:rsidRDefault="005306CF" w:rsidP="005306CF"/>
    <w:tbl>
      <w:tblPr>
        <w:tblStyle w:val="GridTable1Light1"/>
        <w:tblW w:w="0" w:type="auto"/>
        <w:tblInd w:w="-113" w:type="dxa"/>
        <w:tblLook w:val="04A0" w:firstRow="1" w:lastRow="0" w:firstColumn="1" w:lastColumn="0" w:noHBand="0" w:noVBand="1"/>
      </w:tblPr>
      <w:tblGrid>
        <w:gridCol w:w="1300"/>
        <w:gridCol w:w="1387"/>
        <w:gridCol w:w="1300"/>
      </w:tblGrid>
      <w:tr w:rsidR="005306CF" w:rsidRPr="0021550A" w14:paraId="0CBEBF98" w14:textId="77777777" w:rsidTr="00114E61">
        <w:trPr>
          <w:cnfStyle w:val="100000000000" w:firstRow="1" w:lastRow="0" w:firstColumn="0" w:lastColumn="0" w:oddVBand="0" w:evenVBand="0" w:oddHBand="0"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1300" w:type="dxa"/>
            <w:noWrap/>
            <w:vAlign w:val="center"/>
          </w:tcPr>
          <w:p w14:paraId="6C57C2EC" w14:textId="77777777" w:rsidR="005306CF" w:rsidRPr="0021550A" w:rsidRDefault="005306CF" w:rsidP="0075112E">
            <w:pPr>
              <w:ind w:firstLine="0"/>
              <w:jc w:val="center"/>
            </w:pPr>
          </w:p>
        </w:tc>
        <w:tc>
          <w:tcPr>
            <w:tcW w:w="1387" w:type="dxa"/>
            <w:noWrap/>
            <w:vAlign w:val="center"/>
          </w:tcPr>
          <w:p w14:paraId="7DDDC533" w14:textId="77777777" w:rsidR="005306CF" w:rsidRPr="0021550A" w:rsidRDefault="005306CF" w:rsidP="0075112E">
            <w:pPr>
              <w:ind w:firstLine="0"/>
              <w:jc w:val="center"/>
              <w:cnfStyle w:val="100000000000" w:firstRow="1" w:lastRow="0" w:firstColumn="0" w:lastColumn="0" w:oddVBand="0" w:evenVBand="0" w:oddHBand="0" w:evenHBand="0" w:firstRowFirstColumn="0" w:firstRowLastColumn="0" w:lastRowFirstColumn="0" w:lastRowLastColumn="0"/>
            </w:pPr>
            <w:r w:rsidRPr="0021550A">
              <w:t>Quire q</w:t>
            </w:r>
          </w:p>
        </w:tc>
        <w:tc>
          <w:tcPr>
            <w:tcW w:w="1300" w:type="dxa"/>
            <w:noWrap/>
            <w:vAlign w:val="center"/>
          </w:tcPr>
          <w:p w14:paraId="3FE34444" w14:textId="77777777" w:rsidR="005306CF" w:rsidRPr="0021550A" w:rsidRDefault="005306CF" w:rsidP="0075112E">
            <w:pPr>
              <w:ind w:firstLine="0"/>
              <w:jc w:val="center"/>
              <w:cnfStyle w:val="100000000000" w:firstRow="1" w:lastRow="0" w:firstColumn="0" w:lastColumn="0" w:oddVBand="0" w:evenVBand="0" w:oddHBand="0" w:evenHBand="0" w:firstRowFirstColumn="0" w:firstRowLastColumn="0" w:lastRowFirstColumn="0" w:lastRowLastColumn="0"/>
            </w:pPr>
            <w:r w:rsidRPr="0021550A">
              <w:t>Quire u</w:t>
            </w:r>
          </w:p>
        </w:tc>
      </w:tr>
      <w:tr w:rsidR="005306CF" w:rsidRPr="0021550A" w14:paraId="42639258" w14:textId="77777777" w:rsidTr="00114E61">
        <w:trPr>
          <w:trHeight w:val="320"/>
        </w:trPr>
        <w:tc>
          <w:tcPr>
            <w:cnfStyle w:val="001000000000" w:firstRow="0" w:lastRow="0" w:firstColumn="1" w:lastColumn="0" w:oddVBand="0" w:evenVBand="0" w:oddHBand="0" w:evenHBand="0" w:firstRowFirstColumn="0" w:firstRowLastColumn="0" w:lastRowFirstColumn="0" w:lastRowLastColumn="0"/>
            <w:tcW w:w="1300" w:type="dxa"/>
            <w:noWrap/>
            <w:vAlign w:val="center"/>
            <w:hideMark/>
          </w:tcPr>
          <w:p w14:paraId="0CC8EA5C" w14:textId="77777777" w:rsidR="005306CF" w:rsidRPr="00ED665C" w:rsidRDefault="005306CF" w:rsidP="0075112E">
            <w:pPr>
              <w:ind w:firstLine="0"/>
              <w:jc w:val="center"/>
              <w:rPr>
                <w:b w:val="0"/>
                <w:i/>
              </w:rPr>
            </w:pPr>
            <w:r w:rsidRPr="00ED665C">
              <w:rPr>
                <w:b w:val="0"/>
                <w:i/>
              </w:rPr>
              <w:t>began</w:t>
            </w:r>
          </w:p>
        </w:tc>
        <w:tc>
          <w:tcPr>
            <w:tcW w:w="1387" w:type="dxa"/>
            <w:noWrap/>
            <w:vAlign w:val="bottom"/>
            <w:hideMark/>
          </w:tcPr>
          <w:p w14:paraId="12D3917C" w14:textId="77777777" w:rsidR="005306CF" w:rsidRPr="0021550A" w:rsidRDefault="005306CF" w:rsidP="0075112E">
            <w:pPr>
              <w:ind w:firstLine="0"/>
              <w:jc w:val="center"/>
              <w:cnfStyle w:val="000000000000" w:firstRow="0" w:lastRow="0" w:firstColumn="0" w:lastColumn="0" w:oddVBand="0" w:evenVBand="0" w:oddHBand="0" w:evenHBand="0" w:firstRowFirstColumn="0" w:firstRowLastColumn="0" w:lastRowFirstColumn="0" w:lastRowLastColumn="0"/>
            </w:pPr>
            <w:r w:rsidRPr="0021550A">
              <w:t>0.33</w:t>
            </w:r>
          </w:p>
        </w:tc>
        <w:tc>
          <w:tcPr>
            <w:tcW w:w="1300" w:type="dxa"/>
            <w:noWrap/>
            <w:vAlign w:val="bottom"/>
            <w:hideMark/>
          </w:tcPr>
          <w:p w14:paraId="5980EF27" w14:textId="77777777" w:rsidR="005306CF" w:rsidRPr="0021550A" w:rsidRDefault="005306CF" w:rsidP="0075112E">
            <w:pPr>
              <w:ind w:firstLine="0"/>
              <w:jc w:val="center"/>
              <w:cnfStyle w:val="000000000000" w:firstRow="0" w:lastRow="0" w:firstColumn="0" w:lastColumn="0" w:oddVBand="0" w:evenVBand="0" w:oddHBand="0" w:evenHBand="0" w:firstRowFirstColumn="0" w:firstRowLastColumn="0" w:lastRowFirstColumn="0" w:lastRowLastColumn="0"/>
            </w:pPr>
            <w:r w:rsidRPr="0021550A">
              <w:t>0.5</w:t>
            </w:r>
          </w:p>
        </w:tc>
      </w:tr>
      <w:tr w:rsidR="005306CF" w:rsidRPr="0021550A" w14:paraId="4B2D7E7A" w14:textId="77777777" w:rsidTr="00114E61">
        <w:trPr>
          <w:trHeight w:val="320"/>
        </w:trPr>
        <w:tc>
          <w:tcPr>
            <w:cnfStyle w:val="001000000000" w:firstRow="0" w:lastRow="0" w:firstColumn="1" w:lastColumn="0" w:oddVBand="0" w:evenVBand="0" w:oddHBand="0" w:evenHBand="0" w:firstRowFirstColumn="0" w:firstRowLastColumn="0" w:lastRowFirstColumn="0" w:lastRowLastColumn="0"/>
            <w:tcW w:w="1300" w:type="dxa"/>
            <w:noWrap/>
            <w:vAlign w:val="center"/>
            <w:hideMark/>
          </w:tcPr>
          <w:p w14:paraId="00F21862" w14:textId="77777777" w:rsidR="005306CF" w:rsidRPr="00ED665C" w:rsidRDefault="005306CF" w:rsidP="0075112E">
            <w:pPr>
              <w:ind w:firstLine="0"/>
              <w:jc w:val="center"/>
              <w:rPr>
                <w:b w:val="0"/>
                <w:i/>
              </w:rPr>
            </w:pPr>
            <w:r w:rsidRPr="00ED665C">
              <w:rPr>
                <w:b w:val="0"/>
                <w:i/>
              </w:rPr>
              <w:t>bygan</w:t>
            </w:r>
          </w:p>
        </w:tc>
        <w:tc>
          <w:tcPr>
            <w:tcW w:w="1387" w:type="dxa"/>
            <w:noWrap/>
            <w:vAlign w:val="bottom"/>
            <w:hideMark/>
          </w:tcPr>
          <w:p w14:paraId="629E15FB" w14:textId="77777777" w:rsidR="005306CF" w:rsidRPr="0021550A" w:rsidRDefault="005306CF" w:rsidP="0075112E">
            <w:pPr>
              <w:ind w:firstLine="0"/>
              <w:jc w:val="center"/>
              <w:cnfStyle w:val="000000000000" w:firstRow="0" w:lastRow="0" w:firstColumn="0" w:lastColumn="0" w:oddVBand="0" w:evenVBand="0" w:oddHBand="0" w:evenHBand="0" w:firstRowFirstColumn="0" w:firstRowLastColumn="0" w:lastRowFirstColumn="0" w:lastRowLastColumn="0"/>
            </w:pPr>
            <w:r w:rsidRPr="0021550A">
              <w:t>0.17</w:t>
            </w:r>
          </w:p>
        </w:tc>
        <w:tc>
          <w:tcPr>
            <w:tcW w:w="1300" w:type="dxa"/>
            <w:noWrap/>
            <w:vAlign w:val="bottom"/>
            <w:hideMark/>
          </w:tcPr>
          <w:p w14:paraId="65BE28BB" w14:textId="77777777" w:rsidR="005306CF" w:rsidRPr="0021550A" w:rsidRDefault="005306CF" w:rsidP="0075112E">
            <w:pPr>
              <w:ind w:firstLine="0"/>
              <w:jc w:val="center"/>
              <w:cnfStyle w:val="000000000000" w:firstRow="0" w:lastRow="0" w:firstColumn="0" w:lastColumn="0" w:oddVBand="0" w:evenVBand="0" w:oddHBand="0" w:evenHBand="0" w:firstRowFirstColumn="0" w:firstRowLastColumn="0" w:lastRowFirstColumn="0" w:lastRowLastColumn="0"/>
            </w:pPr>
            <w:r w:rsidRPr="0021550A">
              <w:t>0.17</w:t>
            </w:r>
          </w:p>
        </w:tc>
      </w:tr>
      <w:tr w:rsidR="005306CF" w:rsidRPr="0021550A" w14:paraId="09459A28" w14:textId="77777777" w:rsidTr="00114E61">
        <w:trPr>
          <w:trHeight w:val="320"/>
        </w:trPr>
        <w:tc>
          <w:tcPr>
            <w:cnfStyle w:val="001000000000" w:firstRow="0" w:lastRow="0" w:firstColumn="1" w:lastColumn="0" w:oddVBand="0" w:evenVBand="0" w:oddHBand="0" w:evenHBand="0" w:firstRowFirstColumn="0" w:firstRowLastColumn="0" w:lastRowFirstColumn="0" w:lastRowLastColumn="0"/>
            <w:tcW w:w="1300" w:type="dxa"/>
            <w:noWrap/>
            <w:vAlign w:val="center"/>
          </w:tcPr>
          <w:p w14:paraId="2B59E16B" w14:textId="77777777" w:rsidR="005306CF" w:rsidRPr="00ED665C" w:rsidRDefault="005306CF" w:rsidP="0075112E">
            <w:pPr>
              <w:ind w:firstLine="0"/>
              <w:jc w:val="center"/>
              <w:rPr>
                <w:b w:val="0"/>
                <w:i/>
              </w:rPr>
            </w:pPr>
            <w:r w:rsidRPr="00ED665C">
              <w:rPr>
                <w:b w:val="0"/>
                <w:i/>
              </w:rPr>
              <w:t>bigan</w:t>
            </w:r>
          </w:p>
        </w:tc>
        <w:tc>
          <w:tcPr>
            <w:tcW w:w="1387" w:type="dxa"/>
            <w:noWrap/>
            <w:vAlign w:val="bottom"/>
          </w:tcPr>
          <w:p w14:paraId="32298A35" w14:textId="77777777" w:rsidR="005306CF" w:rsidRPr="0021550A" w:rsidRDefault="005306CF" w:rsidP="0075112E">
            <w:pPr>
              <w:ind w:firstLine="0"/>
              <w:jc w:val="center"/>
              <w:cnfStyle w:val="000000000000" w:firstRow="0" w:lastRow="0" w:firstColumn="0" w:lastColumn="0" w:oddVBand="0" w:evenVBand="0" w:oddHBand="0" w:evenHBand="0" w:firstRowFirstColumn="0" w:firstRowLastColumn="0" w:lastRowFirstColumn="0" w:lastRowLastColumn="0"/>
            </w:pPr>
            <w:r w:rsidRPr="0021550A">
              <w:t>0.5</w:t>
            </w:r>
          </w:p>
        </w:tc>
        <w:tc>
          <w:tcPr>
            <w:tcW w:w="1300" w:type="dxa"/>
            <w:noWrap/>
            <w:vAlign w:val="bottom"/>
          </w:tcPr>
          <w:p w14:paraId="7EA7DFE7" w14:textId="77777777" w:rsidR="005306CF" w:rsidRPr="0021550A" w:rsidRDefault="005306CF" w:rsidP="0075112E">
            <w:pPr>
              <w:ind w:firstLine="0"/>
              <w:jc w:val="center"/>
              <w:cnfStyle w:val="000000000000" w:firstRow="0" w:lastRow="0" w:firstColumn="0" w:lastColumn="0" w:oddVBand="0" w:evenVBand="0" w:oddHBand="0" w:evenHBand="0" w:firstRowFirstColumn="0" w:firstRowLastColumn="0" w:lastRowFirstColumn="0" w:lastRowLastColumn="0"/>
            </w:pPr>
            <w:r w:rsidRPr="0021550A">
              <w:t>0.33</w:t>
            </w:r>
          </w:p>
        </w:tc>
      </w:tr>
    </w:tbl>
    <w:p w14:paraId="4E37A01C" w14:textId="0F5AEDB4" w:rsidR="005306CF" w:rsidRPr="0021550A" w:rsidRDefault="004D4BD1" w:rsidP="005306CF">
      <w:pPr>
        <w:pStyle w:val="Caption"/>
      </w:pPr>
      <w:bookmarkStart w:id="112" w:name="_Toc499753479"/>
      <w:r>
        <w:t>Table 4.21:</w:t>
      </w:r>
      <w:r w:rsidR="005306CF" w:rsidRPr="0021550A">
        <w:t xml:space="preserve"> Ratios of </w:t>
      </w:r>
      <w:r w:rsidR="005306CF" w:rsidRPr="0021550A">
        <w:rPr>
          <w:smallCaps/>
        </w:rPr>
        <w:t>began</w:t>
      </w:r>
      <w:r w:rsidR="005306CF" w:rsidRPr="0021550A">
        <w:t xml:space="preserve"> in Quire q and Quire u of the </w:t>
      </w:r>
      <w:r w:rsidR="005306CF" w:rsidRPr="0021550A">
        <w:rPr>
          <w:i/>
        </w:rPr>
        <w:t>Confessio Amantis</w:t>
      </w:r>
      <w:bookmarkEnd w:id="112"/>
    </w:p>
    <w:p w14:paraId="47063920" w14:textId="77777777" w:rsidR="005306CF" w:rsidRPr="0021550A" w:rsidRDefault="005306CF" w:rsidP="005306CF"/>
    <w:p w14:paraId="54CA4A21" w14:textId="5E266B33" w:rsidR="005306CF" w:rsidRPr="0021550A" w:rsidRDefault="005306CF" w:rsidP="005306CF">
      <w:r w:rsidRPr="0021550A">
        <w:t xml:space="preserve">We can plot the values for Quire q and Quire u for the spelling </w:t>
      </w:r>
      <w:r w:rsidRPr="0021550A">
        <w:rPr>
          <w:i/>
        </w:rPr>
        <w:t>began</w:t>
      </w:r>
      <w:r w:rsidRPr="0021550A">
        <w:t xml:space="preserve"> in one dimension, presented </w:t>
      </w:r>
      <w:r w:rsidR="004031F0">
        <w:t>in Figure 4.22</w:t>
      </w:r>
      <w:r w:rsidRPr="0021550A">
        <w:t xml:space="preserve">. The distance between Quire q and Quire u is 0.17 in one dimension. </w:t>
      </w:r>
    </w:p>
    <w:p w14:paraId="6F8AB518" w14:textId="77777777" w:rsidR="005306CF" w:rsidRPr="0021550A" w:rsidRDefault="005306CF" w:rsidP="005306CF"/>
    <w:p w14:paraId="37524325" w14:textId="4AD9DCB9" w:rsidR="005306CF" w:rsidRPr="0021550A" w:rsidRDefault="005306CF" w:rsidP="005306CF">
      <w:pPr>
        <w:ind w:firstLine="0"/>
      </w:pPr>
      <w:r w:rsidRPr="0021550A">
        <w:rPr>
          <w:noProof/>
          <w:lang w:eastAsia="en-GB"/>
        </w:rPr>
        <w:drawing>
          <wp:inline distT="0" distB="0" distL="0" distR="0" wp14:anchorId="77E7DAA2" wp14:editId="651AFC49">
            <wp:extent cx="5020404" cy="845238"/>
            <wp:effectExtent l="0" t="0" r="889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2d begin.pdf"/>
                    <pic:cNvPicPr/>
                  </pic:nvPicPr>
                  <pic:blipFill rotWithShape="1">
                    <a:blip r:embed="rId46">
                      <a:extLst>
                        <a:ext uri="{28A0092B-C50C-407E-A947-70E740481C1C}">
                          <a14:useLocalDpi xmlns:a14="http://schemas.microsoft.com/office/drawing/2010/main"/>
                        </a:ext>
                      </a:extLst>
                    </a:blip>
                    <a:srcRect l="15845" t="23359" r="34546" b="61794"/>
                    <a:stretch/>
                  </pic:blipFill>
                  <pic:spPr bwMode="auto">
                    <a:xfrm>
                      <a:off x="0" y="0"/>
                      <a:ext cx="5263380" cy="886146"/>
                    </a:xfrm>
                    <a:prstGeom prst="rect">
                      <a:avLst/>
                    </a:prstGeom>
                    <a:ln>
                      <a:noFill/>
                    </a:ln>
                    <a:extLst>
                      <a:ext uri="{53640926-AAD7-44D8-BBD7-CCE9431645EC}">
                        <a14:shadowObscured xmlns:a14="http://schemas.microsoft.com/office/drawing/2010/main"/>
                      </a:ext>
                    </a:extLst>
                  </pic:spPr>
                </pic:pic>
              </a:graphicData>
            </a:graphic>
          </wp:inline>
        </w:drawing>
      </w:r>
    </w:p>
    <w:p w14:paraId="69E6ABCB" w14:textId="2F19AE97" w:rsidR="005306CF" w:rsidRPr="0021550A" w:rsidRDefault="004D4BD1" w:rsidP="005306CF">
      <w:pPr>
        <w:pStyle w:val="Caption"/>
      </w:pPr>
      <w:bookmarkStart w:id="113" w:name="_Toc499753528"/>
      <w:r>
        <w:t>Figure 4.22:</w:t>
      </w:r>
      <w:r w:rsidR="005306CF" w:rsidRPr="0021550A">
        <w:t xml:space="preserve"> Graphical representation of </w:t>
      </w:r>
      <w:r w:rsidR="005306CF" w:rsidRPr="0021550A">
        <w:rPr>
          <w:i/>
        </w:rPr>
        <w:t>begin</w:t>
      </w:r>
      <w:r w:rsidR="005306CF" w:rsidRPr="0021550A">
        <w:t xml:space="preserve"> in </w:t>
      </w:r>
      <w:r w:rsidR="00F90A3F">
        <w:t>quires</w:t>
      </w:r>
      <w:r w:rsidR="005306CF" w:rsidRPr="0021550A">
        <w:t xml:space="preserve"> of the </w:t>
      </w:r>
      <w:r w:rsidR="005306CF" w:rsidRPr="0021550A">
        <w:rPr>
          <w:i/>
        </w:rPr>
        <w:t>Confessio Amantis</w:t>
      </w:r>
      <w:bookmarkEnd w:id="113"/>
    </w:p>
    <w:p w14:paraId="51598447" w14:textId="77777777" w:rsidR="005306CF" w:rsidRPr="0021550A" w:rsidRDefault="005306CF" w:rsidP="005306CF"/>
    <w:p w14:paraId="72348975" w14:textId="074BA35C" w:rsidR="005306CF" w:rsidRDefault="005306CF" w:rsidP="005306CF">
      <w:r w:rsidRPr="0021550A">
        <w:t xml:space="preserve">We can, again, extend the data into two dimensions by adding the dimension for the spelling </w:t>
      </w:r>
      <w:r w:rsidRPr="0021550A">
        <w:rPr>
          <w:i/>
        </w:rPr>
        <w:t>bygan</w:t>
      </w:r>
      <w:r w:rsidRPr="0021550A">
        <w:t xml:space="preserve"> for Quire q and Quire u. Both Quire q and Quire u use </w:t>
      </w:r>
      <w:r w:rsidRPr="0021550A">
        <w:rPr>
          <w:i/>
        </w:rPr>
        <w:t>bygan</w:t>
      </w:r>
      <w:r w:rsidRPr="0021550A">
        <w:t xml:space="preserve"> 17 per cent of the time for the word </w:t>
      </w:r>
      <w:r w:rsidRPr="0021550A">
        <w:rPr>
          <w:smallCaps/>
        </w:rPr>
        <w:t>began</w:t>
      </w:r>
      <w:r w:rsidRPr="0021550A">
        <w:t xml:space="preserve">. Because both quires have the same value for </w:t>
      </w:r>
      <w:r w:rsidRPr="0021550A">
        <w:rPr>
          <w:i/>
        </w:rPr>
        <w:t>bygan</w:t>
      </w:r>
      <w:r w:rsidRPr="0021550A">
        <w:t xml:space="preserve">, </w:t>
      </w:r>
      <w:r w:rsidRPr="0021550A">
        <w:lastRenderedPageBreak/>
        <w:t xml:space="preserve">the distance between the two points will not increase. The distance between the two points is demonstrated graphically in </w:t>
      </w:r>
      <w:r w:rsidR="004031F0">
        <w:t>Figure 4.23</w:t>
      </w:r>
      <w:r w:rsidRPr="0021550A">
        <w:t xml:space="preserve">. </w:t>
      </w:r>
    </w:p>
    <w:p w14:paraId="648A3C65" w14:textId="77777777" w:rsidR="005306CF" w:rsidRPr="0021550A" w:rsidRDefault="005306CF" w:rsidP="005306CF"/>
    <w:p w14:paraId="263BE84D" w14:textId="2AB871B7" w:rsidR="005306CF" w:rsidRPr="0021550A" w:rsidRDefault="005306CF" w:rsidP="005306CF">
      <w:r w:rsidRPr="0021550A">
        <w:rPr>
          <w:noProof/>
          <w:lang w:eastAsia="en-GB"/>
        </w:rPr>
        <w:drawing>
          <wp:inline distT="0" distB="0" distL="0" distR="0" wp14:anchorId="77B838E7" wp14:editId="63B26D7C">
            <wp:extent cx="2680335" cy="1513055"/>
            <wp:effectExtent l="0" t="0" r="0" b="1143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egan same distance.pdf"/>
                    <pic:cNvPicPr/>
                  </pic:nvPicPr>
                  <pic:blipFill rotWithShape="1">
                    <a:blip r:embed="rId47">
                      <a:extLst>
                        <a:ext uri="{28A0092B-C50C-407E-A947-70E740481C1C}">
                          <a14:useLocalDpi xmlns:a14="http://schemas.microsoft.com/office/drawing/2010/main"/>
                        </a:ext>
                      </a:extLst>
                    </a:blip>
                    <a:srcRect l="13508" t="33840" r="60824" b="40402"/>
                    <a:stretch/>
                  </pic:blipFill>
                  <pic:spPr bwMode="auto">
                    <a:xfrm>
                      <a:off x="0" y="0"/>
                      <a:ext cx="2780508" cy="1569603"/>
                    </a:xfrm>
                    <a:prstGeom prst="rect">
                      <a:avLst/>
                    </a:prstGeom>
                    <a:ln>
                      <a:noFill/>
                    </a:ln>
                    <a:extLst>
                      <a:ext uri="{53640926-AAD7-44D8-BBD7-CCE9431645EC}">
                        <a14:shadowObscured xmlns:a14="http://schemas.microsoft.com/office/drawing/2010/main"/>
                      </a:ext>
                    </a:extLst>
                  </pic:spPr>
                </pic:pic>
              </a:graphicData>
            </a:graphic>
          </wp:inline>
        </w:drawing>
      </w:r>
    </w:p>
    <w:p w14:paraId="634BA43E" w14:textId="16592657" w:rsidR="005306CF" w:rsidRPr="0021550A" w:rsidRDefault="004031F0" w:rsidP="005306CF">
      <w:pPr>
        <w:pStyle w:val="Caption"/>
        <w:rPr>
          <w:i/>
        </w:rPr>
      </w:pPr>
      <w:bookmarkStart w:id="114" w:name="_Toc499753529"/>
      <w:r>
        <w:t>Figure 4.23:</w:t>
      </w:r>
      <w:r w:rsidR="005306CF" w:rsidRPr="0021550A">
        <w:t xml:space="preserve"> Two-dimensional graph of </w:t>
      </w:r>
      <w:r w:rsidR="005306CF" w:rsidRPr="0021550A">
        <w:rPr>
          <w:i/>
        </w:rPr>
        <w:t>began</w:t>
      </w:r>
      <w:r w:rsidR="005306CF" w:rsidRPr="0021550A">
        <w:t xml:space="preserve"> and </w:t>
      </w:r>
      <w:r w:rsidR="005306CF" w:rsidRPr="0021550A">
        <w:rPr>
          <w:i/>
        </w:rPr>
        <w:t>bygan</w:t>
      </w:r>
      <w:r w:rsidR="005306CF" w:rsidRPr="0021550A">
        <w:t xml:space="preserve"> in </w:t>
      </w:r>
      <w:r w:rsidR="00004D21">
        <w:t>quires</w:t>
      </w:r>
      <w:r w:rsidR="005306CF" w:rsidRPr="0021550A">
        <w:t xml:space="preserve"> of the </w:t>
      </w:r>
      <w:r w:rsidR="005306CF" w:rsidRPr="0021550A">
        <w:rPr>
          <w:i/>
        </w:rPr>
        <w:t>Confessio Amantis</w:t>
      </w:r>
      <w:bookmarkEnd w:id="114"/>
    </w:p>
    <w:p w14:paraId="67E8C94B" w14:textId="77777777" w:rsidR="005306CF" w:rsidRPr="0021550A" w:rsidRDefault="005306CF" w:rsidP="005306CF"/>
    <w:p w14:paraId="184ADCE6" w14:textId="2028B625" w:rsidR="005306CF" w:rsidRDefault="005306CF" w:rsidP="00114E61">
      <w:r w:rsidRPr="0021550A">
        <w:t xml:space="preserve">The distance between Quire q and Quire u has remained the same at 0.17 units apart, because the value for both quires for the dimension </w:t>
      </w:r>
      <w:r w:rsidRPr="0021550A">
        <w:rPr>
          <w:i/>
        </w:rPr>
        <w:t>bygan</w:t>
      </w:r>
      <w:r w:rsidRPr="0021550A">
        <w:t xml:space="preserve"> is the same. Though the distance between the quires did not increase, we now have greater information about the location of the quires spatially. Using the spelling variants for </w:t>
      </w:r>
      <w:r w:rsidRPr="0021550A">
        <w:rPr>
          <w:smallCaps/>
        </w:rPr>
        <w:t>began</w:t>
      </w:r>
      <w:r w:rsidRPr="0021550A">
        <w:t xml:space="preserve"> that appear in the </w:t>
      </w:r>
      <w:r w:rsidRPr="0021550A">
        <w:rPr>
          <w:i/>
        </w:rPr>
        <w:t>Confessio Amantis</w:t>
      </w:r>
      <w:r w:rsidRPr="0021550A">
        <w:t>, it is possible to prove that the addition of dimensions will increase the distance between two objects in multi-dimensional space, unless both objects have the same value in the new dimension. In the case of spelling variation, adding new spellings to each quire increases the distance between the quires unless every quire has the same ratio for the new variant.</w:t>
      </w:r>
    </w:p>
    <w:p w14:paraId="278B1DD0" w14:textId="77777777" w:rsidR="008E4758" w:rsidRPr="0021550A" w:rsidRDefault="008E4758" w:rsidP="008E4758"/>
    <w:p w14:paraId="1F0384AA" w14:textId="1DC3D2E3" w:rsidR="008E4758" w:rsidRPr="0021550A" w:rsidRDefault="008E4758" w:rsidP="008E4758">
      <w:pPr>
        <w:pStyle w:val="Heading3"/>
      </w:pPr>
      <w:bookmarkStart w:id="115" w:name="_Ref497746474"/>
      <w:r w:rsidRPr="0021550A">
        <w:t>The curse of dimensionality: density</w:t>
      </w:r>
      <w:bookmarkEnd w:id="115"/>
    </w:p>
    <w:p w14:paraId="283C7265" w14:textId="356B8F57" w:rsidR="00F47CEF" w:rsidRPr="0021550A" w:rsidRDefault="008E4758" w:rsidP="00F47CEF">
      <w:r w:rsidRPr="0021550A">
        <w:t xml:space="preserve">The more dimensions that are added to a dataset, the lower the density of the objects in that space. This is a problem for density-based clustering, because this type of clustering works by finding dense areas of objects. The reduction of density means that it may not be possible for the algorithm to identify dense areas, and therefore it is not possible to identify clusters of objects, or in this case, clusters of quires. Under the curse of dimensionality, the density of a set of objects reduces exponentially with an increase in dimensions. We can illustrate this with an example using example spelling data from the </w:t>
      </w:r>
      <w:r w:rsidRPr="0021550A">
        <w:rPr>
          <w:i/>
        </w:rPr>
        <w:t>Polychronicon</w:t>
      </w:r>
      <w:r w:rsidRPr="0021550A">
        <w:t xml:space="preserve"> in </w:t>
      </w:r>
      <w:r w:rsidR="004031F0">
        <w:t>Table 4.24</w:t>
      </w:r>
      <w:r w:rsidRPr="0021550A">
        <w:rPr>
          <w:i/>
        </w:rPr>
        <w:t>.</w:t>
      </w:r>
      <w:r w:rsidRPr="0021550A">
        <w:t xml:space="preserve"> </w:t>
      </w:r>
      <w:r w:rsidR="00F47CEF" w:rsidRPr="0021550A">
        <w:t xml:space="preserve">The data presented in </w:t>
      </w:r>
      <w:r w:rsidR="004031F0">
        <w:t>Table 4.24</w:t>
      </w:r>
      <w:r w:rsidR="00F47CEF" w:rsidRPr="0021550A">
        <w:t xml:space="preserve"> has been reduced to raw variants for the sake of producing a mathematically simple example for illustration purposes</w:t>
      </w:r>
      <w:r w:rsidR="00F47CEF">
        <w:t>.</w:t>
      </w:r>
      <w:r w:rsidR="00F47CEF" w:rsidRPr="005C54CE">
        <w:rPr>
          <w:rStyle w:val="FootnoteReference"/>
        </w:rPr>
        <w:footnoteReference w:id="12"/>
      </w:r>
      <w:r w:rsidR="00F47CEF" w:rsidRPr="0021550A">
        <w:t xml:space="preserve"> The frequencies presented in are spelling variants used in Quire 1 and Quire 2 </w:t>
      </w:r>
      <w:r w:rsidR="00F47CEF" w:rsidRPr="0021550A">
        <w:lastRenderedPageBreak/>
        <w:t xml:space="preserve">of the </w:t>
      </w:r>
      <w:r w:rsidR="00F47CEF" w:rsidRPr="0021550A">
        <w:rPr>
          <w:i/>
        </w:rPr>
        <w:t>Polychronicon</w:t>
      </w:r>
      <w:r w:rsidR="00F47CEF" w:rsidRPr="0021550A">
        <w:t xml:space="preserve"> to denote the word </w:t>
      </w:r>
      <w:r w:rsidR="00F47CEF" w:rsidRPr="0021550A">
        <w:rPr>
          <w:smallCaps/>
        </w:rPr>
        <w:t xml:space="preserve">burying, </w:t>
      </w:r>
      <w:r w:rsidR="00F47CEF" w:rsidRPr="0021550A">
        <w:t xml:space="preserve">though the frequencies have been altered to create suitable mock data. Because the values in </w:t>
      </w:r>
      <w:r w:rsidR="004031F0">
        <w:t>Table 4.24</w:t>
      </w:r>
      <w:r w:rsidR="00F47CEF" w:rsidRPr="0021550A">
        <w:t xml:space="preserve"> represent frequencies, each number must be a whole number, i.e. it is impossible for </w:t>
      </w:r>
      <w:r w:rsidR="00F47CEF" w:rsidRPr="0021550A">
        <w:rPr>
          <w:i/>
        </w:rPr>
        <w:t>beryeng</w:t>
      </w:r>
      <w:r w:rsidR="00F47CEF" w:rsidRPr="0021550A">
        <w:t xml:space="preserve"> to occur 5.7 times. To further retain mathematical simplicity, we will put a limit of 9 as the maximum number of times that any of the variant spellings for </w:t>
      </w:r>
      <w:r w:rsidR="00F47CEF" w:rsidRPr="0021550A">
        <w:rPr>
          <w:smallCaps/>
        </w:rPr>
        <w:t>burying</w:t>
      </w:r>
      <w:r w:rsidR="00F47CEF" w:rsidRPr="0021550A">
        <w:t xml:space="preserve"> may occur.</w:t>
      </w:r>
    </w:p>
    <w:p w14:paraId="11D8A0F6" w14:textId="77777777" w:rsidR="008E4758" w:rsidRPr="0021550A" w:rsidRDefault="008E4758" w:rsidP="008E4758"/>
    <w:tbl>
      <w:tblPr>
        <w:tblStyle w:val="GridTable1Light1"/>
        <w:tblW w:w="5665" w:type="dxa"/>
        <w:tblLayout w:type="fixed"/>
        <w:tblLook w:val="04A0" w:firstRow="1" w:lastRow="0" w:firstColumn="1" w:lastColumn="0" w:noHBand="0" w:noVBand="1"/>
      </w:tblPr>
      <w:tblGrid>
        <w:gridCol w:w="1885"/>
        <w:gridCol w:w="1890"/>
        <w:gridCol w:w="1890"/>
      </w:tblGrid>
      <w:tr w:rsidR="008E4758" w:rsidRPr="0021550A" w14:paraId="25D90C3A" w14:textId="77777777" w:rsidTr="0075112E">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885" w:type="dxa"/>
            <w:noWrap/>
          </w:tcPr>
          <w:p w14:paraId="3EA3C141" w14:textId="77777777" w:rsidR="008E4758" w:rsidRPr="0021550A" w:rsidRDefault="008E4758" w:rsidP="008E4758">
            <w:pPr>
              <w:ind w:left="20" w:hanging="20"/>
              <w:jc w:val="center"/>
            </w:pPr>
          </w:p>
        </w:tc>
        <w:tc>
          <w:tcPr>
            <w:tcW w:w="1890" w:type="dxa"/>
            <w:noWrap/>
          </w:tcPr>
          <w:p w14:paraId="2B39A3D2" w14:textId="77777777" w:rsidR="008E4758" w:rsidRPr="0021550A" w:rsidRDefault="008E4758" w:rsidP="0075112E">
            <w:pPr>
              <w:ind w:hanging="20"/>
              <w:jc w:val="center"/>
              <w:cnfStyle w:val="100000000000" w:firstRow="1" w:lastRow="0" w:firstColumn="0" w:lastColumn="0" w:oddVBand="0" w:evenVBand="0" w:oddHBand="0" w:evenHBand="0" w:firstRowFirstColumn="0" w:firstRowLastColumn="0" w:lastRowFirstColumn="0" w:lastRowLastColumn="0"/>
            </w:pPr>
            <w:r w:rsidRPr="0021550A">
              <w:t>Quire 1</w:t>
            </w:r>
          </w:p>
        </w:tc>
        <w:tc>
          <w:tcPr>
            <w:tcW w:w="1890" w:type="dxa"/>
          </w:tcPr>
          <w:p w14:paraId="5D4E7485" w14:textId="77777777" w:rsidR="008E4758" w:rsidRPr="0021550A" w:rsidRDefault="008E4758" w:rsidP="0075112E">
            <w:pPr>
              <w:ind w:hanging="20"/>
              <w:jc w:val="center"/>
              <w:cnfStyle w:val="100000000000" w:firstRow="1" w:lastRow="0" w:firstColumn="0" w:lastColumn="0" w:oddVBand="0" w:evenVBand="0" w:oddHBand="0" w:evenHBand="0" w:firstRowFirstColumn="0" w:firstRowLastColumn="0" w:lastRowFirstColumn="0" w:lastRowLastColumn="0"/>
            </w:pPr>
            <w:r w:rsidRPr="0021550A">
              <w:t>Quire 2</w:t>
            </w:r>
          </w:p>
        </w:tc>
      </w:tr>
      <w:tr w:rsidR="008E4758" w:rsidRPr="0021550A" w14:paraId="3B594549" w14:textId="77777777" w:rsidTr="0075112E">
        <w:trPr>
          <w:trHeight w:val="320"/>
        </w:trPr>
        <w:tc>
          <w:tcPr>
            <w:cnfStyle w:val="001000000000" w:firstRow="0" w:lastRow="0" w:firstColumn="1" w:lastColumn="0" w:oddVBand="0" w:evenVBand="0" w:oddHBand="0" w:evenHBand="0" w:firstRowFirstColumn="0" w:firstRowLastColumn="0" w:lastRowFirstColumn="0" w:lastRowLastColumn="0"/>
            <w:tcW w:w="1885" w:type="dxa"/>
            <w:noWrap/>
            <w:hideMark/>
          </w:tcPr>
          <w:p w14:paraId="12B6D4DB" w14:textId="77777777" w:rsidR="008E4758" w:rsidRPr="00ED665C" w:rsidRDefault="008E4758" w:rsidP="0075112E">
            <w:pPr>
              <w:ind w:hanging="20"/>
              <w:jc w:val="center"/>
              <w:rPr>
                <w:b w:val="0"/>
                <w:i/>
              </w:rPr>
            </w:pPr>
            <w:r w:rsidRPr="00ED665C">
              <w:rPr>
                <w:b w:val="0"/>
                <w:i/>
              </w:rPr>
              <w:t>berynge</w:t>
            </w:r>
          </w:p>
        </w:tc>
        <w:tc>
          <w:tcPr>
            <w:tcW w:w="1890" w:type="dxa"/>
            <w:noWrap/>
          </w:tcPr>
          <w:p w14:paraId="0B10897D" w14:textId="77777777" w:rsidR="008E4758" w:rsidRPr="0021550A" w:rsidRDefault="008E4758" w:rsidP="0075112E">
            <w:pPr>
              <w:ind w:hanging="20"/>
              <w:jc w:val="center"/>
              <w:cnfStyle w:val="000000000000" w:firstRow="0" w:lastRow="0" w:firstColumn="0" w:lastColumn="0" w:oddVBand="0" w:evenVBand="0" w:oddHBand="0" w:evenHBand="0" w:firstRowFirstColumn="0" w:firstRowLastColumn="0" w:lastRowFirstColumn="0" w:lastRowLastColumn="0"/>
            </w:pPr>
            <w:r w:rsidRPr="0021550A">
              <w:t>3</w:t>
            </w:r>
          </w:p>
        </w:tc>
        <w:tc>
          <w:tcPr>
            <w:tcW w:w="1890" w:type="dxa"/>
          </w:tcPr>
          <w:p w14:paraId="14772F2B" w14:textId="77777777" w:rsidR="008E4758" w:rsidRPr="0021550A" w:rsidRDefault="008E4758" w:rsidP="0075112E">
            <w:pPr>
              <w:ind w:hanging="20"/>
              <w:jc w:val="center"/>
              <w:cnfStyle w:val="000000000000" w:firstRow="0" w:lastRow="0" w:firstColumn="0" w:lastColumn="0" w:oddVBand="0" w:evenVBand="0" w:oddHBand="0" w:evenHBand="0" w:firstRowFirstColumn="0" w:firstRowLastColumn="0" w:lastRowFirstColumn="0" w:lastRowLastColumn="0"/>
            </w:pPr>
            <w:r w:rsidRPr="0021550A">
              <w:t>5</w:t>
            </w:r>
          </w:p>
        </w:tc>
      </w:tr>
      <w:tr w:rsidR="008E4758" w:rsidRPr="0021550A" w14:paraId="6FF13B0C" w14:textId="77777777" w:rsidTr="0075112E">
        <w:trPr>
          <w:trHeight w:val="320"/>
        </w:trPr>
        <w:tc>
          <w:tcPr>
            <w:cnfStyle w:val="001000000000" w:firstRow="0" w:lastRow="0" w:firstColumn="1" w:lastColumn="0" w:oddVBand="0" w:evenVBand="0" w:oddHBand="0" w:evenHBand="0" w:firstRowFirstColumn="0" w:firstRowLastColumn="0" w:lastRowFirstColumn="0" w:lastRowLastColumn="0"/>
            <w:tcW w:w="1885" w:type="dxa"/>
            <w:noWrap/>
            <w:hideMark/>
          </w:tcPr>
          <w:p w14:paraId="6AC3D1FD" w14:textId="77777777" w:rsidR="008E4758" w:rsidRPr="00ED665C" w:rsidRDefault="008E4758" w:rsidP="0075112E">
            <w:pPr>
              <w:ind w:hanging="20"/>
              <w:jc w:val="center"/>
              <w:rPr>
                <w:b w:val="0"/>
                <w:i/>
              </w:rPr>
            </w:pPr>
            <w:r w:rsidRPr="00ED665C">
              <w:rPr>
                <w:b w:val="0"/>
                <w:i/>
              </w:rPr>
              <w:t>beryng</w:t>
            </w:r>
          </w:p>
        </w:tc>
        <w:tc>
          <w:tcPr>
            <w:tcW w:w="1890" w:type="dxa"/>
            <w:noWrap/>
          </w:tcPr>
          <w:p w14:paraId="755BDA42" w14:textId="77777777" w:rsidR="008E4758" w:rsidRPr="0021550A" w:rsidRDefault="008E4758" w:rsidP="0075112E">
            <w:pPr>
              <w:ind w:hanging="20"/>
              <w:jc w:val="center"/>
              <w:cnfStyle w:val="000000000000" w:firstRow="0" w:lastRow="0" w:firstColumn="0" w:lastColumn="0" w:oddVBand="0" w:evenVBand="0" w:oddHBand="0" w:evenHBand="0" w:firstRowFirstColumn="0" w:firstRowLastColumn="0" w:lastRowFirstColumn="0" w:lastRowLastColumn="0"/>
            </w:pPr>
            <w:r w:rsidRPr="0021550A">
              <w:t>8</w:t>
            </w:r>
          </w:p>
        </w:tc>
        <w:tc>
          <w:tcPr>
            <w:tcW w:w="1890" w:type="dxa"/>
          </w:tcPr>
          <w:p w14:paraId="5FD0FFC6" w14:textId="77777777" w:rsidR="008E4758" w:rsidRPr="0021550A" w:rsidRDefault="008E4758" w:rsidP="0075112E">
            <w:pPr>
              <w:ind w:hanging="20"/>
              <w:jc w:val="center"/>
              <w:cnfStyle w:val="000000000000" w:firstRow="0" w:lastRow="0" w:firstColumn="0" w:lastColumn="0" w:oddVBand="0" w:evenVBand="0" w:oddHBand="0" w:evenHBand="0" w:firstRowFirstColumn="0" w:firstRowLastColumn="0" w:lastRowFirstColumn="0" w:lastRowLastColumn="0"/>
            </w:pPr>
            <w:r w:rsidRPr="0021550A">
              <w:t>3</w:t>
            </w:r>
          </w:p>
        </w:tc>
      </w:tr>
      <w:tr w:rsidR="008E4758" w:rsidRPr="0021550A" w14:paraId="2C97F459" w14:textId="77777777" w:rsidTr="0075112E">
        <w:trPr>
          <w:trHeight w:val="320"/>
        </w:trPr>
        <w:tc>
          <w:tcPr>
            <w:cnfStyle w:val="001000000000" w:firstRow="0" w:lastRow="0" w:firstColumn="1" w:lastColumn="0" w:oddVBand="0" w:evenVBand="0" w:oddHBand="0" w:evenHBand="0" w:firstRowFirstColumn="0" w:firstRowLastColumn="0" w:lastRowFirstColumn="0" w:lastRowLastColumn="0"/>
            <w:tcW w:w="1885" w:type="dxa"/>
            <w:noWrap/>
            <w:hideMark/>
          </w:tcPr>
          <w:p w14:paraId="14733FB0" w14:textId="77777777" w:rsidR="008E4758" w:rsidRPr="00ED665C" w:rsidRDefault="008E4758" w:rsidP="0075112E">
            <w:pPr>
              <w:ind w:hanging="20"/>
              <w:jc w:val="center"/>
              <w:rPr>
                <w:b w:val="0"/>
                <w:i/>
              </w:rPr>
            </w:pPr>
            <w:r w:rsidRPr="00ED665C">
              <w:rPr>
                <w:b w:val="0"/>
                <w:i/>
              </w:rPr>
              <w:t>beryeng</w:t>
            </w:r>
          </w:p>
        </w:tc>
        <w:tc>
          <w:tcPr>
            <w:tcW w:w="1890" w:type="dxa"/>
            <w:noWrap/>
          </w:tcPr>
          <w:p w14:paraId="245EEE06" w14:textId="77777777" w:rsidR="008E4758" w:rsidRPr="0021550A" w:rsidRDefault="008E4758" w:rsidP="0075112E">
            <w:pPr>
              <w:ind w:hanging="20"/>
              <w:jc w:val="center"/>
              <w:cnfStyle w:val="000000000000" w:firstRow="0" w:lastRow="0" w:firstColumn="0" w:lastColumn="0" w:oddVBand="0" w:evenVBand="0" w:oddHBand="0" w:evenHBand="0" w:firstRowFirstColumn="0" w:firstRowLastColumn="0" w:lastRowFirstColumn="0" w:lastRowLastColumn="0"/>
            </w:pPr>
            <w:r w:rsidRPr="0021550A">
              <w:t>4</w:t>
            </w:r>
          </w:p>
        </w:tc>
        <w:tc>
          <w:tcPr>
            <w:tcW w:w="1890" w:type="dxa"/>
          </w:tcPr>
          <w:p w14:paraId="68DE20A9" w14:textId="77777777" w:rsidR="008E4758" w:rsidRPr="0021550A" w:rsidRDefault="008E4758" w:rsidP="0075112E">
            <w:pPr>
              <w:ind w:hanging="20"/>
              <w:jc w:val="center"/>
              <w:cnfStyle w:val="000000000000" w:firstRow="0" w:lastRow="0" w:firstColumn="0" w:lastColumn="0" w:oddVBand="0" w:evenVBand="0" w:oddHBand="0" w:evenHBand="0" w:firstRowFirstColumn="0" w:firstRowLastColumn="0" w:lastRowFirstColumn="0" w:lastRowLastColumn="0"/>
            </w:pPr>
            <w:r w:rsidRPr="0021550A">
              <w:t>4</w:t>
            </w:r>
          </w:p>
        </w:tc>
      </w:tr>
    </w:tbl>
    <w:p w14:paraId="5C85C4F6" w14:textId="6E57986C" w:rsidR="008E4758" w:rsidRPr="0021550A" w:rsidRDefault="004031F0" w:rsidP="008E4758">
      <w:pPr>
        <w:pStyle w:val="Caption"/>
      </w:pPr>
      <w:bookmarkStart w:id="116" w:name="_Toc499753480"/>
      <w:r>
        <w:t>Table 4.24:</w:t>
      </w:r>
      <w:r w:rsidR="008E4758" w:rsidRPr="0021550A">
        <w:t xml:space="preserve"> Example raw frequencies of </w:t>
      </w:r>
      <w:r w:rsidR="008E4758" w:rsidRPr="0021550A">
        <w:rPr>
          <w:smallCaps/>
        </w:rPr>
        <w:t>burying</w:t>
      </w:r>
      <w:r w:rsidR="008E4758" w:rsidRPr="0021550A">
        <w:t xml:space="preserve"> in the </w:t>
      </w:r>
      <w:r w:rsidR="008E4758" w:rsidRPr="0021550A">
        <w:rPr>
          <w:i/>
        </w:rPr>
        <w:t>Polychronicon</w:t>
      </w:r>
      <w:bookmarkEnd w:id="116"/>
    </w:p>
    <w:p w14:paraId="12E1E7EA" w14:textId="77777777" w:rsidR="008E4758" w:rsidRPr="0021550A" w:rsidRDefault="008E4758" w:rsidP="008E4758"/>
    <w:p w14:paraId="7BE972C9" w14:textId="7B4C17EC" w:rsidR="008E4758" w:rsidRDefault="008E4758" w:rsidP="008E4758">
      <w:r w:rsidRPr="0021550A">
        <w:t xml:space="preserve">We can begin by considering a one-dimensional space, for example, the one-dimensional space created by the frequency of </w:t>
      </w:r>
      <w:r w:rsidRPr="0021550A">
        <w:rPr>
          <w:i/>
        </w:rPr>
        <w:t>berynge</w:t>
      </w:r>
      <w:r w:rsidRPr="0021550A">
        <w:t xml:space="preserve">, where we can set the range of available values to between 0 and 9. The available number of points in the one-dimensional space created by </w:t>
      </w:r>
      <w:r w:rsidRPr="0021550A">
        <w:rPr>
          <w:i/>
        </w:rPr>
        <w:t>berynge</w:t>
      </w:r>
      <w:r w:rsidRPr="0021550A">
        <w:t xml:space="preserve"> is 10: the points between 0 and 9. We can plot the values of </w:t>
      </w:r>
      <w:r w:rsidRPr="0021550A">
        <w:rPr>
          <w:i/>
        </w:rPr>
        <w:t>berynge</w:t>
      </w:r>
      <w:r w:rsidRPr="0021550A">
        <w:t xml:space="preserve"> for each quire on a graph, seen in </w:t>
      </w:r>
      <w:r w:rsidR="004031F0">
        <w:t>Figure 4.25.</w:t>
      </w:r>
    </w:p>
    <w:p w14:paraId="60BF170E" w14:textId="77777777" w:rsidR="00F90A3F" w:rsidRPr="0021550A" w:rsidRDefault="00F90A3F" w:rsidP="008E4758"/>
    <w:tbl>
      <w:tblPr>
        <w:tblStyle w:val="TableGrid"/>
        <w:tblW w:w="0" w:type="auto"/>
        <w:tblInd w:w="13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42"/>
        <w:gridCol w:w="4899"/>
      </w:tblGrid>
      <w:tr w:rsidR="008E4758" w:rsidRPr="0021550A" w14:paraId="557CF281" w14:textId="77777777" w:rsidTr="0075112E">
        <w:trPr>
          <w:trHeight w:val="216"/>
        </w:trPr>
        <w:tc>
          <w:tcPr>
            <w:tcW w:w="1643" w:type="dxa"/>
          </w:tcPr>
          <w:p w14:paraId="10F68B15" w14:textId="77777777" w:rsidR="008E4758" w:rsidRPr="0021550A" w:rsidRDefault="008E4758" w:rsidP="0075112E">
            <w:r w:rsidRPr="0021550A">
              <w:t>Quire 1</w:t>
            </w:r>
          </w:p>
        </w:tc>
        <w:tc>
          <w:tcPr>
            <w:tcW w:w="4922" w:type="dxa"/>
          </w:tcPr>
          <w:p w14:paraId="5D4259D4" w14:textId="77777777" w:rsidR="008E4758" w:rsidRPr="0021550A" w:rsidRDefault="008E4758" w:rsidP="0075112E">
            <w:r w:rsidRPr="0021550A">
              <w:t>Quire 2</w:t>
            </w:r>
          </w:p>
        </w:tc>
      </w:tr>
    </w:tbl>
    <w:p w14:paraId="35702C8F" w14:textId="4BB1F485" w:rsidR="008E4758" w:rsidRPr="0021550A" w:rsidRDefault="008E4758" w:rsidP="008E4758">
      <w:pPr>
        <w:ind w:firstLine="0"/>
      </w:pPr>
      <w:r w:rsidRPr="0021550A">
        <w:rPr>
          <w:noProof/>
          <w:lang w:eastAsia="en-GB"/>
        </w:rPr>
        <w:drawing>
          <wp:inline distT="0" distB="0" distL="0" distR="0" wp14:anchorId="1B32D14D" wp14:editId="22AF7D1D">
            <wp:extent cx="4653936" cy="57751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7-05-20 at 13.45.56.png"/>
                    <pic:cNvPicPr/>
                  </pic:nvPicPr>
                  <pic:blipFill rotWithShape="1">
                    <a:blip r:embed="rId48">
                      <a:extLst>
                        <a:ext uri="{28A0092B-C50C-407E-A947-70E740481C1C}">
                          <a14:useLocalDpi xmlns:a14="http://schemas.microsoft.com/office/drawing/2010/main"/>
                        </a:ext>
                      </a:extLst>
                    </a:blip>
                    <a:srcRect/>
                    <a:stretch/>
                  </pic:blipFill>
                  <pic:spPr bwMode="auto">
                    <a:xfrm>
                      <a:off x="0" y="0"/>
                      <a:ext cx="4653936" cy="577515"/>
                    </a:xfrm>
                    <a:prstGeom prst="rect">
                      <a:avLst/>
                    </a:prstGeom>
                    <a:ln>
                      <a:noFill/>
                    </a:ln>
                    <a:extLst>
                      <a:ext uri="{53640926-AAD7-44D8-BBD7-CCE9431645EC}">
                        <a14:shadowObscured xmlns:a14="http://schemas.microsoft.com/office/drawing/2010/main"/>
                      </a:ext>
                    </a:extLst>
                  </pic:spPr>
                </pic:pic>
              </a:graphicData>
            </a:graphic>
          </wp:inline>
        </w:drawing>
      </w:r>
    </w:p>
    <w:p w14:paraId="2B6A40CB" w14:textId="77777777" w:rsidR="008E4758" w:rsidRPr="0021550A" w:rsidRDefault="008E4758" w:rsidP="008E4758">
      <w:r>
        <w:rPr>
          <w:i/>
        </w:rPr>
        <w:tab/>
      </w:r>
      <w:r>
        <w:rPr>
          <w:i/>
        </w:rPr>
        <w:tab/>
      </w:r>
      <w:r>
        <w:rPr>
          <w:i/>
        </w:rPr>
        <w:tab/>
      </w:r>
      <w:r>
        <w:rPr>
          <w:i/>
        </w:rPr>
        <w:tab/>
      </w:r>
      <w:r>
        <w:rPr>
          <w:i/>
        </w:rPr>
        <w:tab/>
      </w:r>
      <w:r w:rsidRPr="005560E9">
        <w:rPr>
          <w:i/>
        </w:rPr>
        <w:t>berynge</w:t>
      </w:r>
    </w:p>
    <w:p w14:paraId="2644733B" w14:textId="0C664633" w:rsidR="008E4758" w:rsidRPr="0021550A" w:rsidRDefault="004031F0" w:rsidP="008E4758">
      <w:pPr>
        <w:pStyle w:val="Caption"/>
      </w:pPr>
      <w:bookmarkStart w:id="117" w:name="_Toc499753530"/>
      <w:r>
        <w:t>Figure 4.25:</w:t>
      </w:r>
      <w:r w:rsidR="008E4758" w:rsidRPr="0021550A">
        <w:t xml:space="preserve"> Graphical representation of </w:t>
      </w:r>
      <w:r w:rsidR="008E4758" w:rsidRPr="0021550A">
        <w:rPr>
          <w:i/>
        </w:rPr>
        <w:t>berynge</w:t>
      </w:r>
      <w:r w:rsidR="008E4758" w:rsidRPr="0021550A">
        <w:t xml:space="preserve"> in </w:t>
      </w:r>
      <w:r w:rsidR="00F90A3F">
        <w:t xml:space="preserve">quires </w:t>
      </w:r>
      <w:r w:rsidR="008E4758" w:rsidRPr="0021550A">
        <w:t xml:space="preserve">of the </w:t>
      </w:r>
      <w:r w:rsidR="008E4758" w:rsidRPr="0021550A">
        <w:rPr>
          <w:i/>
        </w:rPr>
        <w:t>Polychronicon</w:t>
      </w:r>
      <w:bookmarkEnd w:id="117"/>
    </w:p>
    <w:p w14:paraId="2B055CDA" w14:textId="77777777" w:rsidR="008E4758" w:rsidRPr="0021550A" w:rsidRDefault="008E4758" w:rsidP="008E4758"/>
    <w:p w14:paraId="07C7D670" w14:textId="260288CA" w:rsidR="008E4758" w:rsidRPr="0021550A" w:rsidRDefault="008E4758" w:rsidP="008E4758">
      <w:r w:rsidRPr="0021550A">
        <w:t xml:space="preserve">Remembering that each point on the graph in </w:t>
      </w:r>
      <w:r w:rsidR="004031F0">
        <w:t>Figure 4.25</w:t>
      </w:r>
      <w:r w:rsidRPr="0021550A">
        <w:t xml:space="preserve"> can only be a whole number, the points for Quire 1 and Quire 2 collectively take up 2 out of the possible 10 slots in this dimension. The data therefore takes up 20% of all available space. We can expand our space into two dimensions, and include another spelling variant. This time, we will include the variant </w:t>
      </w:r>
      <w:r w:rsidRPr="0021550A">
        <w:rPr>
          <w:i/>
        </w:rPr>
        <w:t>beryng</w:t>
      </w:r>
      <w:r w:rsidRPr="0021550A">
        <w:t xml:space="preserve">. The </w:t>
      </w:r>
      <w:r w:rsidR="00F47CEF">
        <w:t xml:space="preserve">two-dimensional </w:t>
      </w:r>
      <w:r w:rsidRPr="0021550A">
        <w:t xml:space="preserve">plot of </w:t>
      </w:r>
      <w:r w:rsidRPr="0021550A">
        <w:rPr>
          <w:i/>
        </w:rPr>
        <w:t>berynge</w:t>
      </w:r>
      <w:r w:rsidRPr="0021550A">
        <w:t xml:space="preserve"> and </w:t>
      </w:r>
      <w:r w:rsidRPr="0021550A">
        <w:rPr>
          <w:i/>
        </w:rPr>
        <w:t>beryng</w:t>
      </w:r>
      <w:r w:rsidRPr="0021550A">
        <w:t xml:space="preserve"> for Quires 1 and 2 of the </w:t>
      </w:r>
      <w:r w:rsidRPr="0021550A">
        <w:rPr>
          <w:i/>
        </w:rPr>
        <w:t xml:space="preserve">Polychronicon </w:t>
      </w:r>
      <w:r w:rsidRPr="0021550A">
        <w:t xml:space="preserve">is presented in </w:t>
      </w:r>
      <w:r w:rsidR="004031F0">
        <w:t>Figure 4.26.</w:t>
      </w:r>
      <w:r w:rsidRPr="0021550A">
        <w:t xml:space="preserve"> </w:t>
      </w:r>
    </w:p>
    <w:p w14:paraId="6569F928" w14:textId="4A46704B" w:rsidR="00F47CEF" w:rsidRPr="0021550A" w:rsidRDefault="00F47CEF" w:rsidP="00F47CEF">
      <w:r w:rsidRPr="0021550A">
        <w:t xml:space="preserve">When the data was in one dimension, the two points took up 20% of available space. However, in </w:t>
      </w:r>
      <w:r w:rsidR="004031F0">
        <w:t>Figure 4.26</w:t>
      </w:r>
      <w:r w:rsidRPr="0021550A">
        <w:t xml:space="preserve"> there are 100 available slots that any points can occupy. The two points in two-dimensional space take up 2% of the possible space. If we want to compare the two quires based on three spelling variants at once, we can also include a dimension for </w:t>
      </w:r>
      <w:r w:rsidRPr="0021550A">
        <w:rPr>
          <w:i/>
        </w:rPr>
        <w:t xml:space="preserve">beryeng </w:t>
      </w:r>
      <w:r w:rsidRPr="0021550A">
        <w:t>and visualise the data in three dimensions. In three dimensions, there are 10</w:t>
      </w:r>
      <w:r w:rsidRPr="0021550A">
        <w:rPr>
          <w:vertAlign w:val="superscript"/>
        </w:rPr>
        <w:t>3</w:t>
      </w:r>
      <w:r w:rsidRPr="0021550A">
        <w:t xml:space="preserve"> available slots, and so there are 1,000 possible points that the data could fill. </w:t>
      </w:r>
      <w:r w:rsidRPr="0021550A">
        <w:lastRenderedPageBreak/>
        <w:t xml:space="preserve">In this case, the two quires take up 2 slots from the possible 1,000 thereby occupying 0.2% of all the available space. </w:t>
      </w:r>
    </w:p>
    <w:p w14:paraId="187A45DB" w14:textId="77777777" w:rsidR="008E4758" w:rsidRPr="0021550A" w:rsidRDefault="008E4758" w:rsidP="008E4758"/>
    <w:p w14:paraId="25D69AC2" w14:textId="56C10915" w:rsidR="008E4758" w:rsidRPr="0021550A" w:rsidRDefault="008E4758" w:rsidP="008E4758">
      <w:r w:rsidRPr="0021550A">
        <w:rPr>
          <w:noProof/>
          <w:lang w:eastAsia="en-GB"/>
        </w:rPr>
        <w:drawing>
          <wp:inline distT="0" distB="0" distL="0" distR="0" wp14:anchorId="5E354105" wp14:editId="6CAFF88F">
            <wp:extent cx="2681781" cy="2527157"/>
            <wp:effectExtent l="0" t="0" r="1079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7-05-20 at 14.26.53.png"/>
                    <pic:cNvPicPr/>
                  </pic:nvPicPr>
                  <pic:blipFill rotWithShape="1">
                    <a:blip r:embed="rId49">
                      <a:extLst>
                        <a:ext uri="{28A0092B-C50C-407E-A947-70E740481C1C}">
                          <a14:useLocalDpi xmlns:a14="http://schemas.microsoft.com/office/drawing/2010/main"/>
                        </a:ext>
                      </a:extLst>
                    </a:blip>
                    <a:srcRect/>
                    <a:stretch/>
                  </pic:blipFill>
                  <pic:spPr bwMode="auto">
                    <a:xfrm>
                      <a:off x="0" y="0"/>
                      <a:ext cx="2720628" cy="2563764"/>
                    </a:xfrm>
                    <a:prstGeom prst="rect">
                      <a:avLst/>
                    </a:prstGeom>
                    <a:ln>
                      <a:noFill/>
                    </a:ln>
                    <a:extLst>
                      <a:ext uri="{53640926-AAD7-44D8-BBD7-CCE9431645EC}">
                        <a14:shadowObscured xmlns:a14="http://schemas.microsoft.com/office/drawing/2010/main"/>
                      </a:ext>
                    </a:extLst>
                  </pic:spPr>
                </pic:pic>
              </a:graphicData>
            </a:graphic>
          </wp:inline>
        </w:drawing>
      </w:r>
    </w:p>
    <w:p w14:paraId="34FBC0CB" w14:textId="43770767" w:rsidR="008E4758" w:rsidRPr="0021550A" w:rsidRDefault="004031F0" w:rsidP="008E4758">
      <w:pPr>
        <w:pStyle w:val="Caption"/>
      </w:pPr>
      <w:bookmarkStart w:id="118" w:name="_Toc499753531"/>
      <w:r>
        <w:t>Figure 4.26</w:t>
      </w:r>
      <w:r w:rsidR="008E4758" w:rsidRPr="0021550A">
        <w:t xml:space="preserve"> Graphical representation of </w:t>
      </w:r>
      <w:r w:rsidR="008E4758" w:rsidRPr="0021550A">
        <w:rPr>
          <w:i/>
        </w:rPr>
        <w:t>berynge</w:t>
      </w:r>
      <w:r w:rsidR="008E4758" w:rsidRPr="0021550A">
        <w:t xml:space="preserve"> and </w:t>
      </w:r>
      <w:r w:rsidR="008E4758" w:rsidRPr="0021550A">
        <w:rPr>
          <w:i/>
        </w:rPr>
        <w:t>beryng</w:t>
      </w:r>
      <w:r w:rsidR="008E4758" w:rsidRPr="0021550A">
        <w:t xml:space="preserve"> in </w:t>
      </w:r>
      <w:r w:rsidR="00004D21">
        <w:t>quires</w:t>
      </w:r>
      <w:r w:rsidR="008E4758" w:rsidRPr="0021550A">
        <w:t xml:space="preserve"> of the </w:t>
      </w:r>
      <w:r w:rsidR="008E4758" w:rsidRPr="0021550A">
        <w:rPr>
          <w:i/>
        </w:rPr>
        <w:t>Polychronicon</w:t>
      </w:r>
      <w:bookmarkEnd w:id="118"/>
    </w:p>
    <w:p w14:paraId="39200E0E" w14:textId="77777777" w:rsidR="008E4758" w:rsidRPr="0021550A" w:rsidRDefault="008E4758" w:rsidP="008E4758"/>
    <w:p w14:paraId="1A176B4B" w14:textId="77777777" w:rsidR="008E4758" w:rsidRPr="0021550A" w:rsidRDefault="008E4758" w:rsidP="008E4758">
      <w:r w:rsidRPr="0021550A">
        <w:t>For every dimension that we add, the amount of space increases exponentially, but the number of quires remains the same. When we have one dimension, the space has 10</w:t>
      </w:r>
      <w:r w:rsidRPr="0021550A">
        <w:rPr>
          <w:vertAlign w:val="superscript"/>
        </w:rPr>
        <w:t>1</w:t>
      </w:r>
      <w:r w:rsidRPr="0021550A">
        <w:t xml:space="preserve"> available slots, when there were two dimensions we have 10</w:t>
      </w:r>
      <w:r w:rsidRPr="0021550A">
        <w:rPr>
          <w:vertAlign w:val="superscript"/>
        </w:rPr>
        <w:t>2</w:t>
      </w:r>
      <w:r w:rsidRPr="0021550A">
        <w:t xml:space="preserve"> available slots, for three dimensions, there are 10</w:t>
      </w:r>
      <w:r w:rsidRPr="0021550A">
        <w:rPr>
          <w:vertAlign w:val="superscript"/>
        </w:rPr>
        <w:t>3</w:t>
      </w:r>
      <w:r w:rsidRPr="0021550A">
        <w:t xml:space="preserve"> available slots, and so on. By increasing the number of spelling variants from just 1 to 3, we have drastically reduced the amount of space taken up by two quires relative to the available space, from 20% in one dimension to 0.2% in three dimensions. The drastic reduction in the amount of space that quires take up when plotted in multi-dimensional space is not a trivial matter. The volume of space that the quires inhabit increases exponentially with an increase in dimensions, but as we saw in Section </w:t>
      </w:r>
      <w:r>
        <w:fldChar w:fldCharType="begin"/>
      </w:r>
      <w:r>
        <w:instrText xml:space="preserve"> REF _Ref490836644 \r </w:instrText>
      </w:r>
      <w:r>
        <w:fldChar w:fldCharType="separate"/>
      </w:r>
      <w:r w:rsidR="00D11844">
        <w:t>4.4.1</w:t>
      </w:r>
      <w:r>
        <w:fldChar w:fldCharType="end"/>
      </w:r>
      <w:r w:rsidRPr="0021550A">
        <w:t xml:space="preserve"> the distance between quires also increases. The density of the quires decreases in reverse proportion to the increase in dimensions. Thus, the low density of quires matters because density-based clustering algorithms group only quires in areas of relatively high density. </w:t>
      </w:r>
    </w:p>
    <w:p w14:paraId="0F7BEE72" w14:textId="77777777" w:rsidR="008E4758" w:rsidRPr="0021550A" w:rsidRDefault="008E4758" w:rsidP="008E4758">
      <w:r w:rsidRPr="0021550A">
        <w:t xml:space="preserve">The scale of the low-density issue becomes clear when we consider the quires used in a real text. The text of the </w:t>
      </w:r>
      <w:r w:rsidRPr="0021550A">
        <w:rPr>
          <w:i/>
        </w:rPr>
        <w:t>Polychronicon</w:t>
      </w:r>
      <w:r w:rsidRPr="0021550A">
        <w:t xml:space="preserve"> contains 55 quires in total, and runs to 2,154 spelling variants. The ratios for the spelling variants are limited to between 0 and 1 (and this study limits the reporting of ratios to two decimal places). If each dimension has 100 available slots between 0 and 1, and each of the 55 quires takes up one slot in each </w:t>
      </w:r>
      <w:r w:rsidRPr="0021550A">
        <w:lastRenderedPageBreak/>
        <w:t>dimension, the 55 quires have 10</w:t>
      </w:r>
      <w:r w:rsidRPr="0021550A">
        <w:rPr>
          <w:vertAlign w:val="superscript"/>
        </w:rPr>
        <w:t>2,155</w:t>
      </w:r>
      <w:r w:rsidRPr="0021550A">
        <w:t xml:space="preserve"> possible slots to fill.</w:t>
      </w:r>
      <w:r w:rsidRPr="005C54CE">
        <w:rPr>
          <w:rStyle w:val="FootnoteReference"/>
        </w:rPr>
        <w:footnoteReference w:id="13"/>
      </w:r>
      <w:r w:rsidRPr="0021550A">
        <w:t xml:space="preserve"> Of course, some quires will have the same value for the ratio in the dimension for a particular spelling variant, and so the actual space taken up by the quires will be less still. Because these 55 objects take up an incredibly small amount of the available space, it is possible that an algorithm that clusters data based on the density of the data will struggle to discern more than one cluster from a dataset. If the density-based algorithm fails to cluster the objects due to the number of dimensions, the algorithm will state either that all the objects belong to one single cluster, or that all objects are outliers and that no clusters exist. </w:t>
      </w:r>
    </w:p>
    <w:p w14:paraId="40FB1A8E" w14:textId="77777777" w:rsidR="008E4758" w:rsidRDefault="008E4758" w:rsidP="00114E61"/>
    <w:p w14:paraId="67E1B750" w14:textId="55CA26F9" w:rsidR="00270296" w:rsidRDefault="00270296" w:rsidP="00270296">
      <w:pPr>
        <w:pStyle w:val="Heading2"/>
      </w:pPr>
      <w:bookmarkStart w:id="119" w:name="_Ref496278574"/>
      <w:bookmarkStart w:id="120" w:name="_Toc497899854"/>
      <w:r>
        <w:t>Limitations of quantitative analysis</w:t>
      </w:r>
      <w:bookmarkEnd w:id="119"/>
      <w:bookmarkEnd w:id="120"/>
    </w:p>
    <w:p w14:paraId="161AEF73" w14:textId="3A18F769" w:rsidR="00696C37" w:rsidRDefault="00665568" w:rsidP="00270296">
      <w:r>
        <w:t>One of the original contributions of this thesis is the set of methods that have been developed for exploring changes and extent to which changes take place in spelling variations within i</w:t>
      </w:r>
      <w:r w:rsidR="006C5E8B">
        <w:t>ndividual texts.</w:t>
      </w:r>
      <w:r w:rsidR="00696C37">
        <w:t xml:space="preserve"> </w:t>
      </w:r>
      <w:r w:rsidR="006C5E8B">
        <w:t>T</w:t>
      </w:r>
      <w:r w:rsidR="00696C37">
        <w:t xml:space="preserve">hese methods can be combined to explore the printing processes and editorial practices undertaken by Caxton more widely. While these methods have been developed and amended for use specifically for use on spelling variation (see Chapter 5 and Chapter 6 for further detail), there are limitations to the data that must be addressed. The limitations arise at several different points during the research process, and this section will discuss each of them in turn. </w:t>
      </w:r>
    </w:p>
    <w:p w14:paraId="7F44EFA3" w14:textId="5993257D" w:rsidR="009203F2" w:rsidRDefault="00FA00EA" w:rsidP="00270296">
      <w:r>
        <w:t xml:space="preserve">Within the cluster analysis of Caxton’s works, the texts are divided into quires for clustering. Quires were selected for this study because they are small enough to provide </w:t>
      </w:r>
      <w:r w:rsidR="00F3755B">
        <w:lastRenderedPageBreak/>
        <w:t>enough</w:t>
      </w:r>
      <w:r w:rsidR="003D66A4">
        <w:t xml:space="preserve"> sections of text for cluster analysis to be meaningful, but the quires are also large enough to include </w:t>
      </w:r>
      <w:r w:rsidR="00F3755B">
        <w:t xml:space="preserve">sufficient spellings </w:t>
      </w:r>
      <w:r w:rsidR="006A2745">
        <w:t xml:space="preserve">to make the clustering possible. As </w:t>
      </w:r>
      <w:r w:rsidR="00F3755B">
        <w:t>unit</w:t>
      </w:r>
      <w:r w:rsidR="006A2745">
        <w:t>s</w:t>
      </w:r>
      <w:r w:rsidR="00F3755B">
        <w:t xml:space="preserve"> of measurement, quires work well for the cluster analysis but quires are not that small. </w:t>
      </w:r>
      <w:r w:rsidR="00763533">
        <w:t xml:space="preserve">For example, </w:t>
      </w:r>
      <w:r w:rsidR="00F3755B">
        <w:t xml:space="preserve">Quire 36 of the </w:t>
      </w:r>
      <w:r w:rsidR="00F3755B">
        <w:rPr>
          <w:i/>
        </w:rPr>
        <w:t>Polychronicon</w:t>
      </w:r>
      <w:r w:rsidR="00F3755B">
        <w:t xml:space="preserve"> contains over eleven thousand words, and if a change in spellings takes place within a quire the current method of analysis is unable to capture this change. While in most cases a change on such a small scale is unlikely, it c</w:t>
      </w:r>
      <w:r w:rsidR="00BA4D54">
        <w:t xml:space="preserve">ould happen. In Caxton’s edition of </w:t>
      </w:r>
      <w:r w:rsidR="00281838">
        <w:t xml:space="preserve">Chaucer’s </w:t>
      </w:r>
      <w:r w:rsidR="00281838">
        <w:rPr>
          <w:i/>
        </w:rPr>
        <w:t>House of Fame—</w:t>
      </w:r>
      <w:r w:rsidR="00763533">
        <w:t xml:space="preserve">which </w:t>
      </w:r>
      <w:r w:rsidR="00ED0D0F">
        <w:t>he</w:t>
      </w:r>
      <w:r w:rsidR="00763533">
        <w:t xml:space="preserve"> </w:t>
      </w:r>
      <w:r w:rsidR="00281838">
        <w:t xml:space="preserve">titled </w:t>
      </w:r>
      <w:r w:rsidR="00BA4D54">
        <w:t xml:space="preserve">the </w:t>
      </w:r>
      <w:r w:rsidR="00281838">
        <w:rPr>
          <w:i/>
        </w:rPr>
        <w:t>Book</w:t>
      </w:r>
      <w:r w:rsidR="00BA4D54">
        <w:rPr>
          <w:i/>
        </w:rPr>
        <w:t xml:space="preserve"> of Fame</w:t>
      </w:r>
      <w:r w:rsidR="00281838">
        <w:t xml:space="preserve"> </w:t>
      </w:r>
      <w:r w:rsidR="00ED0D0F">
        <w:t>in his</w:t>
      </w:r>
      <w:r w:rsidR="00281838">
        <w:t xml:space="preserve"> edition—there </w:t>
      </w:r>
      <w:r w:rsidR="00BA4D54">
        <w:t xml:space="preserve">is a poem at the end of the text which has been </w:t>
      </w:r>
      <w:r w:rsidR="00ED0D0F">
        <w:t>attributed</w:t>
      </w:r>
      <w:r w:rsidR="00BA4D54">
        <w:t xml:space="preserve"> to Caxton</w:t>
      </w:r>
      <w:r w:rsidR="00930523">
        <w:t>, and it would be interesting to see how similar the spellings in this poem are to the rest of the text. However,</w:t>
      </w:r>
      <w:r w:rsidR="00BA4D54">
        <w:t xml:space="preserve"> because the poem is so short (less than a page in length—far shorter than a quire) the current analysis cannot capture enough spellings to </w:t>
      </w:r>
      <w:r w:rsidR="00930523">
        <w:t xml:space="preserve">determine the similarity between the spellings in the poem compared with the rest of the text. </w:t>
      </w:r>
      <w:r w:rsidR="00383B1D">
        <w:t xml:space="preserve">Within Caxton’s edition of Lydgate’s </w:t>
      </w:r>
      <w:r w:rsidR="00383B1D">
        <w:rPr>
          <w:i/>
        </w:rPr>
        <w:t>Life of our Lady</w:t>
      </w:r>
      <w:r w:rsidR="00383B1D">
        <w:t xml:space="preserve"> the text includes t</w:t>
      </w:r>
      <w:r w:rsidR="006A2745">
        <w:t>w</w:t>
      </w:r>
      <w:r w:rsidR="00383B1D">
        <w:t xml:space="preserve">o poems that have also been attributed to Caxton, but again because these two poems combined are shorter than the length of a quire, it is not possible to use the current methods to find out how similar the spellings are for these poems compared with the rest of the text. </w:t>
      </w:r>
      <w:r w:rsidR="004C2499">
        <w:t xml:space="preserve">Finally, in Caxton’s edition of the </w:t>
      </w:r>
      <w:r w:rsidR="004C2499">
        <w:rPr>
          <w:i/>
        </w:rPr>
        <w:t>History of Jason</w:t>
      </w:r>
      <w:r w:rsidR="009D06E8">
        <w:t xml:space="preserve">, there are several pages in the first quire that appear to have been typeset by a different compositor, but again this section of text is too short for comparison with the rest of the text. </w:t>
      </w:r>
      <w:r w:rsidR="0026056D">
        <w:t xml:space="preserve">While these limitations reduce the scope of this work to sections of text that are a quire’s length or longer, </w:t>
      </w:r>
      <w:r w:rsidR="00533D4C">
        <w:t xml:space="preserve">these methods provide a </w:t>
      </w:r>
      <w:r w:rsidR="006A2745">
        <w:t xml:space="preserve">significant </w:t>
      </w:r>
      <w:r w:rsidR="00533D4C">
        <w:t xml:space="preserve">stepping stone into researching the spelling changes that take place in smaller sections of text. </w:t>
      </w:r>
    </w:p>
    <w:p w14:paraId="44EBC2E6" w14:textId="0BB02024" w:rsidR="00533D4C" w:rsidRDefault="00533D4C" w:rsidP="00270296">
      <w:r>
        <w:t xml:space="preserve">Finally, within the cluster analysis itself it can be difficult to determine whether a change in spellings has taken place because of a change in compositor or a change in the copy text. In many cases </w:t>
      </w:r>
      <w:r w:rsidR="00C91506">
        <w:t>either</w:t>
      </w:r>
      <w:r>
        <w:t xml:space="preserve"> the compositor or the copy text is more likely </w:t>
      </w:r>
      <w:r w:rsidR="00C91506">
        <w:t>to have changed tha</w:t>
      </w:r>
      <w:r w:rsidR="00520544">
        <w:t xml:space="preserve">n the other, for example if a change in spellings takes place at a point where a change in compositors is unlikely to have occurred, such as mid-way through a sentence, then the change is likely to be in the copy text. However, there are some cases in which it can be difficult to determine which source of spelling input is the most likely to have changed. If a change in spellings takes place midway through a text at the beginning of a new section of the book such as a new chapter, it could be the case that the new section was the dividing point for copy between compositors, but it could also be where two copy texts were joined together. The present analysis is not able to account for which of these scenarios is the most likely. However, to prevent misinterpretation of the results, wherever possible I have supplemented the analysis with bibliographic research, either through the </w:t>
      </w:r>
      <w:r w:rsidR="00520544">
        <w:rPr>
          <w:i/>
        </w:rPr>
        <w:t>BMC</w:t>
      </w:r>
      <w:r w:rsidR="00520544">
        <w:t xml:space="preserve">: </w:t>
      </w:r>
      <w:r w:rsidR="00520544" w:rsidRPr="004C659C">
        <w:rPr>
          <w:i/>
        </w:rPr>
        <w:t>Catalogue of books printed in the XVth century now in the British Library</w:t>
      </w:r>
      <w:r w:rsidR="004C659C">
        <w:rPr>
          <w:i/>
        </w:rPr>
        <w:t xml:space="preserve"> </w:t>
      </w:r>
      <w:r w:rsidR="004E04D5">
        <w:t>or through other secondary bibliographical research into the texts in question. In some cases it i</w:t>
      </w:r>
      <w:r w:rsidR="00594422">
        <w:t xml:space="preserve">s not </w:t>
      </w:r>
      <w:r w:rsidR="00594422">
        <w:lastRenderedPageBreak/>
        <w:t xml:space="preserve">possible to be sure which source of spellings has changed, and in those cases I have made the ambiguity in the potential analyses clear. These limitations necessarily shape some of the analysis and impact on the outcomes of the cluster analysis and the similarity measurements, however the research design has been amended to account for these limitations wherever possible. </w:t>
      </w:r>
    </w:p>
    <w:p w14:paraId="59426D1A" w14:textId="77777777" w:rsidR="00270296" w:rsidRDefault="00270296" w:rsidP="002B24C0">
      <w:pPr>
        <w:ind w:firstLine="0"/>
      </w:pPr>
    </w:p>
    <w:p w14:paraId="0EC76585" w14:textId="0680191B" w:rsidR="007F1975" w:rsidRDefault="007F1975" w:rsidP="000737CB">
      <w:pPr>
        <w:pStyle w:val="Heading2"/>
      </w:pPr>
      <w:bookmarkStart w:id="121" w:name="_Toc497899855"/>
      <w:r>
        <w:t xml:space="preserve">Chapter </w:t>
      </w:r>
      <w:bookmarkEnd w:id="121"/>
      <w:r w:rsidR="006A2745">
        <w:t>conclusions</w:t>
      </w:r>
    </w:p>
    <w:p w14:paraId="12C7BA9D" w14:textId="583D446A" w:rsidR="0075112E" w:rsidRDefault="00594422" w:rsidP="00FF36ED">
      <w:r>
        <w:t xml:space="preserve">This chapter has </w:t>
      </w:r>
      <w:r w:rsidR="00260C36">
        <w:t>presented</w:t>
      </w:r>
      <w:r>
        <w:t xml:space="preserve"> the quantitative approach used in the rest of this thesis</w:t>
      </w:r>
      <w:r w:rsidR="006A2745">
        <w:t xml:space="preserve">. </w:t>
      </w:r>
      <w:r w:rsidR="00751A85">
        <w:t xml:space="preserve">In Section </w:t>
      </w:r>
      <w:r w:rsidR="00751A85">
        <w:fldChar w:fldCharType="begin"/>
      </w:r>
      <w:r w:rsidR="00751A85">
        <w:instrText xml:space="preserve"> REF _Ref496270130 \r </w:instrText>
      </w:r>
      <w:r w:rsidR="00751A85">
        <w:fldChar w:fldCharType="separate"/>
      </w:r>
      <w:r w:rsidR="00D11844">
        <w:t>4.1</w:t>
      </w:r>
      <w:r w:rsidR="00751A85">
        <w:fldChar w:fldCharType="end"/>
      </w:r>
      <w:r w:rsidR="00751A85">
        <w:t xml:space="preserve">, this chapter discussed the processes of data selection that were undertaken to acquire the necessary texts for this work. In Section </w:t>
      </w:r>
      <w:r w:rsidR="00751A85">
        <w:fldChar w:fldCharType="begin"/>
      </w:r>
      <w:r w:rsidR="00751A85">
        <w:instrText xml:space="preserve"> REF _Ref496278569 \r </w:instrText>
      </w:r>
      <w:r w:rsidR="00751A85">
        <w:fldChar w:fldCharType="separate"/>
      </w:r>
      <w:r w:rsidR="00D11844">
        <w:t>4.2</w:t>
      </w:r>
      <w:r w:rsidR="00751A85">
        <w:fldChar w:fldCharType="end"/>
      </w:r>
      <w:r w:rsidR="00751A85">
        <w:t xml:space="preserve">, I detailed the preparation that the texts had to undergo before analysis, including the annotation of the data with their Present Day Standard English equivalent forms, and the processes of cleaning the data that were also undertaken. In Section </w:t>
      </w:r>
      <w:r w:rsidR="00751A85">
        <w:fldChar w:fldCharType="begin"/>
      </w:r>
      <w:r w:rsidR="00751A85">
        <w:instrText xml:space="preserve"> REF _Ref495654932 \r </w:instrText>
      </w:r>
      <w:r w:rsidR="00751A85">
        <w:fldChar w:fldCharType="separate"/>
      </w:r>
      <w:r w:rsidR="00D11844">
        <w:t>4.3</w:t>
      </w:r>
      <w:r w:rsidR="00751A85">
        <w:fldChar w:fldCharType="end"/>
      </w:r>
      <w:r w:rsidR="00751A85">
        <w:t xml:space="preserve"> this chapter discussed in detail the necessary processes of </w:t>
      </w:r>
      <w:r w:rsidR="00393D6F">
        <w:t xml:space="preserve">turning the data into numbers, and the bag-of-words model that was used to achieve this end. Additionally this section discussed the use of ratios to create a </w:t>
      </w:r>
      <w:r w:rsidR="00FF36ED">
        <w:t>relationship between the</w:t>
      </w:r>
      <w:r w:rsidR="00393D6F">
        <w:t xml:space="preserve"> spelling variants </w:t>
      </w:r>
      <w:r w:rsidR="00FF36ED">
        <w:t>and</w:t>
      </w:r>
      <w:r w:rsidR="00393D6F">
        <w:t xml:space="preserve"> the word that they are used to represent. </w:t>
      </w:r>
      <w:r w:rsidR="00FF36ED">
        <w:t xml:space="preserve">Section </w:t>
      </w:r>
      <w:r w:rsidR="00FF36ED">
        <w:fldChar w:fldCharType="begin"/>
      </w:r>
      <w:r w:rsidR="00FF36ED">
        <w:instrText xml:space="preserve"> REF _Ref498704164 \r </w:instrText>
      </w:r>
      <w:r w:rsidR="00FF36ED">
        <w:fldChar w:fldCharType="separate"/>
      </w:r>
      <w:r w:rsidR="00D11844">
        <w:t>4.4</w:t>
      </w:r>
      <w:r w:rsidR="00FF36ED">
        <w:fldChar w:fldCharType="end"/>
      </w:r>
      <w:r w:rsidR="00FF36ED">
        <w:t xml:space="preserve"> discusses the issues that are introduced into the analysis through the use of high-dimensionality data. </w:t>
      </w:r>
      <w:r w:rsidR="00393D6F">
        <w:t xml:space="preserve">Finally in Section </w:t>
      </w:r>
      <w:r w:rsidR="00751A85">
        <w:fldChar w:fldCharType="begin"/>
      </w:r>
      <w:r w:rsidR="00751A85">
        <w:instrText xml:space="preserve"> REF _Ref496278574 \r </w:instrText>
      </w:r>
      <w:r w:rsidR="00751A85">
        <w:fldChar w:fldCharType="separate"/>
      </w:r>
      <w:r w:rsidR="00D11844">
        <w:t>4.5</w:t>
      </w:r>
      <w:r w:rsidR="00751A85">
        <w:fldChar w:fldCharType="end"/>
      </w:r>
      <w:r w:rsidR="00393D6F">
        <w:t xml:space="preserve"> this chapter discusses the limitations of the methodological approach taken in this thesis. The rest of Section Two explores the two methods introduced in this chapter in detail. Chapter 5 introduces the use of cluster analysis for locating the differences in spellings that take place within a text, followed by Chapter 6 which introduces the use of similarity measurements for determining the degree to which the spellings in sections o</w:t>
      </w:r>
      <w:r w:rsidR="008B401F">
        <w:t>f text differ from one another.</w:t>
      </w:r>
      <w:r w:rsidR="0075112E">
        <w:br w:type="page"/>
      </w:r>
    </w:p>
    <w:p w14:paraId="280B6441" w14:textId="7AC03DF8" w:rsidR="00FD3A62" w:rsidRPr="0021550A" w:rsidRDefault="00D5066D" w:rsidP="00173DDA">
      <w:pPr>
        <w:pStyle w:val="Heading1"/>
      </w:pPr>
      <w:bookmarkStart w:id="122" w:name="_Toc497899856"/>
      <w:r>
        <w:lastRenderedPageBreak/>
        <w:t xml:space="preserve">Research design – </w:t>
      </w:r>
      <w:r w:rsidR="002E6137">
        <w:t>c</w:t>
      </w:r>
      <w:r w:rsidR="00F937E7">
        <w:t>luster analysis</w:t>
      </w:r>
      <w:bookmarkEnd w:id="122"/>
    </w:p>
    <w:p w14:paraId="72B16D08" w14:textId="4DB226C0" w:rsidR="00FF36ED" w:rsidRDefault="00FD3A62" w:rsidP="000737CB">
      <w:r w:rsidRPr="0021550A">
        <w:t xml:space="preserve">This chapter introduces a method for investigating </w:t>
      </w:r>
      <w:r w:rsidR="00A75A31" w:rsidRPr="0021550A">
        <w:t xml:space="preserve">the </w:t>
      </w:r>
      <w:r w:rsidR="00FF36ED">
        <w:t xml:space="preserve">changes in spellings that take place when more than one compositor typeset a printed text or more than one scribe wrote the copy text. In such cases, the section of text that each compositor or scribe worked on will contain the idiolect spellings that belong to that individual. This chapter introduces the use of cluster analysis to determine how many people were involved in creating a text, and which section(s) of text each person created. </w:t>
      </w:r>
    </w:p>
    <w:p w14:paraId="449B359F" w14:textId="4928F042" w:rsidR="00A064B8" w:rsidRDefault="00A44E9B" w:rsidP="008E248C">
      <w:r w:rsidRPr="0021550A">
        <w:t>Cluster analysis is an approach used in exploratory data analysis</w:t>
      </w:r>
      <w:r w:rsidR="00EF46B8" w:rsidRPr="0021550A">
        <w:t>. At</w:t>
      </w:r>
      <w:r w:rsidR="00BE46B6" w:rsidRPr="0021550A">
        <w:t xml:space="preserve"> its most basic cluster analysis </w:t>
      </w:r>
      <w:r w:rsidR="005650EF">
        <w:t>(</w:t>
      </w:r>
      <w:r w:rsidR="00BE46B6" w:rsidRPr="0021550A">
        <w:t>or clustering</w:t>
      </w:r>
      <w:r w:rsidR="005650EF">
        <w:t>)</w:t>
      </w:r>
      <w:r w:rsidR="00BE46B6" w:rsidRPr="0021550A">
        <w:t xml:space="preserve"> is the process of gr</w:t>
      </w:r>
      <w:r w:rsidR="00EF46B8" w:rsidRPr="0021550A">
        <w:t>ouping similar objects together; t</w:t>
      </w:r>
      <w:r w:rsidR="00BE46B6" w:rsidRPr="0021550A">
        <w:t xml:space="preserve">he most similar objects to one another should be part of the same group, and objects that are relatively dissimilar to one another should be in different groups. </w:t>
      </w:r>
      <w:r w:rsidR="00EF46B8" w:rsidRPr="0021550A">
        <w:t xml:space="preserve">There are many ways in which we can decide whether objects are similar to each other or not, and so cluster analysis is a broad concept which covers a multitude of approaches and algorithms. Over recent years, cluster analysis has gained popularity as a method for linguistic research, particularly in the analysis of contemporary data </w:t>
      </w:r>
      <w:r w:rsidR="00A064B8">
        <w:t>(Csizér &amp; Jamieson 2012, Divjak &amp; Fieller 2014,</w:t>
      </w:r>
      <w:r w:rsidR="00A064B8" w:rsidRPr="00A064B8">
        <w:t xml:space="preserve"> Moisl 2015).</w:t>
      </w:r>
      <w:r w:rsidR="00EF46B8" w:rsidRPr="0021550A">
        <w:t xml:space="preserve"> </w:t>
      </w:r>
      <w:r w:rsidR="00A064B8" w:rsidRPr="00A064B8">
        <w:t>Michael Cysouw (2007) uses cluster analysis in the creation of typological indices, Wieling, Shackleton</w:t>
      </w:r>
      <w:r w:rsidR="005650EF">
        <w:t>,</w:t>
      </w:r>
      <w:r w:rsidR="00A064B8" w:rsidRPr="00A064B8">
        <w:t xml:space="preserve"> and Nerbonne (2013) use clustering to group together English dialects based on their phonetic features, Eder uses cluster analysis for the visualising networks within the field of stylometry (2017), and Gries and Hilpert identify stages in diachronic corpora using cluster analysis (2008). </w:t>
      </w:r>
    </w:p>
    <w:p w14:paraId="705BB266" w14:textId="6A92C2FB" w:rsidR="00D220DD" w:rsidRPr="0021550A" w:rsidRDefault="009A19F2" w:rsidP="00637BA0">
      <w:r w:rsidRPr="0021550A">
        <w:t xml:space="preserve">Cluster analysis is ideal for this study, because this approach allows us to compare all the spelling variants in a text simultaneously. </w:t>
      </w:r>
      <w:r w:rsidR="004321E3">
        <w:t xml:space="preserve">However, cluster </w:t>
      </w:r>
      <w:r w:rsidR="008E248C" w:rsidRPr="0021550A">
        <w:t xml:space="preserve">analysis has not been used on historical spelling data before. To determine which clustering approach is most suitable for the dataset and the research questions, I trial three types of clustering on spellings used in Caxton’s texts, and discuss the necessary modifications when using spelling data. In exploring these research questions, I argue that cluster analysis is a </w:t>
      </w:r>
      <w:r w:rsidR="005650EF">
        <w:t>valuable</w:t>
      </w:r>
      <w:r w:rsidR="008E248C" w:rsidRPr="0021550A">
        <w:t xml:space="preserve"> method for gaining insight into the sources of spelling variants used in Caxton’s printed te</w:t>
      </w:r>
      <w:r w:rsidR="004321E3">
        <w:t xml:space="preserve">xts. </w:t>
      </w:r>
      <w:r w:rsidR="00EA517B" w:rsidRPr="0021550A">
        <w:t xml:space="preserve">In making </w:t>
      </w:r>
      <w:r w:rsidR="00392F46" w:rsidRPr="0021550A">
        <w:t>my</w:t>
      </w:r>
      <w:r w:rsidR="00EA517B" w:rsidRPr="0021550A">
        <w:t xml:space="preserve"> argument, I</w:t>
      </w:r>
      <w:r w:rsidR="00D220DD" w:rsidRPr="0021550A">
        <w:t xml:space="preserve"> discuss the </w:t>
      </w:r>
      <w:r w:rsidR="00637BA0">
        <w:t xml:space="preserve">preparations made to the data for undertaking cluster analysis in Section </w:t>
      </w:r>
      <w:r w:rsidR="00637BA0">
        <w:fldChar w:fldCharType="begin"/>
      </w:r>
      <w:r w:rsidR="00637BA0">
        <w:instrText xml:space="preserve"> REF _Ref498588538 \r </w:instrText>
      </w:r>
      <w:r w:rsidR="00637BA0">
        <w:fldChar w:fldCharType="separate"/>
      </w:r>
      <w:r w:rsidR="00D11844">
        <w:t>5.1</w:t>
      </w:r>
      <w:r w:rsidR="00637BA0">
        <w:fldChar w:fldCharType="end"/>
      </w:r>
      <w:r w:rsidR="00637BA0">
        <w:t xml:space="preserve">, and detail the different algorithms that are available for cluster analysis in Section </w:t>
      </w:r>
      <w:r w:rsidR="00637BA0" w:rsidRPr="0021550A">
        <w:t>5.2</w:t>
      </w:r>
      <w:r w:rsidR="00637BA0">
        <w:t xml:space="preserve">. Section </w:t>
      </w:r>
      <w:r w:rsidR="00637BA0">
        <w:fldChar w:fldCharType="begin"/>
      </w:r>
      <w:r w:rsidR="00637BA0">
        <w:instrText xml:space="preserve"> REF _Ref498588622 \r </w:instrText>
      </w:r>
      <w:r w:rsidR="00637BA0">
        <w:fldChar w:fldCharType="separate"/>
      </w:r>
      <w:r w:rsidR="00D11844">
        <w:t>5.3</w:t>
      </w:r>
      <w:r w:rsidR="00637BA0">
        <w:fldChar w:fldCharType="end"/>
      </w:r>
      <w:r w:rsidR="00637BA0">
        <w:t xml:space="preserve"> discusses the amendments to the method that are required for clustering data that exists in high-dimensional space, and Section </w:t>
      </w:r>
      <w:r w:rsidR="00637BA0">
        <w:fldChar w:fldCharType="begin"/>
      </w:r>
      <w:r w:rsidR="00637BA0">
        <w:instrText xml:space="preserve"> REF _Ref497478756 \r </w:instrText>
      </w:r>
      <w:r w:rsidR="00637BA0">
        <w:fldChar w:fldCharType="separate"/>
      </w:r>
      <w:r w:rsidR="00D11844">
        <w:t>5.4</w:t>
      </w:r>
      <w:r w:rsidR="00637BA0">
        <w:fldChar w:fldCharType="end"/>
      </w:r>
      <w:r w:rsidR="00637BA0">
        <w:t xml:space="preserve"> trials three clustering algorithms on Caxton’s edition of </w:t>
      </w:r>
      <w:r w:rsidR="00637BA0">
        <w:rPr>
          <w:i/>
        </w:rPr>
        <w:t>Troilus and Criseyde</w:t>
      </w:r>
      <w:r w:rsidR="00637BA0">
        <w:t xml:space="preserve">. Finally, Section </w:t>
      </w:r>
      <w:r w:rsidR="00637BA0">
        <w:fldChar w:fldCharType="begin"/>
      </w:r>
      <w:r w:rsidR="00637BA0">
        <w:instrText xml:space="preserve"> REF _Ref497743535 \r </w:instrText>
      </w:r>
      <w:r w:rsidR="00637BA0">
        <w:fldChar w:fldCharType="separate"/>
      </w:r>
      <w:r w:rsidR="00D11844">
        <w:t>5.5</w:t>
      </w:r>
      <w:r w:rsidR="00637BA0">
        <w:fldChar w:fldCharType="end"/>
      </w:r>
      <w:r w:rsidR="00637BA0">
        <w:t xml:space="preserve"> discusses the adjustments to the method that are required when applying the method onto whole texts, rather than just smaller sections of text.</w:t>
      </w:r>
    </w:p>
    <w:p w14:paraId="7514403F" w14:textId="77777777" w:rsidR="00EA517B" w:rsidRPr="0021550A" w:rsidRDefault="00EA517B" w:rsidP="000737CB"/>
    <w:p w14:paraId="43C7BDB3" w14:textId="72CAE2E7" w:rsidR="008B271F" w:rsidRPr="0021550A" w:rsidRDefault="007B2E23" w:rsidP="000737CB">
      <w:pPr>
        <w:pStyle w:val="Heading2"/>
      </w:pPr>
      <w:bookmarkStart w:id="123" w:name="_Toc497899857"/>
      <w:bookmarkStart w:id="124" w:name="_Ref498440501"/>
      <w:bookmarkStart w:id="125" w:name="_Ref498588538"/>
      <w:r w:rsidRPr="0021550A">
        <w:lastRenderedPageBreak/>
        <w:t>Preparing the data for clustering</w:t>
      </w:r>
      <w:bookmarkEnd w:id="123"/>
      <w:bookmarkEnd w:id="124"/>
      <w:bookmarkEnd w:id="125"/>
    </w:p>
    <w:p w14:paraId="5ED19186" w14:textId="123AD8AE" w:rsidR="0055246E" w:rsidRDefault="00C02F40" w:rsidP="00326DB0">
      <w:r w:rsidRPr="0021550A">
        <w:t xml:space="preserve">Cluster analysis is used to </w:t>
      </w:r>
      <w:r w:rsidR="0056192F" w:rsidRPr="0021550A">
        <w:t>group together object</w:t>
      </w:r>
      <w:r w:rsidR="00B07858" w:rsidRPr="0021550A">
        <w:t xml:space="preserve">s that are similar in some way, and so to use cluster analysis we need the to create some objects that can be clustered together and we need a variable </w:t>
      </w:r>
      <w:r w:rsidR="00A80297" w:rsidRPr="0021550A">
        <w:t>that can be used to determine how similar these objects are</w:t>
      </w:r>
      <w:r w:rsidR="00B07858" w:rsidRPr="0021550A">
        <w:t xml:space="preserve">. </w:t>
      </w:r>
      <w:r w:rsidR="00B82EC8" w:rsidRPr="0021550A">
        <w:t xml:space="preserve">For this study, </w:t>
      </w:r>
      <w:r w:rsidR="00326DB0">
        <w:t xml:space="preserve">I want to find out whether there was a change in the compositor who typeset the text or the scribe who wrote the copy text. If a change did take place at either of these levels, I then </w:t>
      </w:r>
      <w:r w:rsidR="00B82EC8" w:rsidRPr="0021550A">
        <w:t xml:space="preserve">want to find out where in the text this change </w:t>
      </w:r>
      <w:r w:rsidR="00326DB0">
        <w:t xml:space="preserve">takes </w:t>
      </w:r>
      <w:r w:rsidR="00B82EC8" w:rsidRPr="0021550A">
        <w:t>place</w:t>
      </w:r>
      <w:r w:rsidR="00894BE9" w:rsidRPr="0021550A">
        <w:t xml:space="preserve"> before exploring the</w:t>
      </w:r>
      <w:r w:rsidR="002A147A" w:rsidRPr="0021550A">
        <w:t xml:space="preserve"> wider causes of the change. </w:t>
      </w:r>
      <w:r w:rsidR="00AF2A1E" w:rsidRPr="0021550A">
        <w:t xml:space="preserve">To undertake this research using cluster analysis, the objects that undergo clustering are sections of text of a given length, such as a page, a chapter, or larger fractions of the whole book. The variable that determines how similar the objects are to one another is spelling. The cluster analysis thus groups together </w:t>
      </w:r>
      <w:r w:rsidR="0055246E" w:rsidRPr="0021550A">
        <w:t>smaller parts</w:t>
      </w:r>
      <w:r w:rsidR="00AF2A1E" w:rsidRPr="0021550A">
        <w:t xml:space="preserve"> of </w:t>
      </w:r>
      <w:r w:rsidR="0055246E" w:rsidRPr="0021550A">
        <w:t xml:space="preserve">the </w:t>
      </w:r>
      <w:r w:rsidR="00AF2A1E" w:rsidRPr="0021550A">
        <w:t>text based on how similar the spellings a</w:t>
      </w:r>
      <w:r w:rsidR="0055246E" w:rsidRPr="0021550A">
        <w:t xml:space="preserve">re, and in doing so divides the text into larger sections that used similar spellings. </w:t>
      </w:r>
    </w:p>
    <w:p w14:paraId="157D4DBA" w14:textId="14830A5A" w:rsidR="00FE6B85" w:rsidRPr="0021550A" w:rsidRDefault="00326DB0" w:rsidP="000737CB">
      <w:r>
        <w:t xml:space="preserve">Where there are sections of a text that include different spellings to one another, </w:t>
      </w:r>
      <w:r w:rsidR="005650EF">
        <w:t>I suggest that more than one</w:t>
      </w:r>
      <w:r w:rsidR="00EF041E">
        <w:t xml:space="preserve"> orthographic idiolect </w:t>
      </w:r>
      <w:r w:rsidR="005650EF">
        <w:t>has</w:t>
      </w:r>
      <w:r w:rsidR="00EF041E">
        <w:t xml:space="preserve"> been used in creating the text, and thus different people were involved </w:t>
      </w:r>
      <w:r w:rsidR="00527008">
        <w:t>in creating those sections</w:t>
      </w:r>
      <w:r w:rsidR="00EF041E">
        <w:t xml:space="preserve">. </w:t>
      </w:r>
      <w:r w:rsidR="00FE6B85" w:rsidRPr="0021550A">
        <w:t xml:space="preserve">For example, we might </w:t>
      </w:r>
      <w:r w:rsidR="00A80297" w:rsidRPr="0021550A">
        <w:t>run a c</w:t>
      </w:r>
      <w:r w:rsidR="00FE6B85" w:rsidRPr="0021550A">
        <w:t>luster</w:t>
      </w:r>
      <w:r w:rsidR="00A80297" w:rsidRPr="0021550A">
        <w:t>ing algorithm on</w:t>
      </w:r>
      <w:r w:rsidR="00FE6B85" w:rsidRPr="0021550A">
        <w:t xml:space="preserve"> the spelling variants </w:t>
      </w:r>
      <w:r w:rsidR="0055246E" w:rsidRPr="0021550A">
        <w:t>used in</w:t>
      </w:r>
      <w:r w:rsidR="00FE6B85" w:rsidRPr="0021550A">
        <w:t xml:space="preserve"> Caxton’s edition of the </w:t>
      </w:r>
      <w:r w:rsidR="00FE6B85" w:rsidRPr="0021550A">
        <w:rPr>
          <w:i/>
        </w:rPr>
        <w:t>History of Jason</w:t>
      </w:r>
      <w:r w:rsidR="0055246E" w:rsidRPr="0021550A">
        <w:t>. We could set t</w:t>
      </w:r>
      <w:r w:rsidR="00A80297" w:rsidRPr="0021550A">
        <w:t xml:space="preserve">he algorithm </w:t>
      </w:r>
      <w:r w:rsidR="0055246E" w:rsidRPr="0021550A">
        <w:t>to</w:t>
      </w:r>
      <w:r w:rsidR="0060042A" w:rsidRPr="0021550A">
        <w:t xml:space="preserve"> group pages together </w:t>
      </w:r>
      <w:r w:rsidR="0055246E" w:rsidRPr="0021550A">
        <w:t>based on</w:t>
      </w:r>
      <w:r w:rsidR="0060042A" w:rsidRPr="0021550A">
        <w:t xml:space="preserve"> the spelling variants found on each page, and the algorithm </w:t>
      </w:r>
      <w:r w:rsidR="0055246E" w:rsidRPr="0021550A">
        <w:t>might</w:t>
      </w:r>
      <w:r w:rsidR="0060042A" w:rsidRPr="0021550A">
        <w:t xml:space="preserve"> produce two clusters:</w:t>
      </w:r>
      <w:r w:rsidR="00A80297" w:rsidRPr="0021550A">
        <w:t xml:space="preserve"> all the pages in the first half of the book </w:t>
      </w:r>
      <w:r w:rsidR="0060042A" w:rsidRPr="0021550A">
        <w:t>might form</w:t>
      </w:r>
      <w:r w:rsidR="00A80297" w:rsidRPr="0021550A">
        <w:t xml:space="preserve"> one cluster, and all the pages in the second half </w:t>
      </w:r>
      <w:r w:rsidR="0060042A" w:rsidRPr="0021550A">
        <w:t>form</w:t>
      </w:r>
      <w:r w:rsidR="00A80297" w:rsidRPr="0021550A">
        <w:t xml:space="preserve"> the second </w:t>
      </w:r>
      <w:r w:rsidR="00B07858" w:rsidRPr="0021550A">
        <w:t>cluster</w:t>
      </w:r>
      <w:r w:rsidR="00A80297" w:rsidRPr="0021550A">
        <w:t>.</w:t>
      </w:r>
      <w:r w:rsidR="00B07858" w:rsidRPr="0021550A">
        <w:t xml:space="preserve"> </w:t>
      </w:r>
      <w:r w:rsidR="0060042A" w:rsidRPr="0021550A">
        <w:t>This</w:t>
      </w:r>
      <w:r w:rsidR="00B07858" w:rsidRPr="0021550A">
        <w:t xml:space="preserve"> distribution of pages into clusters would suggest that </w:t>
      </w:r>
      <w:r w:rsidR="0060042A" w:rsidRPr="0021550A">
        <w:t>a</w:t>
      </w:r>
      <w:r w:rsidR="00B07858" w:rsidRPr="0021550A">
        <w:t xml:space="preserve"> change in </w:t>
      </w:r>
      <w:r w:rsidR="00527008">
        <w:t>idiolects</w:t>
      </w:r>
      <w:r w:rsidR="00B07858" w:rsidRPr="0021550A">
        <w:t xml:space="preserve"> occurred midway through the book, and so either the compositor or the copy text </w:t>
      </w:r>
      <w:r w:rsidR="0055246E" w:rsidRPr="0021550A">
        <w:t xml:space="preserve">(or both) </w:t>
      </w:r>
      <w:r w:rsidR="00B07858" w:rsidRPr="0021550A">
        <w:t xml:space="preserve">changed at that midway point. However, pages are not an ideal </w:t>
      </w:r>
      <w:r w:rsidR="0060042A" w:rsidRPr="0021550A">
        <w:t xml:space="preserve">unit of text for clustering because an individual page contains relatively little text, and therefore </w:t>
      </w:r>
      <w:r w:rsidR="009D5E24" w:rsidRPr="0021550A">
        <w:t xml:space="preserve">also contains </w:t>
      </w:r>
      <w:r w:rsidR="0060042A" w:rsidRPr="0021550A">
        <w:t xml:space="preserve">relatively little information on spelling information. Instead, this study makes use of quires as the objects used for clustering. </w:t>
      </w:r>
    </w:p>
    <w:p w14:paraId="6251E1EA" w14:textId="77777777" w:rsidR="00CC5184" w:rsidRPr="0021550A" w:rsidRDefault="00CC5184" w:rsidP="000737CB"/>
    <w:p w14:paraId="7A54C6F0" w14:textId="35579F8E" w:rsidR="00CC5184" w:rsidRPr="0021550A" w:rsidRDefault="00404174" w:rsidP="000737CB">
      <w:pPr>
        <w:pStyle w:val="Heading3"/>
      </w:pPr>
      <w:bookmarkStart w:id="126" w:name="_Ref495319917"/>
      <w:r w:rsidRPr="0021550A">
        <w:t>Quires as a unit for cluster analysis</w:t>
      </w:r>
      <w:bookmarkEnd w:id="126"/>
    </w:p>
    <w:p w14:paraId="379780FA" w14:textId="27EAE2A6" w:rsidR="00404174" w:rsidRPr="0021550A" w:rsidRDefault="00404174" w:rsidP="000737CB">
      <w:r w:rsidRPr="0021550A">
        <w:t xml:space="preserve">There are many </w:t>
      </w:r>
      <w:r w:rsidR="00B21E82" w:rsidRPr="0021550A">
        <w:t xml:space="preserve">ways in which we can divide a text into segments </w:t>
      </w:r>
      <w:r w:rsidR="00285549" w:rsidRPr="0021550A">
        <w:t xml:space="preserve">for cluster </w:t>
      </w:r>
      <w:r w:rsidR="007C74CB" w:rsidRPr="0021550A">
        <w:t>analysis. When clustering a</w:t>
      </w:r>
      <w:r w:rsidR="00285549" w:rsidRPr="0021550A">
        <w:t xml:space="preserve"> balance must be struck between </w:t>
      </w:r>
      <w:r w:rsidR="007C74CB" w:rsidRPr="0021550A">
        <w:t xml:space="preserve">creating objects that are small enough to have meaning when combined, and large enough to contain enough data for clustering. When using sections of text for clustering, </w:t>
      </w:r>
      <w:r w:rsidR="00FD62E5" w:rsidRPr="0021550A">
        <w:t xml:space="preserve">we need to have sections that are small enough for clustering to be worthwhile—for example, dividing a text into quarters and clustering these quarters together is likely too large to provide indication of where </w:t>
      </w:r>
      <w:r w:rsidR="00415FBC" w:rsidRPr="0021550A">
        <w:t xml:space="preserve">in the text </w:t>
      </w:r>
      <w:r w:rsidR="00FD62E5" w:rsidRPr="0021550A">
        <w:t>a cha</w:t>
      </w:r>
      <w:r w:rsidR="00415FBC" w:rsidRPr="0021550A">
        <w:t xml:space="preserve">nge in spellings occurs. We also need to have sections of text that are large </w:t>
      </w:r>
      <w:r w:rsidR="00415FBC" w:rsidRPr="0021550A">
        <w:lastRenderedPageBreak/>
        <w:t>enough to contain enough data—for example, individual pages of text are unlikely to contain enough wo</w:t>
      </w:r>
      <w:r w:rsidR="0028258C" w:rsidRPr="0021550A">
        <w:t>rds to be representative of spelling variation at that point in the text. It is necessary therefore to select a unit of text that is short enough</w:t>
      </w:r>
      <w:r w:rsidR="00A77B82" w:rsidRPr="0021550A">
        <w:t xml:space="preserve"> for the clustering to be meaningful, but long enough to contain a representative number of spellings. </w:t>
      </w:r>
    </w:p>
    <w:p w14:paraId="46BFA759" w14:textId="115A3F30" w:rsidR="009D5E24" w:rsidRPr="0021550A" w:rsidRDefault="009D5E24" w:rsidP="000737CB">
      <w:r w:rsidRPr="0021550A">
        <w:t xml:space="preserve">Quires are an ideal unit for dividing a text </w:t>
      </w:r>
      <w:r w:rsidR="00C064E5" w:rsidRPr="0021550A">
        <w:t>for cluster analysis</w:t>
      </w:r>
      <w:r w:rsidRPr="0021550A">
        <w:t xml:space="preserve">. </w:t>
      </w:r>
      <w:r w:rsidR="00E057D9" w:rsidRPr="0021550A">
        <w:t xml:space="preserve">The quires in Caxton’s texts are usually eight pages long, and </w:t>
      </w:r>
      <w:r w:rsidR="00C064E5" w:rsidRPr="0021550A">
        <w:t>therefore</w:t>
      </w:r>
      <w:r w:rsidR="00E057D9" w:rsidRPr="0021550A">
        <w:t xml:space="preserve"> contain eno</w:t>
      </w:r>
      <w:r w:rsidR="00C064E5" w:rsidRPr="0021550A">
        <w:t xml:space="preserve">ugh text to be representative of the </w:t>
      </w:r>
      <w:r w:rsidR="000C0764" w:rsidRPr="0021550A">
        <w:t xml:space="preserve">range of </w:t>
      </w:r>
      <w:r w:rsidR="00C064E5" w:rsidRPr="0021550A">
        <w:t xml:space="preserve">spelling variation in that quire. However, quires are also short enough that an individual quire does not form a large proportion of any of Caxton’s texts, and so finer distinctions can be made as to where </w:t>
      </w:r>
      <w:r w:rsidR="00A124E4" w:rsidRPr="0021550A">
        <w:t xml:space="preserve">in a book </w:t>
      </w:r>
      <w:r w:rsidR="00C064E5" w:rsidRPr="0021550A">
        <w:t xml:space="preserve">a change in spellings </w:t>
      </w:r>
      <w:r w:rsidR="00A124E4" w:rsidRPr="0021550A">
        <w:t>occurs</w:t>
      </w:r>
      <w:r w:rsidR="00C064E5" w:rsidRPr="0021550A">
        <w:t>.</w:t>
      </w:r>
      <w:r w:rsidR="00A124E4" w:rsidRPr="0021550A">
        <w:t xml:space="preserve"> In addition to their suitable length for representing spelling variation, quires are also a product of the processes involved i</w:t>
      </w:r>
      <w:r w:rsidR="00380797" w:rsidRPr="0021550A">
        <w:t xml:space="preserve">n book production. </w:t>
      </w:r>
      <w:r w:rsidR="002603A6" w:rsidRPr="0021550A">
        <w:t xml:space="preserve">Compositors </w:t>
      </w:r>
      <w:r w:rsidR="00380797" w:rsidRPr="0021550A">
        <w:t xml:space="preserve">set the type in the order of pages that would be printed </w:t>
      </w:r>
      <w:r w:rsidR="00E943DF" w:rsidRPr="0021550A">
        <w:t>together</w:t>
      </w:r>
      <w:r w:rsidR="002603A6" w:rsidRPr="0021550A">
        <w:t xml:space="preserve">, for example in an </w:t>
      </w:r>
      <w:r w:rsidR="00380797" w:rsidRPr="0021550A">
        <w:t>eight-page</w:t>
      </w:r>
      <w:r w:rsidR="002603A6" w:rsidRPr="0021550A">
        <w:t xml:space="preserve"> quire, page 1 and page 8 would be typeset for imprinting at the same time</w:t>
      </w:r>
      <w:r w:rsidR="00E943DF" w:rsidRPr="0021550A">
        <w:t xml:space="preserve"> and so the compositor would need to set page 1 followed by page 8</w:t>
      </w:r>
      <w:r w:rsidR="002603A6" w:rsidRPr="0021550A">
        <w:t>.</w:t>
      </w:r>
      <w:r w:rsidR="00E943DF" w:rsidRPr="0021550A">
        <w:t xml:space="preserve"> </w:t>
      </w:r>
      <w:r w:rsidR="000F5A6D" w:rsidRPr="0021550A">
        <w:t xml:space="preserve">It would be difficult for a compositor to begin setting type partway through a quire therefore, particularly when two compositors were working concurrently. </w:t>
      </w:r>
      <w:r w:rsidR="00FA250D" w:rsidRPr="0021550A">
        <w:t xml:space="preserve">We would therefore expect a change in compositor to occur at the start of a quire. In addition, we would also expect a change in compositor to occur at the beginning of a new </w:t>
      </w:r>
      <w:r w:rsidR="00774156" w:rsidRPr="0021550A">
        <w:t>chapter or s</w:t>
      </w:r>
      <w:r w:rsidR="00934395" w:rsidRPr="0021550A">
        <w:t xml:space="preserve">ection in the book, as opposed to mid-sentence, for example. Changing compositor at the end of a defined section makes it easier to match together the end of the text that was typeset by Compositor 1 with the start of the text typeset by Compositor 2. When compiling </w:t>
      </w:r>
      <w:r w:rsidR="00934395" w:rsidRPr="0021550A">
        <w:rPr>
          <w:i/>
        </w:rPr>
        <w:t>BMC</w:t>
      </w:r>
      <w:r w:rsidR="00934395" w:rsidRPr="0021550A">
        <w:t xml:space="preserve">, Hellinga </w:t>
      </w:r>
      <w:r w:rsidR="00A928ED">
        <w:t>and</w:t>
      </w:r>
      <w:r w:rsidR="00934395" w:rsidRPr="0021550A">
        <w:t xml:space="preserve"> Painter recorded several instances of a change in compositor, and all these changes occurred at the beginning of a quire. </w:t>
      </w:r>
      <w:r w:rsidR="00FA4972" w:rsidRPr="0021550A">
        <w:t>Part of this study aims to</w:t>
      </w:r>
      <w:r w:rsidR="007E66D0" w:rsidRPr="0021550A">
        <w:t xml:space="preserve"> see whether it is possible to</w:t>
      </w:r>
      <w:r w:rsidR="00FA4972" w:rsidRPr="0021550A">
        <w:t xml:space="preserve"> differentiate </w:t>
      </w:r>
      <w:r w:rsidR="00934395" w:rsidRPr="0021550A">
        <w:t xml:space="preserve">these </w:t>
      </w:r>
      <w:r w:rsidR="00FA4972" w:rsidRPr="0021550A">
        <w:t>sections of text that were typeset by differen</w:t>
      </w:r>
      <w:r w:rsidR="001528A1" w:rsidRPr="0021550A">
        <w:t>t compositors. B</w:t>
      </w:r>
      <w:r w:rsidR="00FA4972" w:rsidRPr="0021550A">
        <w:t>y breaking the books into chunks of text at the points where a change in compositors is most likely to occur</w:t>
      </w:r>
      <w:r w:rsidR="001528A1" w:rsidRPr="0021550A">
        <w:t>, it is easier to deduce whether spelling variants have changed because of a cha</w:t>
      </w:r>
      <w:r w:rsidR="00934395" w:rsidRPr="0021550A">
        <w:t>nge in compositors.</w:t>
      </w:r>
    </w:p>
    <w:p w14:paraId="3BCEE429" w14:textId="3EF104E2" w:rsidR="002C00F5" w:rsidRPr="0021550A" w:rsidRDefault="007A525F" w:rsidP="000737CB">
      <w:r w:rsidRPr="0021550A">
        <w:t xml:space="preserve">Though quires are ideal for this study because of their link with </w:t>
      </w:r>
      <w:r w:rsidR="005150DE" w:rsidRPr="0021550A">
        <w:t xml:space="preserve">printing process, the use of quires </w:t>
      </w:r>
      <w:r w:rsidR="00426F78" w:rsidRPr="0021550A">
        <w:t xml:space="preserve">also </w:t>
      </w:r>
      <w:r w:rsidR="005150DE" w:rsidRPr="0021550A">
        <w:t>introduces problems</w:t>
      </w:r>
      <w:r w:rsidR="005E3AF1">
        <w:t xml:space="preserve"> into the research process</w:t>
      </w:r>
      <w:r w:rsidR="005150DE" w:rsidRPr="0021550A">
        <w:t xml:space="preserve">. </w:t>
      </w:r>
      <w:r w:rsidR="009B371B" w:rsidRPr="0021550A">
        <w:t xml:space="preserve">The process of </w:t>
      </w:r>
      <w:r w:rsidR="00866CA1" w:rsidRPr="0021550A">
        <w:t>dividing</w:t>
      </w:r>
      <w:r w:rsidR="008865B4" w:rsidRPr="0021550A">
        <w:t xml:space="preserve"> </w:t>
      </w:r>
      <w:r w:rsidR="00866CA1" w:rsidRPr="0021550A">
        <w:t>Caxton’s books into quires requires a great deal of time</w:t>
      </w:r>
      <w:r w:rsidR="004C2717" w:rsidRPr="0021550A">
        <w:t xml:space="preserve"> relative to the time it would take to divide the text into other units</w:t>
      </w:r>
      <w:r w:rsidR="00866CA1" w:rsidRPr="0021550A">
        <w:t xml:space="preserve">. The </w:t>
      </w:r>
      <w:r w:rsidR="008865B4" w:rsidRPr="0021550A">
        <w:t xml:space="preserve">texts that I have used for this study are the plain text editions made available through </w:t>
      </w:r>
      <w:r w:rsidR="009B371B" w:rsidRPr="0021550A">
        <w:rPr>
          <w:i/>
        </w:rPr>
        <w:t>EEBO</w:t>
      </w:r>
      <w:r w:rsidR="009B371B" w:rsidRPr="0021550A">
        <w:t>-</w:t>
      </w:r>
      <w:r w:rsidR="005E3AF1">
        <w:t>TCP</w:t>
      </w:r>
      <w:r w:rsidR="009B371B" w:rsidRPr="0021550A">
        <w:t>, discussed in</w:t>
      </w:r>
      <w:r w:rsidR="0073510C">
        <w:t xml:space="preserve"> Section </w:t>
      </w:r>
      <w:r w:rsidR="0073510C">
        <w:fldChar w:fldCharType="begin"/>
      </w:r>
      <w:r w:rsidR="0073510C">
        <w:instrText xml:space="preserve"> REF _Ref498590956 \r </w:instrText>
      </w:r>
      <w:r w:rsidR="0073510C">
        <w:fldChar w:fldCharType="separate"/>
      </w:r>
      <w:r w:rsidR="00D11844">
        <w:t>4.2.1</w:t>
      </w:r>
      <w:r w:rsidR="0073510C">
        <w:fldChar w:fldCharType="end"/>
      </w:r>
      <w:r w:rsidR="008865B4" w:rsidRPr="0021550A">
        <w:t>. Each of Caxton</w:t>
      </w:r>
      <w:r w:rsidR="009B371B" w:rsidRPr="0021550A">
        <w:t xml:space="preserve">’s books available through </w:t>
      </w:r>
      <w:r w:rsidR="009B371B" w:rsidRPr="0021550A">
        <w:rPr>
          <w:i/>
        </w:rPr>
        <w:t>EEBO</w:t>
      </w:r>
      <w:r w:rsidR="009B371B" w:rsidRPr="0021550A">
        <w:t>-</w:t>
      </w:r>
      <w:r w:rsidR="008865B4" w:rsidRPr="0021550A">
        <w:t>TCP has been</w:t>
      </w:r>
      <w:r w:rsidR="004C2717" w:rsidRPr="0021550A">
        <w:t xml:space="preserve"> typed up, and the full text appears as continuous text in the document, with line breaks marking the change in sections or chapters</w:t>
      </w:r>
      <w:r w:rsidR="009B371B" w:rsidRPr="0021550A">
        <w:t xml:space="preserve"> but not the lineation in the print copy</w:t>
      </w:r>
      <w:r w:rsidR="004C2717" w:rsidRPr="0021550A">
        <w:t xml:space="preserve">. The start and end of a quire is not marked in the document, which means the researcher must work out where each quire begins and ends. Hellinga </w:t>
      </w:r>
      <w:r w:rsidR="005E3AF1">
        <w:t>and</w:t>
      </w:r>
      <w:r w:rsidR="004C2717" w:rsidRPr="0021550A">
        <w:t xml:space="preserve"> Painter record the quiring of each of Caxton’s texts in the </w:t>
      </w:r>
      <w:r w:rsidR="004C2717" w:rsidRPr="0021550A">
        <w:rPr>
          <w:i/>
        </w:rPr>
        <w:t>BMC</w:t>
      </w:r>
      <w:r w:rsidR="004C2717" w:rsidRPr="0021550A">
        <w:t xml:space="preserve"> and provide the contents of each text in both page numbers and in terms of quires. It </w:t>
      </w:r>
      <w:r w:rsidR="004C2717" w:rsidRPr="0021550A">
        <w:lastRenderedPageBreak/>
        <w:t xml:space="preserve">is possible from this information to map the start and end points of quires onto page numbers, and then use the page numbers to try and locate </w:t>
      </w:r>
      <w:r w:rsidR="002C00F5" w:rsidRPr="0021550A">
        <w:t>the text at the end of each quire</w:t>
      </w:r>
      <w:r w:rsidR="004C2717" w:rsidRPr="0021550A">
        <w:t xml:space="preserve"> using the images of each page on </w:t>
      </w:r>
      <w:r w:rsidR="004C2717" w:rsidRPr="0021550A">
        <w:rPr>
          <w:i/>
        </w:rPr>
        <w:t>EEBO</w:t>
      </w:r>
      <w:r w:rsidR="004C2717" w:rsidRPr="0021550A">
        <w:t xml:space="preserve">. </w:t>
      </w:r>
      <w:r w:rsidR="002C00F5" w:rsidRPr="0021550A">
        <w:t xml:space="preserve">Only at this point can the full plain text of the text be divided into quires, dividing at the last words for each quire, found using the </w:t>
      </w:r>
      <w:r w:rsidR="002C00F5" w:rsidRPr="0021550A">
        <w:rPr>
          <w:i/>
        </w:rPr>
        <w:t>EEBO</w:t>
      </w:r>
      <w:r w:rsidR="002C00F5" w:rsidRPr="0021550A">
        <w:t xml:space="preserve"> images. </w:t>
      </w:r>
    </w:p>
    <w:p w14:paraId="2BE1B72C" w14:textId="21B876A6" w:rsidR="00866CA1" w:rsidRPr="0021550A" w:rsidRDefault="00C938E6" w:rsidP="000737CB">
      <w:r w:rsidRPr="0021550A">
        <w:t xml:space="preserve">Finding the end of a quire should be a simple matter of counting the number of images prescribed by the </w:t>
      </w:r>
      <w:r w:rsidRPr="0021550A">
        <w:rPr>
          <w:i/>
        </w:rPr>
        <w:t>BMC</w:t>
      </w:r>
      <w:r w:rsidRPr="0021550A">
        <w:t xml:space="preserve">, but further complications arise from </w:t>
      </w:r>
      <w:r w:rsidRPr="0021550A">
        <w:rPr>
          <w:i/>
        </w:rPr>
        <w:t>EEBO’s</w:t>
      </w:r>
      <w:r w:rsidR="005E3AF1">
        <w:t xml:space="preserve"> images of the text</w:t>
      </w:r>
      <w:r w:rsidRPr="0021550A">
        <w:t xml:space="preserve">. </w:t>
      </w:r>
      <w:r w:rsidR="00866CA1" w:rsidRPr="0021550A">
        <w:t xml:space="preserve">Whilst </w:t>
      </w:r>
      <w:r w:rsidR="002C00F5" w:rsidRPr="0021550A">
        <w:t>most</w:t>
      </w:r>
      <w:r w:rsidR="00866CA1" w:rsidRPr="0021550A">
        <w:t xml:space="preserve"> </w:t>
      </w:r>
      <w:r w:rsidR="00866CA1" w:rsidRPr="0021550A">
        <w:rPr>
          <w:i/>
        </w:rPr>
        <w:t>EEBO</w:t>
      </w:r>
      <w:r w:rsidR="00866CA1" w:rsidRPr="0021550A">
        <w:t xml:space="preserve"> images</w:t>
      </w:r>
      <w:r w:rsidRPr="0021550A">
        <w:t xml:space="preserve"> of pages</w:t>
      </w:r>
      <w:r w:rsidR="00866CA1" w:rsidRPr="0021550A">
        <w:t xml:space="preserve"> appear in the correct order on their website, there are occasions where the image of a </w:t>
      </w:r>
      <w:r w:rsidR="002C00F5" w:rsidRPr="0021550A">
        <w:t>page</w:t>
      </w:r>
      <w:r w:rsidR="00866CA1" w:rsidRPr="0021550A">
        <w:t xml:space="preserve"> is missing or an image has been duplicated. While on the scale of a whole book, an incorrect page would not make a large difference, in the case of quiring it does</w:t>
      </w:r>
      <w:r w:rsidR="002C00F5" w:rsidRPr="0021550A">
        <w:t xml:space="preserve"> make a difference because one page forms a high proportion of the eight pages in a quire</w:t>
      </w:r>
      <w:r w:rsidR="00866CA1" w:rsidRPr="0021550A">
        <w:t xml:space="preserve">. If the quire </w:t>
      </w:r>
      <w:r w:rsidR="002015DE" w:rsidRPr="0021550A">
        <w:t>became</w:t>
      </w:r>
      <w:r w:rsidR="00866CA1" w:rsidRPr="0021550A">
        <w:t xml:space="preserve"> misaligned with the pagination as a result of missing or duplicate imaging, then the quire might then comprise six or seven pages from one quire, and one or two from the quire before or after. </w:t>
      </w:r>
      <w:r w:rsidR="002015DE" w:rsidRPr="0021550A">
        <w:t xml:space="preserve">Such misalignment undermines the exercise of using quiring as a unit of measurement, particularly in relation to locating a change in compositors. </w:t>
      </w:r>
      <w:r w:rsidR="002C00F5" w:rsidRPr="0021550A">
        <w:t xml:space="preserve">As such, the quires and the images of the pages that form those quires require close checking, </w:t>
      </w:r>
      <w:r w:rsidR="005E3AF1">
        <w:t xml:space="preserve">which is </w:t>
      </w:r>
      <w:r w:rsidR="002C00F5" w:rsidRPr="0021550A">
        <w:t xml:space="preserve">a time-consuming exercise. </w:t>
      </w:r>
    </w:p>
    <w:p w14:paraId="10FB70C1" w14:textId="2C9F7FEB" w:rsidR="0060042A" w:rsidRPr="0021550A" w:rsidRDefault="002015DE" w:rsidP="000737CB">
      <w:r w:rsidRPr="0021550A">
        <w:t xml:space="preserve">The processes above must all be undertaken </w:t>
      </w:r>
      <w:r w:rsidR="002C00F5" w:rsidRPr="0021550A">
        <w:t>in order to</w:t>
      </w:r>
      <w:r w:rsidRPr="0021550A">
        <w:t xml:space="preserve"> divide the plain text editions of Caxton’s texts into plain text versions for each quire. </w:t>
      </w:r>
      <w:r w:rsidR="007D4E1B" w:rsidRPr="0021550A">
        <w:t>Dividing a text into quires therefore requires a significant investment of time, and as such it was not possible to complete a cluster analysis on more than a handful of Caxton’s books</w:t>
      </w:r>
      <w:r w:rsidR="005E3AF1">
        <w:t xml:space="preserve"> as part of the present study</w:t>
      </w:r>
      <w:r w:rsidR="007D4E1B" w:rsidRPr="0021550A">
        <w:t>. Due to the complexity of the tasks to prepare the data for clustering, it is not computationally viable to automate the process of dividing the text into quires. As such, the process m</w:t>
      </w:r>
      <w:r w:rsidR="0073510C">
        <w:t>ust be undertaken manually. The</w:t>
      </w:r>
      <w:r w:rsidR="007D4E1B" w:rsidRPr="0021550A">
        <w:t xml:space="preserve"> </w:t>
      </w:r>
      <w:r w:rsidR="0073510C">
        <w:t>analysis</w:t>
      </w:r>
      <w:r w:rsidR="007D4E1B" w:rsidRPr="0021550A">
        <w:t xml:space="preserve"> therefore </w:t>
      </w:r>
      <w:r w:rsidR="0073510C">
        <w:t xml:space="preserve">applied only to six of Caxton’s </w:t>
      </w:r>
      <w:r w:rsidR="00C048F7" w:rsidRPr="0021550A">
        <w:t>texts</w:t>
      </w:r>
      <w:r w:rsidR="0073510C">
        <w:t xml:space="preserve"> in Section Three</w:t>
      </w:r>
      <w:r w:rsidR="00C048F7" w:rsidRPr="0021550A">
        <w:t xml:space="preserve">: </w:t>
      </w:r>
      <w:r w:rsidR="00C048F7" w:rsidRPr="0021550A">
        <w:rPr>
          <w:i/>
        </w:rPr>
        <w:t>Troilus and Criseyde</w:t>
      </w:r>
      <w:r w:rsidR="00C048F7" w:rsidRPr="0021550A">
        <w:t xml:space="preserve">, </w:t>
      </w:r>
      <w:r w:rsidR="00C048F7" w:rsidRPr="0021550A">
        <w:rPr>
          <w:i/>
        </w:rPr>
        <w:t>Book of Good Manners, Golden Legend, Confessio Amantis,</w:t>
      </w:r>
      <w:r w:rsidR="008354D6" w:rsidRPr="0021550A">
        <w:rPr>
          <w:i/>
        </w:rPr>
        <w:t xml:space="preserve"> </w:t>
      </w:r>
      <w:r w:rsidR="008354D6" w:rsidRPr="0021550A">
        <w:t xml:space="preserve">Caxton’s </w:t>
      </w:r>
      <w:r w:rsidR="002C00F5" w:rsidRPr="0021550A">
        <w:t>first</w:t>
      </w:r>
      <w:r w:rsidR="008354D6" w:rsidRPr="0021550A">
        <w:t xml:space="preserve"> edition of the</w:t>
      </w:r>
      <w:r w:rsidR="00C048F7" w:rsidRPr="0021550A">
        <w:rPr>
          <w:i/>
        </w:rPr>
        <w:t xml:space="preserve"> Canterbury Tales, </w:t>
      </w:r>
      <w:r w:rsidR="00C048F7" w:rsidRPr="0021550A">
        <w:t xml:space="preserve">and the </w:t>
      </w:r>
      <w:r w:rsidR="00C048F7" w:rsidRPr="0021550A">
        <w:rPr>
          <w:i/>
        </w:rPr>
        <w:t>Polychronicon</w:t>
      </w:r>
      <w:r w:rsidR="00C048F7" w:rsidRPr="0021550A">
        <w:t xml:space="preserve">. </w:t>
      </w:r>
    </w:p>
    <w:p w14:paraId="22E837DE" w14:textId="2FA429DF" w:rsidR="00F358E0" w:rsidRDefault="002C00F5" w:rsidP="000737CB">
      <w:r w:rsidRPr="0021550A">
        <w:t xml:space="preserve">Using quires as a unit of measurement also introduces an issue regarding the number of words in each quire. </w:t>
      </w:r>
      <w:r w:rsidR="00F358E0" w:rsidRPr="0021550A">
        <w:t xml:space="preserve">When we compare the size of quires across texts, some texts contain more words in each quire than others. For example, Caxton’s first edition of the </w:t>
      </w:r>
      <w:r w:rsidR="00F358E0" w:rsidRPr="0021550A">
        <w:rPr>
          <w:i/>
        </w:rPr>
        <w:t>Canterbury Tales</w:t>
      </w:r>
      <w:r w:rsidR="00F358E0" w:rsidRPr="0021550A">
        <w:t xml:space="preserve"> is printed in Caxton’s Type 2, which is a larger typeface than the type used in his second edition of the </w:t>
      </w:r>
      <w:r w:rsidR="00F358E0" w:rsidRPr="0021550A">
        <w:rPr>
          <w:i/>
        </w:rPr>
        <w:t>Canterbury Tales</w:t>
      </w:r>
      <w:r w:rsidR="0073510C">
        <w:t>,</w:t>
      </w:r>
      <w:r w:rsidR="00F358E0" w:rsidRPr="0021550A">
        <w:t xml:space="preserve"> which is printed in Type 4</w:t>
      </w:r>
      <w:r w:rsidR="0073510C">
        <w:t xml:space="preserve"> </w:t>
      </w:r>
      <w:r w:rsidR="0073510C" w:rsidRPr="0073510C">
        <w:t>(Blades 1971</w:t>
      </w:r>
      <w:r w:rsidR="004120C4">
        <w:t xml:space="preserve"> [1877]</w:t>
      </w:r>
      <w:r w:rsidR="0073510C" w:rsidRPr="0073510C">
        <w:t>)</w:t>
      </w:r>
      <w:r w:rsidR="00F358E0" w:rsidRPr="0021550A">
        <w:t xml:space="preserve">. In the quires of eight pages that appear in the second edition, there are more words per quire than there are in the first edition because the smaller typeface allows for more words per page. Furthermore, even within the same text quires do not always contain the same number of words, and therefore the sample sizes are not the same. In the second edition of the </w:t>
      </w:r>
      <w:r w:rsidR="00F358E0" w:rsidRPr="0021550A">
        <w:rPr>
          <w:i/>
        </w:rPr>
        <w:t>Canterbury Tales</w:t>
      </w:r>
      <w:r w:rsidR="00F358E0" w:rsidRPr="0021550A">
        <w:t xml:space="preserve">, many of the pages contain woodcuts, particularly at the </w:t>
      </w:r>
      <w:r w:rsidR="00F358E0" w:rsidRPr="0021550A">
        <w:lastRenderedPageBreak/>
        <w:t xml:space="preserve">start of a new Tale. Quires that contain woodcuts will contain fewer words relative to quires that do not, though the difference is not particularly great. In a quire made up of eight pages, if half one page contains a woodcut, then that quire is shorter than surrounding quires by only 6.25%. In Caxton’s edition of the </w:t>
      </w:r>
      <w:r w:rsidR="00F358E0" w:rsidRPr="0021550A">
        <w:rPr>
          <w:i/>
        </w:rPr>
        <w:t>Polychronicon</w:t>
      </w:r>
      <w:r w:rsidR="00F358E0" w:rsidRPr="0021550A">
        <w:t xml:space="preserve"> some parts of the text are written in Latin, and those quires that contain Latin text will therefore contain fewer words in English, and therefore contain fewer examples of English spelling variation. Because the number of words used in each quire is unequal, the spelling variants in this study are not clustered by the raw frequencies of spelling variants, but by their ratios of use to one another. </w:t>
      </w:r>
    </w:p>
    <w:p w14:paraId="596ECA7A" w14:textId="422667B0" w:rsidR="00CC5184" w:rsidRPr="0021550A" w:rsidRDefault="0014200A" w:rsidP="000737CB">
      <w:r>
        <w:t xml:space="preserve">We can see a quick example of how cluster analysis works on the spelling variants used to represent one single word, </w:t>
      </w:r>
      <w:r>
        <w:rPr>
          <w:smallCaps/>
        </w:rPr>
        <w:t>chapter</w:t>
      </w:r>
      <w:r>
        <w:t xml:space="preserve">. When </w:t>
      </w:r>
      <w:r w:rsidR="00947E43" w:rsidRPr="0021550A">
        <w:rPr>
          <w:color w:val="000000" w:themeColor="text1"/>
        </w:rPr>
        <w:t xml:space="preserve">undertaking cluster analysis, all the quires in the text are compared against one another and grouped on the basis of how similar the spellings are in each quire. </w:t>
      </w:r>
      <w:r w:rsidR="00947E43" w:rsidRPr="0021550A">
        <w:rPr>
          <w:color w:val="000000" w:themeColor="text1"/>
        </w:rPr>
        <w:fldChar w:fldCharType="begin"/>
      </w:r>
      <w:r w:rsidR="00947E43" w:rsidRPr="0021550A">
        <w:rPr>
          <w:color w:val="000000" w:themeColor="text1"/>
        </w:rPr>
        <w:instrText xml:space="preserve"> REF _Ref490671941 </w:instrText>
      </w:r>
      <w:r w:rsidR="00947E43" w:rsidRPr="0021550A">
        <w:rPr>
          <w:color w:val="000000" w:themeColor="text1"/>
        </w:rPr>
        <w:fldChar w:fldCharType="separate"/>
      </w:r>
      <w:r w:rsidR="00D11844" w:rsidRPr="0021550A">
        <w:t xml:space="preserve">Table </w:t>
      </w:r>
      <w:r w:rsidR="00D11844">
        <w:rPr>
          <w:noProof/>
        </w:rPr>
        <w:t>5</w:t>
      </w:r>
      <w:r w:rsidR="00D11844">
        <w:t>.</w:t>
      </w:r>
      <w:r w:rsidR="00D11844">
        <w:rPr>
          <w:noProof/>
        </w:rPr>
        <w:t>1</w:t>
      </w:r>
      <w:r w:rsidR="00947E43" w:rsidRPr="0021550A">
        <w:rPr>
          <w:color w:val="000000" w:themeColor="text1"/>
        </w:rPr>
        <w:fldChar w:fldCharType="end"/>
      </w:r>
      <w:r w:rsidR="00947E43" w:rsidRPr="0021550A">
        <w:rPr>
          <w:color w:val="000000" w:themeColor="text1"/>
        </w:rPr>
        <w:t xml:space="preserve"> shows the spelling variants used to represent </w:t>
      </w:r>
      <w:r w:rsidR="00947E43" w:rsidRPr="0021550A">
        <w:rPr>
          <w:smallCaps/>
          <w:color w:val="000000" w:themeColor="text1"/>
        </w:rPr>
        <w:t>chapter</w:t>
      </w:r>
      <w:r w:rsidR="00947E43" w:rsidRPr="0021550A">
        <w:rPr>
          <w:color w:val="000000" w:themeColor="text1"/>
        </w:rPr>
        <w:t xml:space="preserve"> in the </w:t>
      </w:r>
      <w:r w:rsidR="00947E43" w:rsidRPr="0021550A">
        <w:rPr>
          <w:i/>
          <w:color w:val="000000" w:themeColor="text1"/>
        </w:rPr>
        <w:t>Book of Good Manners</w:t>
      </w:r>
      <w:r w:rsidR="001B013F">
        <w:t>, where t</w:t>
      </w:r>
      <w:r w:rsidR="00043D3B">
        <w:t xml:space="preserve">he </w:t>
      </w:r>
      <w:r w:rsidR="001B013F">
        <w:t>letters assigned to quires of texts in this thesis are those used in Hellinga and Painter (2007).</w:t>
      </w:r>
    </w:p>
    <w:p w14:paraId="19F7829C" w14:textId="77777777" w:rsidR="00947E43" w:rsidRPr="0021550A" w:rsidRDefault="00947E43" w:rsidP="000737CB"/>
    <w:tbl>
      <w:tblPr>
        <w:tblStyle w:val="GridTable1Light1"/>
        <w:tblW w:w="7901" w:type="dxa"/>
        <w:tblLayout w:type="fixed"/>
        <w:tblLook w:val="04A0" w:firstRow="1" w:lastRow="0" w:firstColumn="1" w:lastColumn="0" w:noHBand="0" w:noVBand="1"/>
      </w:tblPr>
      <w:tblGrid>
        <w:gridCol w:w="1075"/>
        <w:gridCol w:w="853"/>
        <w:gridCol w:w="853"/>
        <w:gridCol w:w="853"/>
        <w:gridCol w:w="854"/>
        <w:gridCol w:w="853"/>
        <w:gridCol w:w="853"/>
        <w:gridCol w:w="853"/>
        <w:gridCol w:w="854"/>
      </w:tblGrid>
      <w:tr w:rsidR="00004D21" w:rsidRPr="0021550A" w14:paraId="3E409342" w14:textId="77777777" w:rsidTr="00004D21">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075" w:type="dxa"/>
            <w:noWrap/>
          </w:tcPr>
          <w:p w14:paraId="001109CC" w14:textId="77777777" w:rsidR="005C6DD1" w:rsidRPr="0021550A" w:rsidRDefault="005C6DD1" w:rsidP="005D06F2">
            <w:pPr>
              <w:ind w:firstLine="0"/>
              <w:jc w:val="center"/>
            </w:pPr>
          </w:p>
        </w:tc>
        <w:tc>
          <w:tcPr>
            <w:tcW w:w="853" w:type="dxa"/>
            <w:noWrap/>
          </w:tcPr>
          <w:p w14:paraId="28B19468" w14:textId="77777777" w:rsidR="005C6DD1" w:rsidRPr="0021550A" w:rsidRDefault="005C6DD1" w:rsidP="00004D21">
            <w:pPr>
              <w:spacing w:line="240" w:lineRule="auto"/>
              <w:ind w:firstLine="0"/>
              <w:jc w:val="center"/>
              <w:cnfStyle w:val="100000000000" w:firstRow="1" w:lastRow="0" w:firstColumn="0" w:lastColumn="0" w:oddVBand="0" w:evenVBand="0" w:oddHBand="0" w:evenHBand="0" w:firstRowFirstColumn="0" w:firstRowLastColumn="0" w:lastRowFirstColumn="0" w:lastRowLastColumn="0"/>
            </w:pPr>
            <w:r w:rsidRPr="0021550A">
              <w:t>Quire A</w:t>
            </w:r>
          </w:p>
        </w:tc>
        <w:tc>
          <w:tcPr>
            <w:tcW w:w="853" w:type="dxa"/>
            <w:noWrap/>
          </w:tcPr>
          <w:p w14:paraId="3F971438" w14:textId="77777777" w:rsidR="005C6DD1" w:rsidRPr="0021550A" w:rsidRDefault="005C6DD1" w:rsidP="00004D21">
            <w:pPr>
              <w:spacing w:line="240" w:lineRule="auto"/>
              <w:ind w:firstLine="0"/>
              <w:jc w:val="center"/>
              <w:cnfStyle w:val="100000000000" w:firstRow="1" w:lastRow="0" w:firstColumn="0" w:lastColumn="0" w:oddVBand="0" w:evenVBand="0" w:oddHBand="0" w:evenHBand="0" w:firstRowFirstColumn="0" w:firstRowLastColumn="0" w:lastRowFirstColumn="0" w:lastRowLastColumn="0"/>
            </w:pPr>
            <w:r w:rsidRPr="0021550A">
              <w:t>Quire B</w:t>
            </w:r>
          </w:p>
        </w:tc>
        <w:tc>
          <w:tcPr>
            <w:tcW w:w="853" w:type="dxa"/>
            <w:noWrap/>
          </w:tcPr>
          <w:p w14:paraId="21EF8B4A" w14:textId="77777777" w:rsidR="005C6DD1" w:rsidRPr="0021550A" w:rsidRDefault="005C6DD1" w:rsidP="00004D21">
            <w:pPr>
              <w:spacing w:line="240" w:lineRule="auto"/>
              <w:ind w:firstLine="0"/>
              <w:jc w:val="center"/>
              <w:cnfStyle w:val="100000000000" w:firstRow="1" w:lastRow="0" w:firstColumn="0" w:lastColumn="0" w:oddVBand="0" w:evenVBand="0" w:oddHBand="0" w:evenHBand="0" w:firstRowFirstColumn="0" w:firstRowLastColumn="0" w:lastRowFirstColumn="0" w:lastRowLastColumn="0"/>
            </w:pPr>
            <w:r w:rsidRPr="0021550A">
              <w:t>Quire C</w:t>
            </w:r>
          </w:p>
        </w:tc>
        <w:tc>
          <w:tcPr>
            <w:tcW w:w="854" w:type="dxa"/>
            <w:noWrap/>
          </w:tcPr>
          <w:p w14:paraId="7DBF5711" w14:textId="77777777" w:rsidR="005C6DD1" w:rsidRPr="0021550A" w:rsidRDefault="005C6DD1" w:rsidP="00004D21">
            <w:pPr>
              <w:spacing w:line="240" w:lineRule="auto"/>
              <w:ind w:firstLine="0"/>
              <w:jc w:val="center"/>
              <w:cnfStyle w:val="100000000000" w:firstRow="1" w:lastRow="0" w:firstColumn="0" w:lastColumn="0" w:oddVBand="0" w:evenVBand="0" w:oddHBand="0" w:evenHBand="0" w:firstRowFirstColumn="0" w:firstRowLastColumn="0" w:lastRowFirstColumn="0" w:lastRowLastColumn="0"/>
            </w:pPr>
            <w:r w:rsidRPr="0021550A">
              <w:t>Quire D</w:t>
            </w:r>
          </w:p>
        </w:tc>
        <w:tc>
          <w:tcPr>
            <w:tcW w:w="853" w:type="dxa"/>
            <w:noWrap/>
          </w:tcPr>
          <w:p w14:paraId="307C286E" w14:textId="77777777" w:rsidR="005C6DD1" w:rsidRPr="0021550A" w:rsidRDefault="005C6DD1" w:rsidP="00004D21">
            <w:pPr>
              <w:spacing w:line="240" w:lineRule="auto"/>
              <w:ind w:firstLine="0"/>
              <w:jc w:val="center"/>
              <w:cnfStyle w:val="100000000000" w:firstRow="1" w:lastRow="0" w:firstColumn="0" w:lastColumn="0" w:oddVBand="0" w:evenVBand="0" w:oddHBand="0" w:evenHBand="0" w:firstRowFirstColumn="0" w:firstRowLastColumn="0" w:lastRowFirstColumn="0" w:lastRowLastColumn="0"/>
            </w:pPr>
            <w:r w:rsidRPr="0021550A">
              <w:t>Quire E</w:t>
            </w:r>
          </w:p>
        </w:tc>
        <w:tc>
          <w:tcPr>
            <w:tcW w:w="853" w:type="dxa"/>
            <w:noWrap/>
          </w:tcPr>
          <w:p w14:paraId="2627C42D" w14:textId="77777777" w:rsidR="005C6DD1" w:rsidRPr="0021550A" w:rsidRDefault="005C6DD1" w:rsidP="00004D21">
            <w:pPr>
              <w:spacing w:line="240" w:lineRule="auto"/>
              <w:ind w:firstLine="0"/>
              <w:jc w:val="center"/>
              <w:cnfStyle w:val="100000000000" w:firstRow="1" w:lastRow="0" w:firstColumn="0" w:lastColumn="0" w:oddVBand="0" w:evenVBand="0" w:oddHBand="0" w:evenHBand="0" w:firstRowFirstColumn="0" w:firstRowLastColumn="0" w:lastRowFirstColumn="0" w:lastRowLastColumn="0"/>
            </w:pPr>
            <w:r w:rsidRPr="0021550A">
              <w:t>Quire F</w:t>
            </w:r>
          </w:p>
        </w:tc>
        <w:tc>
          <w:tcPr>
            <w:tcW w:w="853" w:type="dxa"/>
            <w:noWrap/>
          </w:tcPr>
          <w:p w14:paraId="5E9DBF5F" w14:textId="77777777" w:rsidR="005C6DD1" w:rsidRPr="0021550A" w:rsidRDefault="005C6DD1" w:rsidP="00004D21">
            <w:pPr>
              <w:spacing w:line="240" w:lineRule="auto"/>
              <w:ind w:firstLine="0"/>
              <w:jc w:val="center"/>
              <w:cnfStyle w:val="100000000000" w:firstRow="1" w:lastRow="0" w:firstColumn="0" w:lastColumn="0" w:oddVBand="0" w:evenVBand="0" w:oddHBand="0" w:evenHBand="0" w:firstRowFirstColumn="0" w:firstRowLastColumn="0" w:lastRowFirstColumn="0" w:lastRowLastColumn="0"/>
            </w:pPr>
            <w:r w:rsidRPr="0021550A">
              <w:t>Quire G</w:t>
            </w:r>
          </w:p>
        </w:tc>
        <w:tc>
          <w:tcPr>
            <w:tcW w:w="854" w:type="dxa"/>
            <w:noWrap/>
          </w:tcPr>
          <w:p w14:paraId="64C39539" w14:textId="71228998" w:rsidR="005C6DD1" w:rsidRPr="0021550A" w:rsidRDefault="005C6DD1" w:rsidP="00004D21">
            <w:pPr>
              <w:spacing w:line="240" w:lineRule="auto"/>
              <w:ind w:firstLine="0"/>
              <w:jc w:val="center"/>
              <w:cnfStyle w:val="100000000000" w:firstRow="1" w:lastRow="0" w:firstColumn="0" w:lastColumn="0" w:oddVBand="0" w:evenVBand="0" w:oddHBand="0" w:evenHBand="0" w:firstRowFirstColumn="0" w:firstRowLastColumn="0" w:lastRowFirstColumn="0" w:lastRowLastColumn="0"/>
            </w:pPr>
            <w:r w:rsidRPr="0021550A">
              <w:t>Quire H</w:t>
            </w:r>
          </w:p>
        </w:tc>
      </w:tr>
      <w:tr w:rsidR="00004D21" w:rsidRPr="0021550A" w14:paraId="2017BB9A" w14:textId="77777777" w:rsidTr="00004D21">
        <w:trPr>
          <w:trHeight w:val="284"/>
        </w:trPr>
        <w:tc>
          <w:tcPr>
            <w:cnfStyle w:val="001000000000" w:firstRow="0" w:lastRow="0" w:firstColumn="1" w:lastColumn="0" w:oddVBand="0" w:evenVBand="0" w:oddHBand="0" w:evenHBand="0" w:firstRowFirstColumn="0" w:firstRowLastColumn="0" w:lastRowFirstColumn="0" w:lastRowLastColumn="0"/>
            <w:tcW w:w="1075" w:type="dxa"/>
            <w:noWrap/>
            <w:hideMark/>
          </w:tcPr>
          <w:p w14:paraId="4E5E25DD" w14:textId="77777777" w:rsidR="005C6DD1" w:rsidRPr="005D06F2" w:rsidRDefault="005C6DD1" w:rsidP="005D06F2">
            <w:pPr>
              <w:ind w:firstLine="0"/>
              <w:jc w:val="center"/>
              <w:rPr>
                <w:b w:val="0"/>
                <w:i/>
              </w:rPr>
            </w:pPr>
            <w:r w:rsidRPr="005D06F2">
              <w:rPr>
                <w:b w:val="0"/>
                <w:i/>
              </w:rPr>
              <w:t>capytre</w:t>
            </w:r>
          </w:p>
        </w:tc>
        <w:tc>
          <w:tcPr>
            <w:tcW w:w="853" w:type="dxa"/>
            <w:noWrap/>
            <w:hideMark/>
          </w:tcPr>
          <w:p w14:paraId="0CDF75CA" w14:textId="77777777" w:rsidR="005C6DD1" w:rsidRPr="0021550A" w:rsidRDefault="005C6DD1" w:rsidP="005D06F2">
            <w:pPr>
              <w:ind w:firstLine="0"/>
              <w:jc w:val="center"/>
              <w:cnfStyle w:val="000000000000" w:firstRow="0" w:lastRow="0" w:firstColumn="0" w:lastColumn="0" w:oddVBand="0" w:evenVBand="0" w:oddHBand="0" w:evenHBand="0" w:firstRowFirstColumn="0" w:firstRowLastColumn="0" w:lastRowFirstColumn="0" w:lastRowLastColumn="0"/>
            </w:pPr>
            <w:r w:rsidRPr="0021550A">
              <w:t>0</w:t>
            </w:r>
          </w:p>
        </w:tc>
        <w:tc>
          <w:tcPr>
            <w:tcW w:w="853" w:type="dxa"/>
            <w:noWrap/>
            <w:hideMark/>
          </w:tcPr>
          <w:p w14:paraId="73B68C70" w14:textId="77777777" w:rsidR="005C6DD1" w:rsidRPr="0021550A" w:rsidRDefault="005C6DD1" w:rsidP="005D06F2">
            <w:pPr>
              <w:ind w:firstLine="0"/>
              <w:jc w:val="center"/>
              <w:cnfStyle w:val="000000000000" w:firstRow="0" w:lastRow="0" w:firstColumn="0" w:lastColumn="0" w:oddVBand="0" w:evenVBand="0" w:oddHBand="0" w:evenHBand="0" w:firstRowFirstColumn="0" w:firstRowLastColumn="0" w:lastRowFirstColumn="0" w:lastRowLastColumn="0"/>
            </w:pPr>
            <w:r w:rsidRPr="0021550A">
              <w:t>0</w:t>
            </w:r>
          </w:p>
        </w:tc>
        <w:tc>
          <w:tcPr>
            <w:tcW w:w="853" w:type="dxa"/>
            <w:noWrap/>
            <w:hideMark/>
          </w:tcPr>
          <w:p w14:paraId="3D369E85" w14:textId="77777777" w:rsidR="005C6DD1" w:rsidRPr="0021550A" w:rsidRDefault="005C6DD1" w:rsidP="005D06F2">
            <w:pPr>
              <w:ind w:firstLine="0"/>
              <w:jc w:val="center"/>
              <w:cnfStyle w:val="000000000000" w:firstRow="0" w:lastRow="0" w:firstColumn="0" w:lastColumn="0" w:oddVBand="0" w:evenVBand="0" w:oddHBand="0" w:evenHBand="0" w:firstRowFirstColumn="0" w:firstRowLastColumn="0" w:lastRowFirstColumn="0" w:lastRowLastColumn="0"/>
            </w:pPr>
            <w:r w:rsidRPr="0021550A">
              <w:t>0</w:t>
            </w:r>
          </w:p>
        </w:tc>
        <w:tc>
          <w:tcPr>
            <w:tcW w:w="854" w:type="dxa"/>
            <w:noWrap/>
            <w:hideMark/>
          </w:tcPr>
          <w:p w14:paraId="736C3BA4" w14:textId="77777777" w:rsidR="005C6DD1" w:rsidRPr="0021550A" w:rsidRDefault="005C6DD1" w:rsidP="005D06F2">
            <w:pPr>
              <w:ind w:firstLine="0"/>
              <w:jc w:val="center"/>
              <w:cnfStyle w:val="000000000000" w:firstRow="0" w:lastRow="0" w:firstColumn="0" w:lastColumn="0" w:oddVBand="0" w:evenVBand="0" w:oddHBand="0" w:evenHBand="0" w:firstRowFirstColumn="0" w:firstRowLastColumn="0" w:lastRowFirstColumn="0" w:lastRowLastColumn="0"/>
            </w:pPr>
            <w:r w:rsidRPr="0021550A">
              <w:t>0</w:t>
            </w:r>
          </w:p>
        </w:tc>
        <w:tc>
          <w:tcPr>
            <w:tcW w:w="853" w:type="dxa"/>
            <w:noWrap/>
            <w:hideMark/>
          </w:tcPr>
          <w:p w14:paraId="1A38EEED" w14:textId="77777777" w:rsidR="005C6DD1" w:rsidRPr="0021550A" w:rsidRDefault="005C6DD1" w:rsidP="005D06F2">
            <w:pPr>
              <w:ind w:firstLine="0"/>
              <w:jc w:val="center"/>
              <w:cnfStyle w:val="000000000000" w:firstRow="0" w:lastRow="0" w:firstColumn="0" w:lastColumn="0" w:oddVBand="0" w:evenVBand="0" w:oddHBand="0" w:evenHBand="0" w:firstRowFirstColumn="0" w:firstRowLastColumn="0" w:lastRowFirstColumn="0" w:lastRowLastColumn="0"/>
            </w:pPr>
            <w:r w:rsidRPr="0021550A">
              <w:t>0</w:t>
            </w:r>
          </w:p>
        </w:tc>
        <w:tc>
          <w:tcPr>
            <w:tcW w:w="853" w:type="dxa"/>
            <w:noWrap/>
            <w:hideMark/>
          </w:tcPr>
          <w:p w14:paraId="1532C6C1" w14:textId="77777777" w:rsidR="005C6DD1" w:rsidRPr="0021550A" w:rsidRDefault="005C6DD1" w:rsidP="005D06F2">
            <w:pPr>
              <w:ind w:firstLine="0"/>
              <w:jc w:val="center"/>
              <w:cnfStyle w:val="000000000000" w:firstRow="0" w:lastRow="0" w:firstColumn="0" w:lastColumn="0" w:oddVBand="0" w:evenVBand="0" w:oddHBand="0" w:evenHBand="0" w:firstRowFirstColumn="0" w:firstRowLastColumn="0" w:lastRowFirstColumn="0" w:lastRowLastColumn="0"/>
            </w:pPr>
            <w:r w:rsidRPr="0021550A">
              <w:t>8.7</w:t>
            </w:r>
          </w:p>
        </w:tc>
        <w:tc>
          <w:tcPr>
            <w:tcW w:w="853" w:type="dxa"/>
            <w:noWrap/>
            <w:hideMark/>
          </w:tcPr>
          <w:p w14:paraId="57FF869F" w14:textId="77777777" w:rsidR="005C6DD1" w:rsidRPr="0021550A" w:rsidRDefault="005C6DD1" w:rsidP="005D06F2">
            <w:pPr>
              <w:ind w:firstLine="0"/>
              <w:jc w:val="center"/>
              <w:cnfStyle w:val="000000000000" w:firstRow="0" w:lastRow="0" w:firstColumn="0" w:lastColumn="0" w:oddVBand="0" w:evenVBand="0" w:oddHBand="0" w:evenHBand="0" w:firstRowFirstColumn="0" w:firstRowLastColumn="0" w:lastRowFirstColumn="0" w:lastRowLastColumn="0"/>
            </w:pPr>
            <w:r w:rsidRPr="0021550A">
              <w:t>0</w:t>
            </w:r>
          </w:p>
        </w:tc>
        <w:tc>
          <w:tcPr>
            <w:tcW w:w="854" w:type="dxa"/>
            <w:noWrap/>
            <w:hideMark/>
          </w:tcPr>
          <w:p w14:paraId="00DC578F" w14:textId="77777777" w:rsidR="005C6DD1" w:rsidRPr="0021550A" w:rsidRDefault="005C6DD1" w:rsidP="005D06F2">
            <w:pPr>
              <w:ind w:firstLine="0"/>
              <w:jc w:val="center"/>
              <w:cnfStyle w:val="000000000000" w:firstRow="0" w:lastRow="0" w:firstColumn="0" w:lastColumn="0" w:oddVBand="0" w:evenVBand="0" w:oddHBand="0" w:evenHBand="0" w:firstRowFirstColumn="0" w:firstRowLastColumn="0" w:lastRowFirstColumn="0" w:lastRowLastColumn="0"/>
            </w:pPr>
            <w:r w:rsidRPr="0021550A">
              <w:t>0</w:t>
            </w:r>
          </w:p>
        </w:tc>
      </w:tr>
      <w:tr w:rsidR="00004D21" w:rsidRPr="0021550A" w14:paraId="60EA2B21" w14:textId="77777777" w:rsidTr="00004D21">
        <w:trPr>
          <w:trHeight w:val="284"/>
        </w:trPr>
        <w:tc>
          <w:tcPr>
            <w:cnfStyle w:val="001000000000" w:firstRow="0" w:lastRow="0" w:firstColumn="1" w:lastColumn="0" w:oddVBand="0" w:evenVBand="0" w:oddHBand="0" w:evenHBand="0" w:firstRowFirstColumn="0" w:firstRowLastColumn="0" w:lastRowFirstColumn="0" w:lastRowLastColumn="0"/>
            <w:tcW w:w="1075" w:type="dxa"/>
            <w:noWrap/>
            <w:hideMark/>
          </w:tcPr>
          <w:p w14:paraId="4984D4B1" w14:textId="77777777" w:rsidR="005C6DD1" w:rsidRPr="005D06F2" w:rsidRDefault="005C6DD1" w:rsidP="005D06F2">
            <w:pPr>
              <w:ind w:firstLine="0"/>
              <w:jc w:val="center"/>
              <w:rPr>
                <w:b w:val="0"/>
                <w:i/>
              </w:rPr>
            </w:pPr>
            <w:r w:rsidRPr="005D06F2">
              <w:rPr>
                <w:b w:val="0"/>
                <w:i/>
              </w:rPr>
              <w:t>chapiter</w:t>
            </w:r>
          </w:p>
        </w:tc>
        <w:tc>
          <w:tcPr>
            <w:tcW w:w="853" w:type="dxa"/>
            <w:noWrap/>
            <w:hideMark/>
          </w:tcPr>
          <w:p w14:paraId="07E0762A" w14:textId="77777777" w:rsidR="005C6DD1" w:rsidRPr="0021550A" w:rsidRDefault="005C6DD1" w:rsidP="005D06F2">
            <w:pPr>
              <w:ind w:firstLine="0"/>
              <w:jc w:val="center"/>
              <w:cnfStyle w:val="000000000000" w:firstRow="0" w:lastRow="0" w:firstColumn="0" w:lastColumn="0" w:oddVBand="0" w:evenVBand="0" w:oddHBand="0" w:evenHBand="0" w:firstRowFirstColumn="0" w:firstRowLastColumn="0" w:lastRowFirstColumn="0" w:lastRowLastColumn="0"/>
            </w:pPr>
            <w:r w:rsidRPr="0021550A">
              <w:t>0</w:t>
            </w:r>
          </w:p>
        </w:tc>
        <w:tc>
          <w:tcPr>
            <w:tcW w:w="853" w:type="dxa"/>
            <w:noWrap/>
            <w:hideMark/>
          </w:tcPr>
          <w:p w14:paraId="4921DB9C" w14:textId="77777777" w:rsidR="005C6DD1" w:rsidRPr="0021550A" w:rsidRDefault="005C6DD1" w:rsidP="005D06F2">
            <w:pPr>
              <w:ind w:firstLine="0"/>
              <w:jc w:val="center"/>
              <w:cnfStyle w:val="000000000000" w:firstRow="0" w:lastRow="0" w:firstColumn="0" w:lastColumn="0" w:oddVBand="0" w:evenVBand="0" w:oddHBand="0" w:evenHBand="0" w:firstRowFirstColumn="0" w:firstRowLastColumn="0" w:lastRowFirstColumn="0" w:lastRowLastColumn="0"/>
            </w:pPr>
            <w:r w:rsidRPr="0021550A">
              <w:t>0</w:t>
            </w:r>
          </w:p>
        </w:tc>
        <w:tc>
          <w:tcPr>
            <w:tcW w:w="853" w:type="dxa"/>
            <w:noWrap/>
            <w:hideMark/>
          </w:tcPr>
          <w:p w14:paraId="32F2CBE9" w14:textId="77777777" w:rsidR="005C6DD1" w:rsidRPr="0021550A" w:rsidRDefault="005C6DD1" w:rsidP="005D06F2">
            <w:pPr>
              <w:ind w:firstLine="0"/>
              <w:jc w:val="center"/>
              <w:cnfStyle w:val="000000000000" w:firstRow="0" w:lastRow="0" w:firstColumn="0" w:lastColumn="0" w:oddVBand="0" w:evenVBand="0" w:oddHBand="0" w:evenHBand="0" w:firstRowFirstColumn="0" w:firstRowLastColumn="0" w:lastRowFirstColumn="0" w:lastRowLastColumn="0"/>
            </w:pPr>
            <w:r w:rsidRPr="0021550A">
              <w:t>0</w:t>
            </w:r>
          </w:p>
        </w:tc>
        <w:tc>
          <w:tcPr>
            <w:tcW w:w="854" w:type="dxa"/>
            <w:noWrap/>
            <w:hideMark/>
          </w:tcPr>
          <w:p w14:paraId="27857420" w14:textId="77777777" w:rsidR="005C6DD1" w:rsidRPr="0021550A" w:rsidRDefault="005C6DD1" w:rsidP="005D06F2">
            <w:pPr>
              <w:ind w:firstLine="0"/>
              <w:jc w:val="center"/>
              <w:cnfStyle w:val="000000000000" w:firstRow="0" w:lastRow="0" w:firstColumn="0" w:lastColumn="0" w:oddVBand="0" w:evenVBand="0" w:oddHBand="0" w:evenHBand="0" w:firstRowFirstColumn="0" w:firstRowLastColumn="0" w:lastRowFirstColumn="0" w:lastRowLastColumn="0"/>
            </w:pPr>
            <w:r w:rsidRPr="0021550A">
              <w:t>0</w:t>
            </w:r>
          </w:p>
        </w:tc>
        <w:tc>
          <w:tcPr>
            <w:tcW w:w="853" w:type="dxa"/>
            <w:noWrap/>
            <w:hideMark/>
          </w:tcPr>
          <w:p w14:paraId="45C4B83B" w14:textId="77777777" w:rsidR="005C6DD1" w:rsidRPr="0021550A" w:rsidRDefault="005C6DD1" w:rsidP="005D06F2">
            <w:pPr>
              <w:ind w:firstLine="0"/>
              <w:jc w:val="center"/>
              <w:cnfStyle w:val="000000000000" w:firstRow="0" w:lastRow="0" w:firstColumn="0" w:lastColumn="0" w:oddVBand="0" w:evenVBand="0" w:oddHBand="0" w:evenHBand="0" w:firstRowFirstColumn="0" w:firstRowLastColumn="0" w:lastRowFirstColumn="0" w:lastRowLastColumn="0"/>
            </w:pPr>
            <w:r w:rsidRPr="0021550A">
              <w:t>0</w:t>
            </w:r>
          </w:p>
        </w:tc>
        <w:tc>
          <w:tcPr>
            <w:tcW w:w="853" w:type="dxa"/>
            <w:noWrap/>
            <w:hideMark/>
          </w:tcPr>
          <w:p w14:paraId="26DC89A6" w14:textId="77777777" w:rsidR="005C6DD1" w:rsidRPr="0021550A" w:rsidRDefault="005C6DD1" w:rsidP="005D06F2">
            <w:pPr>
              <w:ind w:firstLine="0"/>
              <w:jc w:val="center"/>
              <w:cnfStyle w:val="000000000000" w:firstRow="0" w:lastRow="0" w:firstColumn="0" w:lastColumn="0" w:oddVBand="0" w:evenVBand="0" w:oddHBand="0" w:evenHBand="0" w:firstRowFirstColumn="0" w:firstRowLastColumn="0" w:lastRowFirstColumn="0" w:lastRowLastColumn="0"/>
            </w:pPr>
            <w:r w:rsidRPr="0021550A">
              <w:t>4.3</w:t>
            </w:r>
          </w:p>
        </w:tc>
        <w:tc>
          <w:tcPr>
            <w:tcW w:w="853" w:type="dxa"/>
            <w:noWrap/>
            <w:hideMark/>
          </w:tcPr>
          <w:p w14:paraId="75997374" w14:textId="77777777" w:rsidR="005C6DD1" w:rsidRPr="0021550A" w:rsidRDefault="005C6DD1" w:rsidP="005D06F2">
            <w:pPr>
              <w:ind w:firstLine="0"/>
              <w:jc w:val="center"/>
              <w:cnfStyle w:val="000000000000" w:firstRow="0" w:lastRow="0" w:firstColumn="0" w:lastColumn="0" w:oddVBand="0" w:evenVBand="0" w:oddHBand="0" w:evenHBand="0" w:firstRowFirstColumn="0" w:firstRowLastColumn="0" w:lastRowFirstColumn="0" w:lastRowLastColumn="0"/>
            </w:pPr>
            <w:r w:rsidRPr="0021550A">
              <w:t>0</w:t>
            </w:r>
          </w:p>
        </w:tc>
        <w:tc>
          <w:tcPr>
            <w:tcW w:w="854" w:type="dxa"/>
            <w:noWrap/>
            <w:hideMark/>
          </w:tcPr>
          <w:p w14:paraId="1AEF144A" w14:textId="77777777" w:rsidR="005C6DD1" w:rsidRPr="0021550A" w:rsidRDefault="005C6DD1" w:rsidP="005D06F2">
            <w:pPr>
              <w:ind w:firstLine="0"/>
              <w:jc w:val="center"/>
              <w:cnfStyle w:val="000000000000" w:firstRow="0" w:lastRow="0" w:firstColumn="0" w:lastColumn="0" w:oddVBand="0" w:evenVBand="0" w:oddHBand="0" w:evenHBand="0" w:firstRowFirstColumn="0" w:firstRowLastColumn="0" w:lastRowFirstColumn="0" w:lastRowLastColumn="0"/>
            </w:pPr>
            <w:r w:rsidRPr="0021550A">
              <w:t>0</w:t>
            </w:r>
          </w:p>
        </w:tc>
      </w:tr>
      <w:tr w:rsidR="00004D21" w:rsidRPr="0021550A" w14:paraId="6D2BB3AA" w14:textId="77777777" w:rsidTr="00004D21">
        <w:trPr>
          <w:trHeight w:val="284"/>
        </w:trPr>
        <w:tc>
          <w:tcPr>
            <w:cnfStyle w:val="001000000000" w:firstRow="0" w:lastRow="0" w:firstColumn="1" w:lastColumn="0" w:oddVBand="0" w:evenVBand="0" w:oddHBand="0" w:evenHBand="0" w:firstRowFirstColumn="0" w:firstRowLastColumn="0" w:lastRowFirstColumn="0" w:lastRowLastColumn="0"/>
            <w:tcW w:w="1075" w:type="dxa"/>
            <w:noWrap/>
            <w:hideMark/>
          </w:tcPr>
          <w:p w14:paraId="12857F70" w14:textId="77777777" w:rsidR="005C6DD1" w:rsidRPr="005D06F2" w:rsidRDefault="005C6DD1" w:rsidP="005D06F2">
            <w:pPr>
              <w:ind w:firstLine="0"/>
              <w:jc w:val="center"/>
              <w:rPr>
                <w:b w:val="0"/>
                <w:i/>
              </w:rPr>
            </w:pPr>
            <w:r w:rsidRPr="005D06F2">
              <w:rPr>
                <w:b w:val="0"/>
                <w:i/>
              </w:rPr>
              <w:t>chapitre</w:t>
            </w:r>
          </w:p>
        </w:tc>
        <w:tc>
          <w:tcPr>
            <w:tcW w:w="853" w:type="dxa"/>
            <w:noWrap/>
            <w:hideMark/>
          </w:tcPr>
          <w:p w14:paraId="26769520" w14:textId="77777777" w:rsidR="005C6DD1" w:rsidRPr="0021550A" w:rsidRDefault="005C6DD1" w:rsidP="005D06F2">
            <w:pPr>
              <w:ind w:firstLine="0"/>
              <w:jc w:val="center"/>
              <w:cnfStyle w:val="000000000000" w:firstRow="0" w:lastRow="0" w:firstColumn="0" w:lastColumn="0" w:oddVBand="0" w:evenVBand="0" w:oddHBand="0" w:evenHBand="0" w:firstRowFirstColumn="0" w:firstRowLastColumn="0" w:lastRowFirstColumn="0" w:lastRowLastColumn="0"/>
            </w:pPr>
            <w:r w:rsidRPr="0021550A">
              <w:t>5.8</w:t>
            </w:r>
          </w:p>
        </w:tc>
        <w:tc>
          <w:tcPr>
            <w:tcW w:w="853" w:type="dxa"/>
            <w:noWrap/>
            <w:hideMark/>
          </w:tcPr>
          <w:p w14:paraId="2E43B143" w14:textId="77777777" w:rsidR="005C6DD1" w:rsidRPr="0021550A" w:rsidRDefault="005C6DD1" w:rsidP="005D06F2">
            <w:pPr>
              <w:ind w:firstLine="0"/>
              <w:jc w:val="center"/>
              <w:cnfStyle w:val="000000000000" w:firstRow="0" w:lastRow="0" w:firstColumn="0" w:lastColumn="0" w:oddVBand="0" w:evenVBand="0" w:oddHBand="0" w:evenHBand="0" w:firstRowFirstColumn="0" w:firstRowLastColumn="0" w:lastRowFirstColumn="0" w:lastRowLastColumn="0"/>
            </w:pPr>
            <w:r w:rsidRPr="0021550A">
              <w:t>5.4</w:t>
            </w:r>
          </w:p>
        </w:tc>
        <w:tc>
          <w:tcPr>
            <w:tcW w:w="853" w:type="dxa"/>
            <w:noWrap/>
            <w:hideMark/>
          </w:tcPr>
          <w:p w14:paraId="75F41980" w14:textId="77777777" w:rsidR="005C6DD1" w:rsidRPr="0021550A" w:rsidRDefault="005C6DD1" w:rsidP="005D06F2">
            <w:pPr>
              <w:ind w:firstLine="0"/>
              <w:jc w:val="center"/>
              <w:cnfStyle w:val="000000000000" w:firstRow="0" w:lastRow="0" w:firstColumn="0" w:lastColumn="0" w:oddVBand="0" w:evenVBand="0" w:oddHBand="0" w:evenHBand="0" w:firstRowFirstColumn="0" w:firstRowLastColumn="0" w:lastRowFirstColumn="0" w:lastRowLastColumn="0"/>
            </w:pPr>
            <w:r w:rsidRPr="0021550A">
              <w:t>9.1</w:t>
            </w:r>
          </w:p>
        </w:tc>
        <w:tc>
          <w:tcPr>
            <w:tcW w:w="854" w:type="dxa"/>
            <w:noWrap/>
            <w:hideMark/>
          </w:tcPr>
          <w:p w14:paraId="30832C40" w14:textId="77777777" w:rsidR="005C6DD1" w:rsidRPr="0021550A" w:rsidRDefault="005C6DD1" w:rsidP="005D06F2">
            <w:pPr>
              <w:ind w:firstLine="0"/>
              <w:jc w:val="center"/>
              <w:cnfStyle w:val="000000000000" w:firstRow="0" w:lastRow="0" w:firstColumn="0" w:lastColumn="0" w:oddVBand="0" w:evenVBand="0" w:oddHBand="0" w:evenHBand="0" w:firstRowFirstColumn="0" w:firstRowLastColumn="0" w:lastRowFirstColumn="0" w:lastRowLastColumn="0"/>
            </w:pPr>
            <w:r w:rsidRPr="0021550A">
              <w:t>10.0</w:t>
            </w:r>
          </w:p>
        </w:tc>
        <w:tc>
          <w:tcPr>
            <w:tcW w:w="853" w:type="dxa"/>
            <w:noWrap/>
            <w:hideMark/>
          </w:tcPr>
          <w:p w14:paraId="33456AB1" w14:textId="77777777" w:rsidR="005C6DD1" w:rsidRPr="0021550A" w:rsidRDefault="005C6DD1" w:rsidP="005D06F2">
            <w:pPr>
              <w:ind w:firstLine="0"/>
              <w:jc w:val="center"/>
              <w:cnfStyle w:val="000000000000" w:firstRow="0" w:lastRow="0" w:firstColumn="0" w:lastColumn="0" w:oddVBand="0" w:evenVBand="0" w:oddHBand="0" w:evenHBand="0" w:firstRowFirstColumn="0" w:firstRowLastColumn="0" w:lastRowFirstColumn="0" w:lastRowLastColumn="0"/>
            </w:pPr>
            <w:r w:rsidRPr="0021550A">
              <w:t>10.5</w:t>
            </w:r>
          </w:p>
        </w:tc>
        <w:tc>
          <w:tcPr>
            <w:tcW w:w="853" w:type="dxa"/>
            <w:noWrap/>
            <w:hideMark/>
          </w:tcPr>
          <w:p w14:paraId="091AE12B" w14:textId="77777777" w:rsidR="005C6DD1" w:rsidRPr="0021550A" w:rsidRDefault="005C6DD1" w:rsidP="005D06F2">
            <w:pPr>
              <w:ind w:firstLine="0"/>
              <w:jc w:val="center"/>
              <w:cnfStyle w:val="000000000000" w:firstRow="0" w:lastRow="0" w:firstColumn="0" w:lastColumn="0" w:oddVBand="0" w:evenVBand="0" w:oddHBand="0" w:evenHBand="0" w:firstRowFirstColumn="0" w:firstRowLastColumn="0" w:lastRowFirstColumn="0" w:lastRowLastColumn="0"/>
            </w:pPr>
            <w:r w:rsidRPr="0021550A">
              <w:t>17.4</w:t>
            </w:r>
          </w:p>
        </w:tc>
        <w:tc>
          <w:tcPr>
            <w:tcW w:w="853" w:type="dxa"/>
            <w:noWrap/>
            <w:hideMark/>
          </w:tcPr>
          <w:p w14:paraId="673CF26E" w14:textId="77777777" w:rsidR="005C6DD1" w:rsidRPr="0021550A" w:rsidRDefault="005C6DD1" w:rsidP="005D06F2">
            <w:pPr>
              <w:ind w:firstLine="0"/>
              <w:jc w:val="center"/>
              <w:cnfStyle w:val="000000000000" w:firstRow="0" w:lastRow="0" w:firstColumn="0" w:lastColumn="0" w:oddVBand="0" w:evenVBand="0" w:oddHBand="0" w:evenHBand="0" w:firstRowFirstColumn="0" w:firstRowLastColumn="0" w:lastRowFirstColumn="0" w:lastRowLastColumn="0"/>
            </w:pPr>
            <w:r w:rsidRPr="0021550A">
              <w:t>19.2</w:t>
            </w:r>
          </w:p>
        </w:tc>
        <w:tc>
          <w:tcPr>
            <w:tcW w:w="854" w:type="dxa"/>
            <w:noWrap/>
            <w:hideMark/>
          </w:tcPr>
          <w:p w14:paraId="282D4E90" w14:textId="4FC192BE" w:rsidR="005C6DD1" w:rsidRPr="0021550A" w:rsidRDefault="005C6DD1" w:rsidP="005D06F2">
            <w:pPr>
              <w:ind w:firstLine="0"/>
              <w:jc w:val="center"/>
              <w:cnfStyle w:val="000000000000" w:firstRow="0" w:lastRow="0" w:firstColumn="0" w:lastColumn="0" w:oddVBand="0" w:evenVBand="0" w:oddHBand="0" w:evenHBand="0" w:firstRowFirstColumn="0" w:firstRowLastColumn="0" w:lastRowFirstColumn="0" w:lastRowLastColumn="0"/>
            </w:pPr>
            <w:r w:rsidRPr="0021550A">
              <w:t>38.</w:t>
            </w:r>
            <w:r w:rsidR="0004504F" w:rsidRPr="0021550A">
              <w:t>5</w:t>
            </w:r>
          </w:p>
        </w:tc>
      </w:tr>
      <w:tr w:rsidR="00004D21" w:rsidRPr="0021550A" w14:paraId="07891215" w14:textId="77777777" w:rsidTr="00004D21">
        <w:trPr>
          <w:trHeight w:val="284"/>
        </w:trPr>
        <w:tc>
          <w:tcPr>
            <w:cnfStyle w:val="001000000000" w:firstRow="0" w:lastRow="0" w:firstColumn="1" w:lastColumn="0" w:oddVBand="0" w:evenVBand="0" w:oddHBand="0" w:evenHBand="0" w:firstRowFirstColumn="0" w:firstRowLastColumn="0" w:lastRowFirstColumn="0" w:lastRowLastColumn="0"/>
            <w:tcW w:w="1075" w:type="dxa"/>
            <w:noWrap/>
            <w:hideMark/>
          </w:tcPr>
          <w:p w14:paraId="40987A4B" w14:textId="77777777" w:rsidR="005C6DD1" w:rsidRPr="005D06F2" w:rsidRDefault="005C6DD1" w:rsidP="005D06F2">
            <w:pPr>
              <w:ind w:firstLine="0"/>
              <w:jc w:val="center"/>
              <w:rPr>
                <w:b w:val="0"/>
                <w:i/>
              </w:rPr>
            </w:pPr>
            <w:r w:rsidRPr="005D06F2">
              <w:rPr>
                <w:b w:val="0"/>
                <w:i/>
              </w:rPr>
              <w:t>chapyter</w:t>
            </w:r>
          </w:p>
        </w:tc>
        <w:tc>
          <w:tcPr>
            <w:tcW w:w="853" w:type="dxa"/>
            <w:noWrap/>
            <w:hideMark/>
          </w:tcPr>
          <w:p w14:paraId="34985AB3" w14:textId="77777777" w:rsidR="005C6DD1" w:rsidRPr="0021550A" w:rsidRDefault="005C6DD1" w:rsidP="005D06F2">
            <w:pPr>
              <w:ind w:firstLine="0"/>
              <w:jc w:val="center"/>
              <w:cnfStyle w:val="000000000000" w:firstRow="0" w:lastRow="0" w:firstColumn="0" w:lastColumn="0" w:oddVBand="0" w:evenVBand="0" w:oddHBand="0" w:evenHBand="0" w:firstRowFirstColumn="0" w:firstRowLastColumn="0" w:lastRowFirstColumn="0" w:lastRowLastColumn="0"/>
            </w:pPr>
            <w:r w:rsidRPr="0021550A">
              <w:t>0</w:t>
            </w:r>
          </w:p>
        </w:tc>
        <w:tc>
          <w:tcPr>
            <w:tcW w:w="853" w:type="dxa"/>
            <w:noWrap/>
            <w:hideMark/>
          </w:tcPr>
          <w:p w14:paraId="53DC5B7E" w14:textId="77777777" w:rsidR="005C6DD1" w:rsidRPr="0021550A" w:rsidRDefault="005C6DD1" w:rsidP="005D06F2">
            <w:pPr>
              <w:ind w:firstLine="0"/>
              <w:jc w:val="center"/>
              <w:cnfStyle w:val="000000000000" w:firstRow="0" w:lastRow="0" w:firstColumn="0" w:lastColumn="0" w:oddVBand="0" w:evenVBand="0" w:oddHBand="0" w:evenHBand="0" w:firstRowFirstColumn="0" w:firstRowLastColumn="0" w:lastRowFirstColumn="0" w:lastRowLastColumn="0"/>
            </w:pPr>
            <w:r w:rsidRPr="0021550A">
              <w:t>0</w:t>
            </w:r>
          </w:p>
        </w:tc>
        <w:tc>
          <w:tcPr>
            <w:tcW w:w="853" w:type="dxa"/>
            <w:noWrap/>
            <w:hideMark/>
          </w:tcPr>
          <w:p w14:paraId="47AEE224" w14:textId="77777777" w:rsidR="005C6DD1" w:rsidRPr="0021550A" w:rsidRDefault="005C6DD1" w:rsidP="005D06F2">
            <w:pPr>
              <w:ind w:firstLine="0"/>
              <w:jc w:val="center"/>
              <w:cnfStyle w:val="000000000000" w:firstRow="0" w:lastRow="0" w:firstColumn="0" w:lastColumn="0" w:oddVBand="0" w:evenVBand="0" w:oddHBand="0" w:evenHBand="0" w:firstRowFirstColumn="0" w:firstRowLastColumn="0" w:lastRowFirstColumn="0" w:lastRowLastColumn="0"/>
            </w:pPr>
            <w:r w:rsidRPr="0021550A">
              <w:t>0</w:t>
            </w:r>
          </w:p>
        </w:tc>
        <w:tc>
          <w:tcPr>
            <w:tcW w:w="854" w:type="dxa"/>
            <w:noWrap/>
            <w:hideMark/>
          </w:tcPr>
          <w:p w14:paraId="1B26521A" w14:textId="77777777" w:rsidR="005C6DD1" w:rsidRPr="0021550A" w:rsidRDefault="005C6DD1" w:rsidP="005D06F2">
            <w:pPr>
              <w:ind w:firstLine="0"/>
              <w:jc w:val="center"/>
              <w:cnfStyle w:val="000000000000" w:firstRow="0" w:lastRow="0" w:firstColumn="0" w:lastColumn="0" w:oddVBand="0" w:evenVBand="0" w:oddHBand="0" w:evenHBand="0" w:firstRowFirstColumn="0" w:firstRowLastColumn="0" w:lastRowFirstColumn="0" w:lastRowLastColumn="0"/>
            </w:pPr>
            <w:r w:rsidRPr="0021550A">
              <w:t>0</w:t>
            </w:r>
          </w:p>
        </w:tc>
        <w:tc>
          <w:tcPr>
            <w:tcW w:w="853" w:type="dxa"/>
            <w:noWrap/>
            <w:hideMark/>
          </w:tcPr>
          <w:p w14:paraId="28286CD0" w14:textId="77777777" w:rsidR="005C6DD1" w:rsidRPr="0021550A" w:rsidRDefault="005C6DD1" w:rsidP="005D06F2">
            <w:pPr>
              <w:ind w:firstLine="0"/>
              <w:jc w:val="center"/>
              <w:cnfStyle w:val="000000000000" w:firstRow="0" w:lastRow="0" w:firstColumn="0" w:lastColumn="0" w:oddVBand="0" w:evenVBand="0" w:oddHBand="0" w:evenHBand="0" w:firstRowFirstColumn="0" w:firstRowLastColumn="0" w:lastRowFirstColumn="0" w:lastRowLastColumn="0"/>
            </w:pPr>
            <w:r w:rsidRPr="0021550A">
              <w:t>10.5</w:t>
            </w:r>
          </w:p>
        </w:tc>
        <w:tc>
          <w:tcPr>
            <w:tcW w:w="853" w:type="dxa"/>
            <w:noWrap/>
            <w:hideMark/>
          </w:tcPr>
          <w:p w14:paraId="31E33856" w14:textId="77777777" w:rsidR="005C6DD1" w:rsidRPr="0021550A" w:rsidRDefault="005C6DD1" w:rsidP="005D06F2">
            <w:pPr>
              <w:ind w:firstLine="0"/>
              <w:jc w:val="center"/>
              <w:cnfStyle w:val="000000000000" w:firstRow="0" w:lastRow="0" w:firstColumn="0" w:lastColumn="0" w:oddVBand="0" w:evenVBand="0" w:oddHBand="0" w:evenHBand="0" w:firstRowFirstColumn="0" w:firstRowLastColumn="0" w:lastRowFirstColumn="0" w:lastRowLastColumn="0"/>
            </w:pPr>
            <w:r w:rsidRPr="0021550A">
              <w:t>0</w:t>
            </w:r>
          </w:p>
        </w:tc>
        <w:tc>
          <w:tcPr>
            <w:tcW w:w="853" w:type="dxa"/>
            <w:noWrap/>
            <w:hideMark/>
          </w:tcPr>
          <w:p w14:paraId="74F50DBC" w14:textId="77777777" w:rsidR="005C6DD1" w:rsidRPr="0021550A" w:rsidRDefault="005C6DD1" w:rsidP="005D06F2">
            <w:pPr>
              <w:ind w:firstLine="0"/>
              <w:jc w:val="center"/>
              <w:cnfStyle w:val="000000000000" w:firstRow="0" w:lastRow="0" w:firstColumn="0" w:lastColumn="0" w:oddVBand="0" w:evenVBand="0" w:oddHBand="0" w:evenHBand="0" w:firstRowFirstColumn="0" w:firstRowLastColumn="0" w:lastRowFirstColumn="0" w:lastRowLastColumn="0"/>
            </w:pPr>
            <w:r w:rsidRPr="0021550A">
              <w:t>3.8</w:t>
            </w:r>
          </w:p>
        </w:tc>
        <w:tc>
          <w:tcPr>
            <w:tcW w:w="854" w:type="dxa"/>
            <w:noWrap/>
            <w:hideMark/>
          </w:tcPr>
          <w:p w14:paraId="781CE4F9" w14:textId="77777777" w:rsidR="005C6DD1" w:rsidRPr="0021550A" w:rsidRDefault="005C6DD1" w:rsidP="005D06F2">
            <w:pPr>
              <w:ind w:firstLine="0"/>
              <w:jc w:val="center"/>
              <w:cnfStyle w:val="000000000000" w:firstRow="0" w:lastRow="0" w:firstColumn="0" w:lastColumn="0" w:oddVBand="0" w:evenVBand="0" w:oddHBand="0" w:evenHBand="0" w:firstRowFirstColumn="0" w:firstRowLastColumn="0" w:lastRowFirstColumn="0" w:lastRowLastColumn="0"/>
            </w:pPr>
            <w:r w:rsidRPr="0021550A">
              <w:t>0</w:t>
            </w:r>
          </w:p>
        </w:tc>
      </w:tr>
      <w:tr w:rsidR="00004D21" w:rsidRPr="0021550A" w14:paraId="57C6D907" w14:textId="77777777" w:rsidTr="008A2E5F">
        <w:trPr>
          <w:trHeight w:val="284"/>
        </w:trPr>
        <w:tc>
          <w:tcPr>
            <w:cnfStyle w:val="001000000000" w:firstRow="0" w:lastRow="0" w:firstColumn="1" w:lastColumn="0" w:oddVBand="0" w:evenVBand="0" w:oddHBand="0" w:evenHBand="0" w:firstRowFirstColumn="0" w:firstRowLastColumn="0" w:lastRowFirstColumn="0" w:lastRowLastColumn="0"/>
            <w:tcW w:w="1075" w:type="dxa"/>
            <w:noWrap/>
            <w:hideMark/>
          </w:tcPr>
          <w:p w14:paraId="30875937" w14:textId="77777777" w:rsidR="005C6DD1" w:rsidRPr="005D06F2" w:rsidRDefault="005C6DD1" w:rsidP="005D06F2">
            <w:pPr>
              <w:ind w:firstLine="0"/>
              <w:jc w:val="center"/>
              <w:rPr>
                <w:b w:val="0"/>
                <w:i/>
              </w:rPr>
            </w:pPr>
            <w:r w:rsidRPr="005D06F2">
              <w:rPr>
                <w:b w:val="0"/>
                <w:i/>
              </w:rPr>
              <w:t>chapytre</w:t>
            </w:r>
          </w:p>
        </w:tc>
        <w:tc>
          <w:tcPr>
            <w:tcW w:w="853" w:type="dxa"/>
            <w:shd w:val="clear" w:color="auto" w:fill="FFF2CC" w:themeFill="accent4" w:themeFillTint="33"/>
            <w:noWrap/>
            <w:hideMark/>
          </w:tcPr>
          <w:p w14:paraId="5376658D" w14:textId="77777777" w:rsidR="005C6DD1" w:rsidRPr="0021550A" w:rsidRDefault="005C6DD1" w:rsidP="005D06F2">
            <w:pPr>
              <w:ind w:firstLine="0"/>
              <w:jc w:val="center"/>
              <w:cnfStyle w:val="000000000000" w:firstRow="0" w:lastRow="0" w:firstColumn="0" w:lastColumn="0" w:oddVBand="0" w:evenVBand="0" w:oddHBand="0" w:evenHBand="0" w:firstRowFirstColumn="0" w:firstRowLastColumn="0" w:lastRowFirstColumn="0" w:lastRowLastColumn="0"/>
            </w:pPr>
            <w:r w:rsidRPr="0021550A">
              <w:t>92.3</w:t>
            </w:r>
          </w:p>
        </w:tc>
        <w:tc>
          <w:tcPr>
            <w:tcW w:w="853" w:type="dxa"/>
            <w:shd w:val="clear" w:color="auto" w:fill="FFF2CC" w:themeFill="accent4" w:themeFillTint="33"/>
            <w:noWrap/>
            <w:hideMark/>
          </w:tcPr>
          <w:p w14:paraId="0022B282" w14:textId="77777777" w:rsidR="005C6DD1" w:rsidRPr="0021550A" w:rsidRDefault="005C6DD1" w:rsidP="005D06F2">
            <w:pPr>
              <w:ind w:firstLine="0"/>
              <w:jc w:val="center"/>
              <w:cnfStyle w:val="000000000000" w:firstRow="0" w:lastRow="0" w:firstColumn="0" w:lastColumn="0" w:oddVBand="0" w:evenVBand="0" w:oddHBand="0" w:evenHBand="0" w:firstRowFirstColumn="0" w:firstRowLastColumn="0" w:lastRowFirstColumn="0" w:lastRowLastColumn="0"/>
            </w:pPr>
            <w:r w:rsidRPr="0021550A">
              <w:t>94.6</w:t>
            </w:r>
          </w:p>
        </w:tc>
        <w:tc>
          <w:tcPr>
            <w:tcW w:w="853" w:type="dxa"/>
            <w:shd w:val="clear" w:color="auto" w:fill="FFF2CC" w:themeFill="accent4" w:themeFillTint="33"/>
            <w:noWrap/>
            <w:hideMark/>
          </w:tcPr>
          <w:p w14:paraId="4E26E85D" w14:textId="77777777" w:rsidR="005C6DD1" w:rsidRPr="0021550A" w:rsidRDefault="005C6DD1" w:rsidP="005D06F2">
            <w:pPr>
              <w:ind w:firstLine="0"/>
              <w:jc w:val="center"/>
              <w:cnfStyle w:val="000000000000" w:firstRow="0" w:lastRow="0" w:firstColumn="0" w:lastColumn="0" w:oddVBand="0" w:evenVBand="0" w:oddHBand="0" w:evenHBand="0" w:firstRowFirstColumn="0" w:firstRowLastColumn="0" w:lastRowFirstColumn="0" w:lastRowLastColumn="0"/>
            </w:pPr>
            <w:r w:rsidRPr="0021550A">
              <w:t>90.9</w:t>
            </w:r>
          </w:p>
        </w:tc>
        <w:tc>
          <w:tcPr>
            <w:tcW w:w="854" w:type="dxa"/>
            <w:shd w:val="clear" w:color="auto" w:fill="FFF2CC" w:themeFill="accent4" w:themeFillTint="33"/>
            <w:noWrap/>
            <w:hideMark/>
          </w:tcPr>
          <w:p w14:paraId="45AD0809" w14:textId="77777777" w:rsidR="005C6DD1" w:rsidRPr="0021550A" w:rsidRDefault="005C6DD1" w:rsidP="005D06F2">
            <w:pPr>
              <w:ind w:firstLine="0"/>
              <w:jc w:val="center"/>
              <w:cnfStyle w:val="000000000000" w:firstRow="0" w:lastRow="0" w:firstColumn="0" w:lastColumn="0" w:oddVBand="0" w:evenVBand="0" w:oddHBand="0" w:evenHBand="0" w:firstRowFirstColumn="0" w:firstRowLastColumn="0" w:lastRowFirstColumn="0" w:lastRowLastColumn="0"/>
            </w:pPr>
            <w:r w:rsidRPr="0021550A">
              <w:t>90.0</w:t>
            </w:r>
          </w:p>
        </w:tc>
        <w:tc>
          <w:tcPr>
            <w:tcW w:w="853" w:type="dxa"/>
            <w:shd w:val="clear" w:color="auto" w:fill="DEEAF6" w:themeFill="accent5" w:themeFillTint="33"/>
            <w:noWrap/>
            <w:hideMark/>
          </w:tcPr>
          <w:p w14:paraId="1A1A17BD" w14:textId="77777777" w:rsidR="005C6DD1" w:rsidRPr="0021550A" w:rsidRDefault="005C6DD1" w:rsidP="005D06F2">
            <w:pPr>
              <w:ind w:firstLine="0"/>
              <w:jc w:val="center"/>
              <w:cnfStyle w:val="000000000000" w:firstRow="0" w:lastRow="0" w:firstColumn="0" w:lastColumn="0" w:oddVBand="0" w:evenVBand="0" w:oddHBand="0" w:evenHBand="0" w:firstRowFirstColumn="0" w:firstRowLastColumn="0" w:lastRowFirstColumn="0" w:lastRowLastColumn="0"/>
            </w:pPr>
            <w:r w:rsidRPr="0021550A">
              <w:t>79.0</w:t>
            </w:r>
          </w:p>
        </w:tc>
        <w:tc>
          <w:tcPr>
            <w:tcW w:w="853" w:type="dxa"/>
            <w:shd w:val="clear" w:color="auto" w:fill="DEEAF6" w:themeFill="accent5" w:themeFillTint="33"/>
            <w:noWrap/>
            <w:hideMark/>
          </w:tcPr>
          <w:p w14:paraId="760D78A9" w14:textId="77777777" w:rsidR="005C6DD1" w:rsidRPr="0021550A" w:rsidRDefault="005C6DD1" w:rsidP="005D06F2">
            <w:pPr>
              <w:ind w:firstLine="0"/>
              <w:jc w:val="center"/>
              <w:cnfStyle w:val="000000000000" w:firstRow="0" w:lastRow="0" w:firstColumn="0" w:lastColumn="0" w:oddVBand="0" w:evenVBand="0" w:oddHBand="0" w:evenHBand="0" w:firstRowFirstColumn="0" w:firstRowLastColumn="0" w:lastRowFirstColumn="0" w:lastRowLastColumn="0"/>
            </w:pPr>
            <w:r w:rsidRPr="0021550A">
              <w:t>69.6</w:t>
            </w:r>
          </w:p>
        </w:tc>
        <w:tc>
          <w:tcPr>
            <w:tcW w:w="853" w:type="dxa"/>
            <w:shd w:val="clear" w:color="auto" w:fill="DEEAF6" w:themeFill="accent5" w:themeFillTint="33"/>
            <w:noWrap/>
            <w:hideMark/>
          </w:tcPr>
          <w:p w14:paraId="7DDAE4C6" w14:textId="77777777" w:rsidR="005C6DD1" w:rsidRPr="0021550A" w:rsidRDefault="005C6DD1" w:rsidP="005D06F2">
            <w:pPr>
              <w:ind w:firstLine="0"/>
              <w:jc w:val="center"/>
              <w:cnfStyle w:val="000000000000" w:firstRow="0" w:lastRow="0" w:firstColumn="0" w:lastColumn="0" w:oddVBand="0" w:evenVBand="0" w:oddHBand="0" w:evenHBand="0" w:firstRowFirstColumn="0" w:firstRowLastColumn="0" w:lastRowFirstColumn="0" w:lastRowLastColumn="0"/>
            </w:pPr>
            <w:r w:rsidRPr="0021550A">
              <w:t>76.9</w:t>
            </w:r>
          </w:p>
        </w:tc>
        <w:tc>
          <w:tcPr>
            <w:tcW w:w="854" w:type="dxa"/>
            <w:shd w:val="clear" w:color="auto" w:fill="DEEAF6" w:themeFill="accent5" w:themeFillTint="33"/>
            <w:noWrap/>
            <w:hideMark/>
          </w:tcPr>
          <w:p w14:paraId="51878A06" w14:textId="502770B8" w:rsidR="005C6DD1" w:rsidRPr="0021550A" w:rsidRDefault="005C6DD1" w:rsidP="005D06F2">
            <w:pPr>
              <w:ind w:firstLine="0"/>
              <w:jc w:val="center"/>
              <w:cnfStyle w:val="000000000000" w:firstRow="0" w:lastRow="0" w:firstColumn="0" w:lastColumn="0" w:oddVBand="0" w:evenVBand="0" w:oddHBand="0" w:evenHBand="0" w:firstRowFirstColumn="0" w:firstRowLastColumn="0" w:lastRowFirstColumn="0" w:lastRowLastColumn="0"/>
            </w:pPr>
            <w:r w:rsidRPr="0021550A">
              <w:t>61.5</w:t>
            </w:r>
          </w:p>
        </w:tc>
      </w:tr>
      <w:tr w:rsidR="00004D21" w:rsidRPr="0021550A" w14:paraId="2C2A62F1" w14:textId="77777777" w:rsidTr="00004D21">
        <w:trPr>
          <w:trHeight w:val="284"/>
        </w:trPr>
        <w:tc>
          <w:tcPr>
            <w:cnfStyle w:val="001000000000" w:firstRow="0" w:lastRow="0" w:firstColumn="1" w:lastColumn="0" w:oddVBand="0" w:evenVBand="0" w:oddHBand="0" w:evenHBand="0" w:firstRowFirstColumn="0" w:firstRowLastColumn="0" w:lastRowFirstColumn="0" w:lastRowLastColumn="0"/>
            <w:tcW w:w="1075" w:type="dxa"/>
            <w:noWrap/>
            <w:hideMark/>
          </w:tcPr>
          <w:p w14:paraId="0280BB03" w14:textId="77777777" w:rsidR="005C6DD1" w:rsidRPr="005D06F2" w:rsidRDefault="005C6DD1" w:rsidP="005D06F2">
            <w:pPr>
              <w:ind w:firstLine="0"/>
              <w:jc w:val="center"/>
              <w:rPr>
                <w:b w:val="0"/>
                <w:i/>
              </w:rPr>
            </w:pPr>
            <w:r w:rsidRPr="005D06F2">
              <w:rPr>
                <w:b w:val="0"/>
                <w:i/>
              </w:rPr>
              <w:t>chapytrr</w:t>
            </w:r>
          </w:p>
        </w:tc>
        <w:tc>
          <w:tcPr>
            <w:tcW w:w="853" w:type="dxa"/>
            <w:noWrap/>
            <w:hideMark/>
          </w:tcPr>
          <w:p w14:paraId="1F9310EC" w14:textId="77777777" w:rsidR="005C6DD1" w:rsidRPr="0021550A" w:rsidRDefault="005C6DD1" w:rsidP="005D06F2">
            <w:pPr>
              <w:ind w:firstLine="0"/>
              <w:jc w:val="center"/>
              <w:cnfStyle w:val="000000000000" w:firstRow="0" w:lastRow="0" w:firstColumn="0" w:lastColumn="0" w:oddVBand="0" w:evenVBand="0" w:oddHBand="0" w:evenHBand="0" w:firstRowFirstColumn="0" w:firstRowLastColumn="0" w:lastRowFirstColumn="0" w:lastRowLastColumn="0"/>
            </w:pPr>
            <w:r w:rsidRPr="0021550A">
              <w:t>1.9</w:t>
            </w:r>
          </w:p>
        </w:tc>
        <w:tc>
          <w:tcPr>
            <w:tcW w:w="853" w:type="dxa"/>
            <w:noWrap/>
            <w:hideMark/>
          </w:tcPr>
          <w:p w14:paraId="67FCF55E" w14:textId="77777777" w:rsidR="005C6DD1" w:rsidRPr="0021550A" w:rsidRDefault="005C6DD1" w:rsidP="005D06F2">
            <w:pPr>
              <w:ind w:firstLine="0"/>
              <w:jc w:val="center"/>
              <w:cnfStyle w:val="000000000000" w:firstRow="0" w:lastRow="0" w:firstColumn="0" w:lastColumn="0" w:oddVBand="0" w:evenVBand="0" w:oddHBand="0" w:evenHBand="0" w:firstRowFirstColumn="0" w:firstRowLastColumn="0" w:lastRowFirstColumn="0" w:lastRowLastColumn="0"/>
            </w:pPr>
            <w:r w:rsidRPr="0021550A">
              <w:t>0</w:t>
            </w:r>
          </w:p>
        </w:tc>
        <w:tc>
          <w:tcPr>
            <w:tcW w:w="853" w:type="dxa"/>
            <w:noWrap/>
            <w:hideMark/>
          </w:tcPr>
          <w:p w14:paraId="6E5DFA80" w14:textId="77777777" w:rsidR="005C6DD1" w:rsidRPr="0021550A" w:rsidRDefault="005C6DD1" w:rsidP="005D06F2">
            <w:pPr>
              <w:ind w:firstLine="0"/>
              <w:jc w:val="center"/>
              <w:cnfStyle w:val="000000000000" w:firstRow="0" w:lastRow="0" w:firstColumn="0" w:lastColumn="0" w:oddVBand="0" w:evenVBand="0" w:oddHBand="0" w:evenHBand="0" w:firstRowFirstColumn="0" w:firstRowLastColumn="0" w:lastRowFirstColumn="0" w:lastRowLastColumn="0"/>
            </w:pPr>
            <w:r w:rsidRPr="0021550A">
              <w:t>0</w:t>
            </w:r>
          </w:p>
        </w:tc>
        <w:tc>
          <w:tcPr>
            <w:tcW w:w="854" w:type="dxa"/>
            <w:noWrap/>
            <w:hideMark/>
          </w:tcPr>
          <w:p w14:paraId="265FFB29" w14:textId="77777777" w:rsidR="005C6DD1" w:rsidRPr="0021550A" w:rsidRDefault="005C6DD1" w:rsidP="005D06F2">
            <w:pPr>
              <w:ind w:firstLine="0"/>
              <w:jc w:val="center"/>
              <w:cnfStyle w:val="000000000000" w:firstRow="0" w:lastRow="0" w:firstColumn="0" w:lastColumn="0" w:oddVBand="0" w:evenVBand="0" w:oddHBand="0" w:evenHBand="0" w:firstRowFirstColumn="0" w:firstRowLastColumn="0" w:lastRowFirstColumn="0" w:lastRowLastColumn="0"/>
            </w:pPr>
            <w:r w:rsidRPr="0021550A">
              <w:t>0</w:t>
            </w:r>
          </w:p>
        </w:tc>
        <w:tc>
          <w:tcPr>
            <w:tcW w:w="853" w:type="dxa"/>
            <w:noWrap/>
            <w:hideMark/>
          </w:tcPr>
          <w:p w14:paraId="4B3314B5" w14:textId="77777777" w:rsidR="005C6DD1" w:rsidRPr="0021550A" w:rsidRDefault="005C6DD1" w:rsidP="005D06F2">
            <w:pPr>
              <w:ind w:firstLine="0"/>
              <w:jc w:val="center"/>
              <w:cnfStyle w:val="000000000000" w:firstRow="0" w:lastRow="0" w:firstColumn="0" w:lastColumn="0" w:oddVBand="0" w:evenVBand="0" w:oddHBand="0" w:evenHBand="0" w:firstRowFirstColumn="0" w:firstRowLastColumn="0" w:lastRowFirstColumn="0" w:lastRowLastColumn="0"/>
            </w:pPr>
            <w:r w:rsidRPr="0021550A">
              <w:t>0</w:t>
            </w:r>
          </w:p>
        </w:tc>
        <w:tc>
          <w:tcPr>
            <w:tcW w:w="853" w:type="dxa"/>
            <w:noWrap/>
            <w:hideMark/>
          </w:tcPr>
          <w:p w14:paraId="01AE422B" w14:textId="77777777" w:rsidR="005C6DD1" w:rsidRPr="0021550A" w:rsidRDefault="005C6DD1" w:rsidP="005D06F2">
            <w:pPr>
              <w:ind w:firstLine="0"/>
              <w:jc w:val="center"/>
              <w:cnfStyle w:val="000000000000" w:firstRow="0" w:lastRow="0" w:firstColumn="0" w:lastColumn="0" w:oddVBand="0" w:evenVBand="0" w:oddHBand="0" w:evenHBand="0" w:firstRowFirstColumn="0" w:firstRowLastColumn="0" w:lastRowFirstColumn="0" w:lastRowLastColumn="0"/>
            </w:pPr>
            <w:r w:rsidRPr="0021550A">
              <w:t>0</w:t>
            </w:r>
          </w:p>
        </w:tc>
        <w:tc>
          <w:tcPr>
            <w:tcW w:w="853" w:type="dxa"/>
            <w:noWrap/>
            <w:hideMark/>
          </w:tcPr>
          <w:p w14:paraId="152D1A01" w14:textId="77777777" w:rsidR="005C6DD1" w:rsidRPr="0021550A" w:rsidRDefault="005C6DD1" w:rsidP="005D06F2">
            <w:pPr>
              <w:ind w:firstLine="0"/>
              <w:jc w:val="center"/>
              <w:cnfStyle w:val="000000000000" w:firstRow="0" w:lastRow="0" w:firstColumn="0" w:lastColumn="0" w:oddVBand="0" w:evenVBand="0" w:oddHBand="0" w:evenHBand="0" w:firstRowFirstColumn="0" w:firstRowLastColumn="0" w:lastRowFirstColumn="0" w:lastRowLastColumn="0"/>
            </w:pPr>
            <w:r w:rsidRPr="0021550A">
              <w:t>0</w:t>
            </w:r>
          </w:p>
        </w:tc>
        <w:tc>
          <w:tcPr>
            <w:tcW w:w="854" w:type="dxa"/>
            <w:noWrap/>
            <w:hideMark/>
          </w:tcPr>
          <w:p w14:paraId="7E4B5C8C" w14:textId="77777777" w:rsidR="005C6DD1" w:rsidRPr="0021550A" w:rsidRDefault="005C6DD1" w:rsidP="005D06F2">
            <w:pPr>
              <w:ind w:firstLine="0"/>
              <w:jc w:val="center"/>
              <w:cnfStyle w:val="000000000000" w:firstRow="0" w:lastRow="0" w:firstColumn="0" w:lastColumn="0" w:oddVBand="0" w:evenVBand="0" w:oddHBand="0" w:evenHBand="0" w:firstRowFirstColumn="0" w:firstRowLastColumn="0" w:lastRowFirstColumn="0" w:lastRowLastColumn="0"/>
            </w:pPr>
            <w:r w:rsidRPr="0021550A">
              <w:t>0</w:t>
            </w:r>
          </w:p>
        </w:tc>
      </w:tr>
    </w:tbl>
    <w:p w14:paraId="141C19B0" w14:textId="6C9ED142" w:rsidR="0004504F" w:rsidRPr="0021550A" w:rsidRDefault="00453776" w:rsidP="000737CB">
      <w:pPr>
        <w:pStyle w:val="Caption"/>
      </w:pPr>
      <w:bookmarkStart w:id="127" w:name="_Toc499753481"/>
      <w:r>
        <w:t xml:space="preserve">Table 5.1: </w:t>
      </w:r>
      <w:r w:rsidR="00947E43" w:rsidRPr="0021550A">
        <w:t>Ratios</w:t>
      </w:r>
      <w:r w:rsidR="00504C5D" w:rsidRPr="0021550A">
        <w:t xml:space="preserve"> of s</w:t>
      </w:r>
      <w:r w:rsidR="0004504F" w:rsidRPr="0021550A">
        <w:t>pelling</w:t>
      </w:r>
      <w:r w:rsidR="00CC6F2E">
        <w:t>s</w:t>
      </w:r>
      <w:r w:rsidR="0004504F" w:rsidRPr="0021550A">
        <w:t xml:space="preserve"> for </w:t>
      </w:r>
      <w:r w:rsidR="0004504F" w:rsidRPr="0021550A">
        <w:rPr>
          <w:smallCaps/>
        </w:rPr>
        <w:t>chapter</w:t>
      </w:r>
      <w:r w:rsidR="0004504F" w:rsidRPr="0021550A">
        <w:t xml:space="preserve"> in quires of the </w:t>
      </w:r>
      <w:r w:rsidR="0004504F" w:rsidRPr="0021550A">
        <w:rPr>
          <w:i/>
        </w:rPr>
        <w:t>Book of Good Manners</w:t>
      </w:r>
      <w:bookmarkEnd w:id="127"/>
    </w:p>
    <w:p w14:paraId="5C7508C1" w14:textId="77777777" w:rsidR="0004504F" w:rsidRPr="0021550A" w:rsidRDefault="0004504F" w:rsidP="000737CB"/>
    <w:p w14:paraId="4B523BE9" w14:textId="07329175" w:rsidR="00711926" w:rsidRPr="0021550A" w:rsidRDefault="00711926" w:rsidP="000737CB">
      <w:r w:rsidRPr="0021550A">
        <w:t xml:space="preserve">The </w:t>
      </w:r>
      <w:r w:rsidRPr="0021550A">
        <w:rPr>
          <w:i/>
        </w:rPr>
        <w:t xml:space="preserve">Book of Good Manners </w:t>
      </w:r>
      <w:r w:rsidRPr="0021550A">
        <w:t>is the shortest text analysed in this chapter, running to</w:t>
      </w:r>
      <w:r w:rsidR="00947E43" w:rsidRPr="0021550A">
        <w:t xml:space="preserve"> just eight quires. In </w:t>
      </w:r>
      <w:r w:rsidR="00E12429">
        <w:fldChar w:fldCharType="begin"/>
      </w:r>
      <w:r w:rsidR="00E12429">
        <w:instrText xml:space="preserve"> REF _Ref490671941 </w:instrText>
      </w:r>
      <w:r w:rsidR="00E12429">
        <w:fldChar w:fldCharType="separate"/>
      </w:r>
      <w:r w:rsidR="00D11844" w:rsidRPr="0021550A">
        <w:t xml:space="preserve">Table </w:t>
      </w:r>
      <w:r w:rsidR="00D11844">
        <w:rPr>
          <w:noProof/>
        </w:rPr>
        <w:t>5</w:t>
      </w:r>
      <w:r w:rsidR="00D11844">
        <w:t>.</w:t>
      </w:r>
      <w:r w:rsidR="00D11844">
        <w:rPr>
          <w:noProof/>
        </w:rPr>
        <w:t>1</w:t>
      </w:r>
      <w:r w:rsidR="00E12429">
        <w:rPr>
          <w:noProof/>
        </w:rPr>
        <w:fldChar w:fldCharType="end"/>
      </w:r>
      <w:r w:rsidRPr="0021550A">
        <w:t xml:space="preserve"> we can see that in most quires, the variant </w:t>
      </w:r>
      <w:r w:rsidRPr="0021550A">
        <w:rPr>
          <w:i/>
        </w:rPr>
        <w:t>chapytre</w:t>
      </w:r>
      <w:r w:rsidRPr="0021550A">
        <w:t xml:space="preserve"> is used to represent the word </w:t>
      </w:r>
      <w:r w:rsidRPr="0021550A">
        <w:rPr>
          <w:smallCaps/>
        </w:rPr>
        <w:t>chapter</w:t>
      </w:r>
      <w:r w:rsidRPr="0021550A">
        <w:t xml:space="preserve">, but the preference for this variable is not the same throughout the text. Quires A to D use </w:t>
      </w:r>
      <w:r w:rsidRPr="0021550A">
        <w:rPr>
          <w:i/>
        </w:rPr>
        <w:t>chapytre</w:t>
      </w:r>
      <w:r w:rsidRPr="0021550A">
        <w:t xml:space="preserve"> around ninety per cent of the time, but the preference for this variable drops markedly in Quires E to H. </w:t>
      </w:r>
    </w:p>
    <w:p w14:paraId="08954A59" w14:textId="706A4DE2" w:rsidR="00CC5184" w:rsidRPr="0021550A" w:rsidRDefault="00497062" w:rsidP="000737CB">
      <w:r w:rsidRPr="0021550A">
        <w:t xml:space="preserve">The clustering algorithm compares how all the </w:t>
      </w:r>
      <w:r w:rsidR="00947E43" w:rsidRPr="0021550A">
        <w:t xml:space="preserve">spelling </w:t>
      </w:r>
      <w:r w:rsidRPr="0021550A">
        <w:t xml:space="preserve">variants </w:t>
      </w:r>
      <w:r w:rsidR="00947E43" w:rsidRPr="0021550A">
        <w:t xml:space="preserve">for </w:t>
      </w:r>
      <w:r w:rsidR="00947E43" w:rsidRPr="0021550A">
        <w:rPr>
          <w:smallCaps/>
        </w:rPr>
        <w:t xml:space="preserve">chapter </w:t>
      </w:r>
      <w:r w:rsidRPr="0021550A">
        <w:t>are used in each quire</w:t>
      </w:r>
      <w:r w:rsidR="00C0174B" w:rsidRPr="0021550A">
        <w:t xml:space="preserve"> of the </w:t>
      </w:r>
      <w:r w:rsidR="00C0174B" w:rsidRPr="0021550A">
        <w:rPr>
          <w:i/>
        </w:rPr>
        <w:t>Book of Good Manners</w:t>
      </w:r>
      <w:r w:rsidRPr="0021550A">
        <w:t xml:space="preserve">, </w:t>
      </w:r>
      <w:r w:rsidR="00947E43" w:rsidRPr="0021550A">
        <w:t xml:space="preserve">and combines them with the spelling variants for all other words used in each quire, </w:t>
      </w:r>
      <w:r w:rsidRPr="0021550A">
        <w:t xml:space="preserve">and </w:t>
      </w:r>
      <w:r w:rsidR="00947E43" w:rsidRPr="0021550A">
        <w:t xml:space="preserve">then </w:t>
      </w:r>
      <w:r w:rsidRPr="0021550A">
        <w:t xml:space="preserve">clusters </w:t>
      </w:r>
      <w:r w:rsidR="00947E43" w:rsidRPr="0021550A">
        <w:t xml:space="preserve">the quires </w:t>
      </w:r>
      <w:r w:rsidR="00C0174B" w:rsidRPr="0021550A">
        <w:t>based on</w:t>
      </w:r>
      <w:r w:rsidRPr="0021550A">
        <w:t xml:space="preserve"> all the </w:t>
      </w:r>
      <w:r w:rsidR="00C0174B" w:rsidRPr="0021550A">
        <w:t xml:space="preserve">spelling </w:t>
      </w:r>
      <w:r w:rsidRPr="0021550A">
        <w:t xml:space="preserve">information. </w:t>
      </w:r>
      <w:r w:rsidR="009E4505">
        <w:t xml:space="preserve">Were we to cluster the </w:t>
      </w:r>
      <w:r w:rsidR="009E4505">
        <w:rPr>
          <w:i/>
        </w:rPr>
        <w:t xml:space="preserve">Book of Good Manners </w:t>
      </w:r>
      <w:r w:rsidR="009E4505">
        <w:t xml:space="preserve">based on the information in </w:t>
      </w:r>
      <w:r w:rsidR="009E4505">
        <w:fldChar w:fldCharType="begin"/>
      </w:r>
      <w:r w:rsidR="009E4505">
        <w:instrText xml:space="preserve"> REF _Ref490671941 </w:instrText>
      </w:r>
      <w:r w:rsidR="009E4505">
        <w:fldChar w:fldCharType="separate"/>
      </w:r>
      <w:r w:rsidR="00D11844" w:rsidRPr="0021550A">
        <w:t xml:space="preserve">Table </w:t>
      </w:r>
      <w:r w:rsidR="00D11844">
        <w:rPr>
          <w:noProof/>
        </w:rPr>
        <w:t>5</w:t>
      </w:r>
      <w:r w:rsidR="00D11844">
        <w:t>.</w:t>
      </w:r>
      <w:r w:rsidR="00D11844">
        <w:rPr>
          <w:noProof/>
        </w:rPr>
        <w:t>1</w:t>
      </w:r>
      <w:r w:rsidR="009E4505">
        <w:rPr>
          <w:noProof/>
        </w:rPr>
        <w:fldChar w:fldCharType="end"/>
      </w:r>
      <w:r w:rsidR="009E4505">
        <w:rPr>
          <w:noProof/>
        </w:rPr>
        <w:t xml:space="preserve">, then we would group Quire A to Quire D together and Quire E to Quire H together. </w:t>
      </w:r>
      <w:r w:rsidR="00C0174B" w:rsidRPr="0021550A">
        <w:t xml:space="preserve">The information in </w:t>
      </w:r>
      <w:r w:rsidR="00E12429">
        <w:fldChar w:fldCharType="begin"/>
      </w:r>
      <w:r w:rsidR="00E12429">
        <w:instrText xml:space="preserve"> REF _Ref490671941 </w:instrText>
      </w:r>
      <w:r w:rsidR="00E12429">
        <w:fldChar w:fldCharType="separate"/>
      </w:r>
      <w:r w:rsidR="00D11844" w:rsidRPr="0021550A">
        <w:t xml:space="preserve">Table </w:t>
      </w:r>
      <w:r w:rsidR="00D11844">
        <w:rPr>
          <w:noProof/>
        </w:rPr>
        <w:t>5</w:t>
      </w:r>
      <w:r w:rsidR="00D11844">
        <w:t>.</w:t>
      </w:r>
      <w:r w:rsidR="00D11844">
        <w:rPr>
          <w:noProof/>
        </w:rPr>
        <w:t>1</w:t>
      </w:r>
      <w:r w:rsidR="00E12429">
        <w:rPr>
          <w:noProof/>
        </w:rPr>
        <w:fldChar w:fldCharType="end"/>
      </w:r>
      <w:r w:rsidR="00947E43" w:rsidRPr="0021550A">
        <w:t xml:space="preserve"> </w:t>
      </w:r>
      <w:r w:rsidR="00C0174B" w:rsidRPr="0021550A">
        <w:t>is a subset of the data</w:t>
      </w:r>
      <w:r w:rsidR="00947E43" w:rsidRPr="0021550A">
        <w:t xml:space="preserve">, because it only </w:t>
      </w:r>
      <w:r w:rsidR="00947E43" w:rsidRPr="0021550A">
        <w:lastRenderedPageBreak/>
        <w:t xml:space="preserve">includes the word </w:t>
      </w:r>
      <w:r w:rsidR="00947E43" w:rsidRPr="0021550A">
        <w:rPr>
          <w:smallCaps/>
        </w:rPr>
        <w:t>chapter</w:t>
      </w:r>
      <w:r w:rsidR="00947E43" w:rsidRPr="0021550A">
        <w:t xml:space="preserve"> to demonstrate variation in ratios across all the quires of the text. </w:t>
      </w:r>
      <w:r w:rsidR="00C0174B" w:rsidRPr="0021550A">
        <w:t xml:space="preserve">The whole </w:t>
      </w:r>
      <w:r w:rsidR="009A094B" w:rsidRPr="0021550A">
        <w:t>matrix</w:t>
      </w:r>
      <w:r w:rsidR="00C0174B" w:rsidRPr="0021550A">
        <w:t xml:space="preserve"> for the </w:t>
      </w:r>
      <w:r w:rsidR="00C0174B" w:rsidRPr="0021550A">
        <w:rPr>
          <w:i/>
        </w:rPr>
        <w:t>Book of Good Manners</w:t>
      </w:r>
      <w:r w:rsidR="00C0174B" w:rsidRPr="0021550A">
        <w:t xml:space="preserve"> includes a total of 1,230 spelling variants</w:t>
      </w:r>
      <w:r w:rsidR="009A094B" w:rsidRPr="0021550A">
        <w:t>, and forms the input for the clustering algorithms</w:t>
      </w:r>
      <w:r w:rsidR="00C0174B" w:rsidRPr="0021550A">
        <w:t>.</w:t>
      </w:r>
      <w:r w:rsidR="009A094B" w:rsidRPr="0021550A">
        <w:t xml:space="preserve"> </w:t>
      </w:r>
    </w:p>
    <w:p w14:paraId="31B86825" w14:textId="77777777" w:rsidR="00FB0F3B" w:rsidRPr="0021550A" w:rsidRDefault="00FB0F3B" w:rsidP="000737CB"/>
    <w:p w14:paraId="3BE0F8F9" w14:textId="7EA89449" w:rsidR="009A094B" w:rsidRPr="0021550A" w:rsidRDefault="009A094B" w:rsidP="000737CB">
      <w:pPr>
        <w:pStyle w:val="Heading2"/>
      </w:pPr>
      <w:bookmarkStart w:id="128" w:name="_Ref497826205"/>
      <w:bookmarkStart w:id="129" w:name="_Toc497899858"/>
      <w:r w:rsidRPr="0021550A">
        <w:t>Selecting algorithms for testing</w:t>
      </w:r>
      <w:bookmarkEnd w:id="128"/>
      <w:bookmarkEnd w:id="129"/>
    </w:p>
    <w:p w14:paraId="1739659F" w14:textId="2F20F7BF" w:rsidR="00AB23FD" w:rsidRPr="0021550A" w:rsidRDefault="00F93E2A" w:rsidP="000737CB">
      <w:r w:rsidRPr="0021550A">
        <w:t>Clustering</w:t>
      </w:r>
      <w:r w:rsidR="009C198D" w:rsidRPr="0021550A">
        <w:t xml:space="preserve"> is undertaken using an algorithm. An algorithm is a sequence of actions to be followed </w:t>
      </w:r>
      <w:r w:rsidR="008A2E5F">
        <w:t xml:space="preserve">in order </w:t>
      </w:r>
      <w:r w:rsidR="009C198D" w:rsidRPr="0021550A">
        <w:t xml:space="preserve">to achieve a particular result. In this case, the algorithm is an iterative sequence of actions that </w:t>
      </w:r>
      <w:r w:rsidR="008A2E5F">
        <w:t>groups</w:t>
      </w:r>
      <w:r w:rsidR="009C198D" w:rsidRPr="0021550A">
        <w:t xml:space="preserve"> the data together. </w:t>
      </w:r>
      <w:r w:rsidR="008065F0" w:rsidRPr="0021550A">
        <w:t xml:space="preserve">Cluster algorithms vary in terms of what their designer thought a cluster should be, and therefore </w:t>
      </w:r>
      <w:r w:rsidR="008A2E5F">
        <w:t xml:space="preserve">the algorithms </w:t>
      </w:r>
      <w:r w:rsidR="008065F0" w:rsidRPr="0021550A">
        <w:t xml:space="preserve">vary as to which aspects of a dataset </w:t>
      </w:r>
      <w:r w:rsidR="008A2E5F">
        <w:t>are considered</w:t>
      </w:r>
      <w:r w:rsidR="008065F0" w:rsidRPr="0021550A">
        <w:t xml:space="preserve"> most important. For example</w:t>
      </w:r>
      <w:r w:rsidR="008A2E5F">
        <w:t>, we could objects by how close they are to the centres of identified clusters in the data (proximity-based clustering), or we can group objects in densely populated areas together (density-based clustering)</w:t>
      </w:r>
      <w:r w:rsidR="008065F0" w:rsidRPr="0021550A">
        <w:t xml:space="preserve">. </w:t>
      </w:r>
      <w:r w:rsidR="00AB23FD" w:rsidRPr="0021550A">
        <w:t>There are many types of clustering algorithm that could be used to group data but only some will be suitable for the spelling data.</w:t>
      </w:r>
    </w:p>
    <w:p w14:paraId="2C176CA1" w14:textId="77777777" w:rsidR="00BA4803" w:rsidRDefault="009E4505" w:rsidP="009E4505">
      <w:r>
        <w:t xml:space="preserve">The way in which printing works has implications for the types of clustering algorithms that are the most suitable for this study. </w:t>
      </w:r>
      <w:r w:rsidRPr="0021550A">
        <w:t xml:space="preserve">In this study, the clustering algorithm will group the quires of a text based on the spelling variants that appear within each quire. </w:t>
      </w:r>
      <w:r w:rsidR="00BA4803">
        <w:t xml:space="preserve">We do not want to use a clustering algorithm that allows outliers in the data. </w:t>
      </w:r>
      <w:r>
        <w:t>Each</w:t>
      </w:r>
      <w:r w:rsidR="00507C9B" w:rsidRPr="0021550A">
        <w:t xml:space="preserve"> quire </w:t>
      </w:r>
      <w:r>
        <w:t>was</w:t>
      </w:r>
      <w:r w:rsidR="00507C9B" w:rsidRPr="0021550A">
        <w:t xml:space="preserve"> typeset by a compositor, and that compositor </w:t>
      </w:r>
      <w:r w:rsidR="00BA4803">
        <w:t>used</w:t>
      </w:r>
      <w:r w:rsidR="00507C9B" w:rsidRPr="0021550A">
        <w:t xml:space="preserve"> a copy text. </w:t>
      </w:r>
      <w:r w:rsidR="00F93E2A" w:rsidRPr="0021550A">
        <w:t xml:space="preserve">If </w:t>
      </w:r>
      <w:r w:rsidR="00BA4803">
        <w:t xml:space="preserve">during cluster analysis </w:t>
      </w:r>
      <w:r w:rsidR="00F93E2A" w:rsidRPr="0021550A">
        <w:t xml:space="preserve">the </w:t>
      </w:r>
      <w:r w:rsidR="00BA4803">
        <w:t>quires</w:t>
      </w:r>
      <w:r w:rsidR="00F93E2A" w:rsidRPr="0021550A">
        <w:t xml:space="preserve"> </w:t>
      </w:r>
      <w:r w:rsidR="00BA4803">
        <w:t>are</w:t>
      </w:r>
      <w:r w:rsidR="00F93E2A" w:rsidRPr="0021550A">
        <w:t xml:space="preserve"> clustered into two</w:t>
      </w:r>
      <w:r w:rsidR="00BA4803">
        <w:t xml:space="preserve"> groups</w:t>
      </w:r>
      <w:r w:rsidR="00F93E2A" w:rsidRPr="0021550A">
        <w:t>—one for each compositor, for example—then e</w:t>
      </w:r>
      <w:r w:rsidR="001D060C" w:rsidRPr="0021550A">
        <w:t xml:space="preserve">very quire </w:t>
      </w:r>
      <w:r w:rsidR="00BA4803">
        <w:t>has to be assigned</w:t>
      </w:r>
      <w:r w:rsidR="001D060C" w:rsidRPr="0021550A">
        <w:t xml:space="preserve"> to one cluster or another, </w:t>
      </w:r>
      <w:r w:rsidR="00F93E2A" w:rsidRPr="0021550A">
        <w:t xml:space="preserve">because every quire was typeset by a compositor. </w:t>
      </w:r>
      <w:r w:rsidR="00BA4803">
        <w:t>As a result</w:t>
      </w:r>
      <w:r w:rsidR="001D060C" w:rsidRPr="0021550A">
        <w:t xml:space="preserve"> it is important that we use </w:t>
      </w:r>
      <w:r w:rsidR="00507C9B" w:rsidRPr="0021550A">
        <w:t xml:space="preserve">an algorithm that does not allow </w:t>
      </w:r>
      <w:r w:rsidR="00F93E2A" w:rsidRPr="0021550A">
        <w:t xml:space="preserve">quires to be </w:t>
      </w:r>
      <w:r w:rsidR="00507C9B" w:rsidRPr="0021550A">
        <w:t>outliers</w:t>
      </w:r>
      <w:r w:rsidR="001D060C" w:rsidRPr="0021550A">
        <w:t xml:space="preserve"> that do not belong to any cluster</w:t>
      </w:r>
      <w:r w:rsidR="00507C9B" w:rsidRPr="0021550A">
        <w:t>.</w:t>
      </w:r>
      <w:r w:rsidR="0081037B" w:rsidRPr="0021550A">
        <w:t xml:space="preserve"> </w:t>
      </w:r>
      <w:r w:rsidR="00FC37D3" w:rsidRPr="0021550A">
        <w:t>A</w:t>
      </w:r>
      <w:r w:rsidR="0081037B" w:rsidRPr="0021550A">
        <w:t xml:space="preserve">lgorithms </w:t>
      </w:r>
      <w:r w:rsidR="00FC37D3" w:rsidRPr="0021550A">
        <w:t xml:space="preserve">that do not allow outliers </w:t>
      </w:r>
      <w:r w:rsidR="0081037B" w:rsidRPr="0021550A">
        <w:t xml:space="preserve">create what is known as a hard cluster, as opposed to a soft clustering which may allow objects to fall outside the range of clustering. </w:t>
      </w:r>
    </w:p>
    <w:p w14:paraId="147D94F3" w14:textId="5AA60F30" w:rsidR="00FE6B85" w:rsidRPr="0021550A" w:rsidRDefault="00BA4803" w:rsidP="009E4505">
      <w:r>
        <w:t>Additionally</w:t>
      </w:r>
      <w:r w:rsidR="007F1362" w:rsidRPr="0021550A">
        <w:t xml:space="preserve">, </w:t>
      </w:r>
      <w:r>
        <w:t xml:space="preserve">we want to use a clustering algorithm that strictly partitions the quires, as opposed to allowing quires to be included in more than one cluster. This study aims to find out where in a text changes in spelling take place, and so it is important that quires are assigned to one group (the group for a particular compositor, for example) rather than retaining membership of several groups. </w:t>
      </w:r>
      <w:r w:rsidR="00E51E9E" w:rsidRPr="0021550A">
        <w:t xml:space="preserve">Two types of clustering that may be suitable for this study are proximity-based clustering and density-based clustering, and this study trials both methods on Caxton’s edition of </w:t>
      </w:r>
      <w:r w:rsidR="00E51E9E" w:rsidRPr="0021550A">
        <w:rPr>
          <w:i/>
        </w:rPr>
        <w:t>Troilus and Criseyde</w:t>
      </w:r>
      <w:r w:rsidR="00E51E9E" w:rsidRPr="0021550A">
        <w:t>.</w:t>
      </w:r>
    </w:p>
    <w:p w14:paraId="43552303" w14:textId="77777777" w:rsidR="00004D21" w:rsidRPr="0021550A" w:rsidRDefault="00004D21" w:rsidP="000737CB"/>
    <w:p w14:paraId="11EB097D" w14:textId="0915E43B" w:rsidR="00E51E9E" w:rsidRPr="0021550A" w:rsidRDefault="00E51E9E" w:rsidP="000737CB">
      <w:pPr>
        <w:pStyle w:val="Heading3"/>
      </w:pPr>
      <w:bookmarkStart w:id="130" w:name="_Ref490836552"/>
      <w:r w:rsidRPr="0021550A">
        <w:t>Proximity-based clustering</w:t>
      </w:r>
      <w:bookmarkEnd w:id="130"/>
    </w:p>
    <w:p w14:paraId="1B6D2D1C" w14:textId="264C2AAF" w:rsidR="00011E61" w:rsidRPr="0021550A" w:rsidRDefault="00E51E9E" w:rsidP="000737CB">
      <w:r w:rsidRPr="0021550A">
        <w:lastRenderedPageBreak/>
        <w:t xml:space="preserve">Proximity-based clustering groups similar objects together based on how close they are to one another in space. Perhaps the most widely used </w:t>
      </w:r>
      <w:r w:rsidR="000839F5" w:rsidRPr="0021550A">
        <w:t>form of proximity-based clustering</w:t>
      </w:r>
      <w:r w:rsidRPr="0021550A">
        <w:t xml:space="preserve"> used to undertake proximity-based clustering is </w:t>
      </w:r>
      <w:r w:rsidRPr="0021550A">
        <w:rPr>
          <w:i/>
        </w:rPr>
        <w:t>k</w:t>
      </w:r>
      <w:r w:rsidRPr="0021550A">
        <w:t>-means, which itself is often used as an umbrella term for many other algorithms</w:t>
      </w:r>
      <w:r w:rsidR="000839F5" w:rsidRPr="0021550A">
        <w:t xml:space="preserve">. In this study, the </w:t>
      </w:r>
      <w:r w:rsidR="000839F5" w:rsidRPr="0021550A">
        <w:rPr>
          <w:i/>
        </w:rPr>
        <w:t>k</w:t>
      </w:r>
      <w:r w:rsidR="000839F5" w:rsidRPr="0021550A">
        <w:t xml:space="preserve">-means algorithm I use is Lloyds algorithm, selected for its robustness and wide-ranging use. </w:t>
      </w:r>
      <w:r w:rsidR="00462AA9" w:rsidRPr="0021550A">
        <w:rPr>
          <w:i/>
        </w:rPr>
        <w:t>K</w:t>
      </w:r>
      <w:r w:rsidR="00462AA9" w:rsidRPr="0021550A">
        <w:t xml:space="preserve">-means clustering works by </w:t>
      </w:r>
      <w:r w:rsidR="007402AD" w:rsidRPr="0021550A">
        <w:t>choosing</w:t>
      </w:r>
      <w:r w:rsidR="00462AA9" w:rsidRPr="0021550A">
        <w:t xml:space="preserve"> the centre of </w:t>
      </w:r>
      <w:r w:rsidR="00462AA9" w:rsidRPr="0021550A">
        <w:rPr>
          <w:i/>
        </w:rPr>
        <w:t>k</w:t>
      </w:r>
      <w:r w:rsidR="00462AA9" w:rsidRPr="0021550A">
        <w:t xml:space="preserve"> number of clusters</w:t>
      </w:r>
      <w:r w:rsidR="007402AD" w:rsidRPr="0021550A">
        <w:t xml:space="preserve"> (</w:t>
      </w:r>
      <w:r w:rsidR="00C87ED5" w:rsidRPr="0021550A">
        <w:t>in the case of the algorithm used for this study,</w:t>
      </w:r>
      <w:r w:rsidR="007402AD" w:rsidRPr="0021550A">
        <w:t xml:space="preserve"> randomly)</w:t>
      </w:r>
      <w:r w:rsidR="00462AA9" w:rsidRPr="0021550A">
        <w:t>, and then refines the location of the cluster centres through repeated iterations of the algorithm</w:t>
      </w:r>
      <w:r w:rsidR="009D687F" w:rsidRPr="0021550A">
        <w:t xml:space="preserve"> </w:t>
      </w:r>
      <w:r w:rsidR="009B04B1">
        <w:t>(Moisl 2015: 180)</w:t>
      </w:r>
      <w:r w:rsidR="00462AA9" w:rsidRPr="0021550A">
        <w:t xml:space="preserve">. </w:t>
      </w:r>
      <w:r w:rsidR="00011E61" w:rsidRPr="0021550A">
        <w:t xml:space="preserve">The number of possibilities for the centres of clusters increases rapidly with the increase of </w:t>
      </w:r>
      <w:r w:rsidR="00011E61" w:rsidRPr="0021550A">
        <w:rPr>
          <w:i/>
        </w:rPr>
        <w:t>k</w:t>
      </w:r>
      <w:r w:rsidR="00011E61" w:rsidRPr="0021550A">
        <w:t xml:space="preserve"> and the number of dimensions of the data </w:t>
      </w:r>
      <w:r w:rsidR="00011E61" w:rsidRPr="0021550A">
        <w:rPr>
          <w:i/>
        </w:rPr>
        <w:t>n</w:t>
      </w:r>
      <w:r w:rsidR="0096716F" w:rsidRPr="0021550A">
        <w:t>, and</w:t>
      </w:r>
      <w:r w:rsidR="00AE75A1" w:rsidRPr="0021550A">
        <w:t xml:space="preserve"> so the repeated iterations of relocating the centres of each cluster are necessary, because not all possible combinations can be considered.</w:t>
      </w:r>
      <w:r w:rsidR="008B0AED" w:rsidRPr="0021550A">
        <w:t xml:space="preserve"> Instead, the algorithm </w:t>
      </w:r>
      <w:r w:rsidR="00F13866" w:rsidRPr="0021550A">
        <w:t xml:space="preserve">keeps the new solution only if it is an improvement on the last iteration </w:t>
      </w:r>
      <w:r w:rsidR="009B04B1" w:rsidRPr="009B04B1">
        <w:t>(Everitt &amp; Hothorn 2010:</w:t>
      </w:r>
      <w:r w:rsidR="009B04B1">
        <w:t xml:space="preserve"> </w:t>
      </w:r>
      <w:r w:rsidR="009B04B1" w:rsidRPr="009B04B1">
        <w:t>322). Eventually, the results from the algorithm will converge, which means that the algorithm has not found better locations for the centres of the clust</w:t>
      </w:r>
      <w:r w:rsidR="009B04B1">
        <w:t>ers</w:t>
      </w:r>
      <w:r w:rsidR="009B04B1" w:rsidRPr="009B04B1">
        <w:t xml:space="preserve">. There is no mathematical reason that the </w:t>
      </w:r>
      <w:r w:rsidR="0011249E" w:rsidRPr="004C3465">
        <w:rPr>
          <w:i/>
        </w:rPr>
        <w:t>k</w:t>
      </w:r>
      <w:r w:rsidR="0011249E">
        <w:t xml:space="preserve">-means </w:t>
      </w:r>
      <w:r w:rsidR="009B04B1" w:rsidRPr="009B04B1">
        <w:t>algorithm would select the optimal distribution of centres for the clusters, and so it is worth running the algorithm several times on the same dataset with randomly selected centres for the clusters (Divjak &amp; Fieller 2014:</w:t>
      </w:r>
      <w:r w:rsidR="000033A5">
        <w:t xml:space="preserve"> </w:t>
      </w:r>
      <w:r w:rsidR="009B04B1" w:rsidRPr="009B04B1">
        <w:t>427).</w:t>
      </w:r>
    </w:p>
    <w:p w14:paraId="53ABBC84" w14:textId="5AC567E9" w:rsidR="00462AA9" w:rsidRPr="0021550A" w:rsidRDefault="00DD7C6E" w:rsidP="000737CB">
      <w:r w:rsidRPr="0021550A">
        <w:rPr>
          <w:i/>
        </w:rPr>
        <w:t>K</w:t>
      </w:r>
      <w:r w:rsidRPr="0021550A">
        <w:t xml:space="preserve">-means clustering fulfils the requirements of the data and the research questions in this study; </w:t>
      </w:r>
      <w:r w:rsidRPr="0021550A">
        <w:rPr>
          <w:i/>
        </w:rPr>
        <w:t>k</w:t>
      </w:r>
      <w:r w:rsidRPr="0021550A">
        <w:t xml:space="preserve">-means partitions the data into </w:t>
      </w:r>
      <w:r w:rsidRPr="0021550A">
        <w:rPr>
          <w:i/>
        </w:rPr>
        <w:t>k</w:t>
      </w:r>
      <w:r w:rsidRPr="0021550A">
        <w:t xml:space="preserve"> number of groups with no overlap between clusters, nor </w:t>
      </w:r>
      <w:r w:rsidR="000033A5">
        <w:t xml:space="preserve">does it allow </w:t>
      </w:r>
      <w:r w:rsidRPr="0021550A">
        <w:t xml:space="preserve">outliers that do not belong to any of the clusters. </w:t>
      </w:r>
      <w:r w:rsidR="00462AA9" w:rsidRPr="0021550A">
        <w:t xml:space="preserve">The main feature of </w:t>
      </w:r>
      <w:r w:rsidR="00462AA9" w:rsidRPr="0021550A">
        <w:rPr>
          <w:i/>
        </w:rPr>
        <w:t>k</w:t>
      </w:r>
      <w:r w:rsidR="00462AA9" w:rsidRPr="0021550A">
        <w:t xml:space="preserve">-means clustering that marks it out from other algorithms is the requirement that the analyst tells the algorithm the value of </w:t>
      </w:r>
      <w:r w:rsidR="00462AA9" w:rsidRPr="0021550A">
        <w:rPr>
          <w:i/>
        </w:rPr>
        <w:t>k</w:t>
      </w:r>
      <w:r w:rsidR="00462AA9" w:rsidRPr="0021550A">
        <w:t xml:space="preserve">, i.e. how many clusters the analyst wants the data to be grouped in to. </w:t>
      </w:r>
      <w:r w:rsidR="001F7932" w:rsidRPr="0021550A">
        <w:t xml:space="preserve">The requirement to state the number of clusters upfront is problematic for many datasets, but not for the spelling data in the present study. </w:t>
      </w:r>
      <w:r w:rsidR="00A454B4" w:rsidRPr="0021550A">
        <w:t xml:space="preserve">As we will see, steadily increasing the value of </w:t>
      </w:r>
      <w:r w:rsidR="00A454B4" w:rsidRPr="0021550A">
        <w:rPr>
          <w:i/>
        </w:rPr>
        <w:t>k</w:t>
      </w:r>
      <w:r w:rsidR="00A454B4" w:rsidRPr="0021550A">
        <w:t xml:space="preserve"> is a particularly important feature for this dataset because it allows for different layers of spelling variation to come through into the clustering</w:t>
      </w:r>
      <w:r w:rsidR="005865F0" w:rsidRPr="0021550A">
        <w:t xml:space="preserve"> and the output is easy to interpret</w:t>
      </w:r>
      <w:r w:rsidR="00A454B4" w:rsidRPr="0021550A">
        <w:t xml:space="preserve">. </w:t>
      </w:r>
    </w:p>
    <w:p w14:paraId="595CB04D" w14:textId="13B7BB60" w:rsidR="005865F0" w:rsidRPr="0021550A" w:rsidRDefault="005865F0" w:rsidP="000737CB">
      <w:r w:rsidRPr="0021550A">
        <w:t xml:space="preserve">This study also trials the use of hierarchical clustering. </w:t>
      </w:r>
      <w:r w:rsidR="008C1B2F" w:rsidRPr="0021550A">
        <w:t xml:space="preserve">Unlike </w:t>
      </w:r>
      <w:r w:rsidR="008C1B2F" w:rsidRPr="0021550A">
        <w:rPr>
          <w:i/>
        </w:rPr>
        <w:t>k</w:t>
      </w:r>
      <w:r w:rsidR="008C1B2F" w:rsidRPr="0021550A">
        <w:t>-means, h</w:t>
      </w:r>
      <w:r w:rsidRPr="0021550A">
        <w:t xml:space="preserve">ierarchical clustering does not partition the text into </w:t>
      </w:r>
      <w:r w:rsidR="00F444FC" w:rsidRPr="0021550A">
        <w:t xml:space="preserve">a specific number of clusters. Hierarchical clustering is an exhaustive process which shows the largest clusters within a dataset, and then clusters within those clusters. </w:t>
      </w:r>
      <w:r w:rsidRPr="0021550A">
        <w:t xml:space="preserve">For this study, I am making use of a type of hierarchical clustering known as agglomerative clustering. Agglomerative clustering begins by taking each object as its own individual cluster and at each stage joins two of the existing clusters together. The clustering process is complete when all the objects form one single cluster. As such, agglomerative clustering is an exhaustive process which does not allow outliers. </w:t>
      </w:r>
      <w:r w:rsidR="00F444FC" w:rsidRPr="0021550A">
        <w:t xml:space="preserve">Hierarchical clustering resolves the difficulty introduced by </w:t>
      </w:r>
      <w:r w:rsidR="00F444FC" w:rsidRPr="0021550A">
        <w:rPr>
          <w:i/>
        </w:rPr>
        <w:t>k</w:t>
      </w:r>
      <w:r w:rsidR="00F444FC" w:rsidRPr="0021550A">
        <w:t xml:space="preserve">-means, </w:t>
      </w:r>
      <w:r w:rsidR="00F444FC" w:rsidRPr="0021550A">
        <w:lastRenderedPageBreak/>
        <w:t xml:space="preserve">in that hierarchical clustering does not require the number of clusters to be known in advance of the clustering. However, it can be difficult to interpret the output of hierarchical clustering. Hierarchical clustering usually provides a </w:t>
      </w:r>
      <w:r w:rsidR="00373073">
        <w:t xml:space="preserve">type of tree diagram known as a </w:t>
      </w:r>
      <w:r w:rsidR="00F444FC" w:rsidRPr="0021550A">
        <w:t xml:space="preserve">dendrogram as output, and the analyst must infer the number of clusters from the dendrogram. </w:t>
      </w:r>
      <w:r w:rsidRPr="0021550A">
        <w:t xml:space="preserve">Hierarchical clustering shows the relationships between objects at a range of levels, allowing analysis to consider the links between several groups of text simultaneously. </w:t>
      </w:r>
    </w:p>
    <w:p w14:paraId="0EB6691A" w14:textId="77777777" w:rsidR="00462AA9" w:rsidRPr="0021550A" w:rsidRDefault="00462AA9" w:rsidP="000737CB"/>
    <w:p w14:paraId="06EABB14" w14:textId="19D14FA4" w:rsidR="00462AA9" w:rsidRPr="0021550A" w:rsidRDefault="007435BE" w:rsidP="000737CB">
      <w:pPr>
        <w:pStyle w:val="Heading3"/>
      </w:pPr>
      <w:r w:rsidRPr="0021550A">
        <w:t>Density-based clustering</w:t>
      </w:r>
    </w:p>
    <w:p w14:paraId="0DE8F5F0" w14:textId="6A04D8CE" w:rsidR="007435BE" w:rsidRPr="0021550A" w:rsidRDefault="007435BE" w:rsidP="000737CB">
      <w:r w:rsidRPr="0021550A">
        <w:t>Density-based clustering works by finding areas of objects that are more densely grouped together than the surrounding area.</w:t>
      </w:r>
      <w:r w:rsidR="00F444FC" w:rsidRPr="0021550A">
        <w:t xml:space="preserve"> </w:t>
      </w:r>
      <w:r w:rsidR="003E2FA4" w:rsidRPr="0021550A">
        <w:t xml:space="preserve">This approach is different to that used in proximity-based clustering, where </w:t>
      </w:r>
      <w:r w:rsidR="003E2FA4" w:rsidRPr="0021550A">
        <w:rPr>
          <w:i/>
        </w:rPr>
        <w:t>k</w:t>
      </w:r>
      <w:r w:rsidR="003E2FA4" w:rsidRPr="0021550A">
        <w:t xml:space="preserve">-means and hierarchical clustering work by grouping an object </w:t>
      </w:r>
      <w:r w:rsidR="00750202" w:rsidRPr="0021550A">
        <w:t>into</w:t>
      </w:r>
      <w:r w:rsidR="003E2FA4" w:rsidRPr="0021550A">
        <w:t xml:space="preserve"> the nearest cluster. Density-based clustering identifies a cluster by locating an area of a high degree of density of objects and locates the edges of a cluster by locating a drop in </w:t>
      </w:r>
      <w:r w:rsidR="00683085">
        <w:t xml:space="preserve">the </w:t>
      </w:r>
      <w:r w:rsidR="003E2FA4" w:rsidRPr="0021550A">
        <w:t>density</w:t>
      </w:r>
      <w:r w:rsidR="00683085">
        <w:t xml:space="preserve"> of objects</w:t>
      </w:r>
      <w:r w:rsidR="003E2FA4" w:rsidRPr="0021550A">
        <w:t xml:space="preserve">. </w:t>
      </w:r>
      <w:r w:rsidRPr="0021550A">
        <w:t xml:space="preserve">The strength of density-based clustering is therefore in its ability to </w:t>
      </w:r>
      <w:r w:rsidR="00C3056D" w:rsidRPr="0021550A">
        <w:t>identify clusters</w:t>
      </w:r>
      <w:r w:rsidR="00ED445B" w:rsidRPr="0021550A">
        <w:t xml:space="preserve"> of objects that exist in non-spherical shapes</w:t>
      </w:r>
      <w:r w:rsidR="00750202" w:rsidRPr="0021550A">
        <w:t>, and shapes of uneven sizes</w:t>
      </w:r>
      <w:r w:rsidR="00ED445B" w:rsidRPr="0021550A">
        <w:t xml:space="preserve">. </w:t>
      </w:r>
      <w:r w:rsidR="00C3056D" w:rsidRPr="0021550A">
        <w:t xml:space="preserve">On the other hand, </w:t>
      </w:r>
      <w:r w:rsidR="00C3056D" w:rsidRPr="0021550A">
        <w:rPr>
          <w:i/>
        </w:rPr>
        <w:t>k</w:t>
      </w:r>
      <w:r w:rsidR="00C3056D" w:rsidRPr="0021550A">
        <w:t>-means clustering is only able to identify clusters of</w:t>
      </w:r>
      <w:r w:rsidR="009779F8" w:rsidRPr="0021550A">
        <w:t xml:space="preserve"> roughly spherical-shaped data. </w:t>
      </w:r>
      <w:r w:rsidR="009C38E7" w:rsidRPr="0021550A">
        <w:t xml:space="preserve">Clustering by density resolves some of the </w:t>
      </w:r>
      <w:r w:rsidR="00F444FC" w:rsidRPr="0021550A">
        <w:t>well-known</w:t>
      </w:r>
      <w:r w:rsidR="009C38E7" w:rsidRPr="0021550A">
        <w:t xml:space="preserve"> issues surrounding the use of distance-based clustering methods. Two of the main issues with </w:t>
      </w:r>
      <w:r w:rsidR="009C38E7" w:rsidRPr="0021550A">
        <w:rPr>
          <w:i/>
        </w:rPr>
        <w:t>k</w:t>
      </w:r>
      <w:r w:rsidR="009C38E7" w:rsidRPr="0021550A">
        <w:t xml:space="preserve">-means clustering are the requirement for the analyst to know the number of clusters desired at the outset (and not to have the number of clusters pulled out of the data), and </w:t>
      </w:r>
      <w:r w:rsidR="009C38E7" w:rsidRPr="0021550A">
        <w:rPr>
          <w:i/>
        </w:rPr>
        <w:t>k</w:t>
      </w:r>
      <w:r w:rsidR="009C38E7" w:rsidRPr="0021550A">
        <w:t xml:space="preserve">-means clustering does not recognise clusters that do not roughly converge into a hypersphere (i.e. the multi-dimensional equivalent of a sphere). </w:t>
      </w:r>
      <w:r w:rsidR="005F2506" w:rsidRPr="0021550A">
        <w:t xml:space="preserve">Density-based clustering does not allow for the analyst to specify the number of clusters, </w:t>
      </w:r>
      <w:r w:rsidR="005F2506" w:rsidRPr="0021550A">
        <w:rPr>
          <w:i/>
        </w:rPr>
        <w:t>k</w:t>
      </w:r>
      <w:r w:rsidR="005F2506" w:rsidRPr="0021550A">
        <w:t xml:space="preserve">, for the dataset and instead </w:t>
      </w:r>
      <w:r w:rsidR="0046030F" w:rsidRPr="0021550A">
        <w:t>selects the optimal number of clusters</w:t>
      </w:r>
      <w:r w:rsidR="005F2506" w:rsidRPr="0021550A">
        <w:t xml:space="preserve"> from the data </w:t>
      </w:r>
      <w:r w:rsidR="009B04B1">
        <w:t>(Moisl 2015: 194)</w:t>
      </w:r>
      <w:r w:rsidR="005F2506" w:rsidRPr="0021550A">
        <w:t xml:space="preserve">. </w:t>
      </w:r>
      <w:r w:rsidR="009779F8" w:rsidRPr="0021550A">
        <w:t xml:space="preserve">When the data exists in a high number of dimensions, as the data does in this study, it is difficult to determine what the shape of the data is. Therefore, testing the clusters that come out of </w:t>
      </w:r>
      <w:r w:rsidR="009779F8" w:rsidRPr="0021550A">
        <w:rPr>
          <w:i/>
        </w:rPr>
        <w:t>k</w:t>
      </w:r>
      <w:r w:rsidR="009779F8" w:rsidRPr="0021550A">
        <w:t xml:space="preserve">-means clustering using density-based clustering </w:t>
      </w:r>
      <w:r w:rsidR="001D33C7" w:rsidRPr="0021550A">
        <w:t xml:space="preserve">could provide a greater degree of confidence in the resulting clusters. </w:t>
      </w:r>
      <w:r w:rsidR="00750202" w:rsidRPr="0021550A">
        <w:t>The algorithm that I have used for this study is DBSCAN, which stands for Density-Based Spatial Clustering of Applications with Noise. DBSCAN is the most commonly used density-based clustering algorithm, and I selected it for this study for its versatility and robustness.</w:t>
      </w:r>
    </w:p>
    <w:p w14:paraId="1BCE200D" w14:textId="0DF5D389" w:rsidR="00281923" w:rsidRPr="0021550A" w:rsidRDefault="00750202" w:rsidP="000737CB">
      <w:r w:rsidRPr="0021550A">
        <w:t xml:space="preserve">While density-based clustering </w:t>
      </w:r>
      <w:r w:rsidR="0046030F" w:rsidRPr="0021550A">
        <w:t>can</w:t>
      </w:r>
      <w:r w:rsidRPr="0021550A">
        <w:t xml:space="preserve"> resolve some of the issues that proximity-based clustering suffers from, d</w:t>
      </w:r>
      <w:r w:rsidR="00281923" w:rsidRPr="0021550A">
        <w:t xml:space="preserve">ensity-based </w:t>
      </w:r>
      <w:r w:rsidRPr="0021550A">
        <w:t xml:space="preserve">clustering </w:t>
      </w:r>
      <w:r w:rsidR="0046030F" w:rsidRPr="0021550A">
        <w:t>is not without</w:t>
      </w:r>
      <w:r w:rsidRPr="0021550A">
        <w:t xml:space="preserve"> its own problems</w:t>
      </w:r>
      <w:r w:rsidR="00281923" w:rsidRPr="0021550A">
        <w:t xml:space="preserve">. </w:t>
      </w:r>
      <w:r w:rsidR="00F444FC" w:rsidRPr="0021550A">
        <w:t>DBSCAN</w:t>
      </w:r>
      <w:r w:rsidR="00281923" w:rsidRPr="0021550A">
        <w:t xml:space="preserve"> </w:t>
      </w:r>
      <w:r w:rsidR="00F444FC" w:rsidRPr="0021550A">
        <w:t>has difficulty</w:t>
      </w:r>
      <w:r w:rsidR="00281923" w:rsidRPr="0021550A">
        <w:t xml:space="preserve"> where </w:t>
      </w:r>
      <w:r w:rsidR="00F80C29" w:rsidRPr="0021550A">
        <w:t>the density of the clusters varies throughout the dataset</w:t>
      </w:r>
      <w:r w:rsidR="0046030F" w:rsidRPr="0021550A">
        <w:t>, and it is also known to have difficulty in low-density environments</w:t>
      </w:r>
      <w:r w:rsidR="00F80C29" w:rsidRPr="0021550A">
        <w:t xml:space="preserve">. </w:t>
      </w:r>
      <w:r w:rsidR="0046030F" w:rsidRPr="0021550A">
        <w:t xml:space="preserve">The advantage of </w:t>
      </w:r>
      <w:r w:rsidR="0046030F" w:rsidRPr="0021550A">
        <w:lastRenderedPageBreak/>
        <w:t>DBSCAN over</w:t>
      </w:r>
      <w:r w:rsidR="00F80C29" w:rsidRPr="0021550A">
        <w:t xml:space="preserve"> </w:t>
      </w:r>
      <w:r w:rsidR="00F80C29" w:rsidRPr="0021550A">
        <w:rPr>
          <w:i/>
        </w:rPr>
        <w:t>k</w:t>
      </w:r>
      <w:r w:rsidR="00F80C29" w:rsidRPr="0021550A">
        <w:t xml:space="preserve">-means </w:t>
      </w:r>
      <w:r w:rsidR="0046030F" w:rsidRPr="0021550A">
        <w:t>is its ability to</w:t>
      </w:r>
      <w:r w:rsidR="00F80C29" w:rsidRPr="0021550A">
        <w:t xml:space="preserve"> identify clusters that occur in shapes that </w:t>
      </w:r>
      <w:r w:rsidR="00F80C29" w:rsidRPr="0021550A">
        <w:rPr>
          <w:i/>
        </w:rPr>
        <w:t>k</w:t>
      </w:r>
      <w:r w:rsidR="00F80C29" w:rsidRPr="0021550A">
        <w:t xml:space="preserve">-means cannot, however </w:t>
      </w:r>
      <w:r w:rsidR="00F80C29" w:rsidRPr="0021550A">
        <w:rPr>
          <w:i/>
        </w:rPr>
        <w:t>k</w:t>
      </w:r>
      <w:r w:rsidR="00F80C29" w:rsidRPr="0021550A">
        <w:t xml:space="preserve">-means is the more stable of the two algorithms. Hermann Moisl </w:t>
      </w:r>
      <w:r w:rsidR="00BC3C85" w:rsidRPr="009B04B1">
        <w:t>(2015:</w:t>
      </w:r>
      <w:r w:rsidR="00BC3C85">
        <w:t xml:space="preserve"> 199) </w:t>
      </w:r>
      <w:r w:rsidR="00F80C29" w:rsidRPr="0021550A">
        <w:t xml:space="preserve">states that where the dataset may be suitable for use with both algorithms, “the more reliable </w:t>
      </w:r>
      <w:r w:rsidR="00F80C29" w:rsidRPr="0021550A">
        <w:rPr>
          <w:i/>
        </w:rPr>
        <w:t>k</w:t>
      </w:r>
      <w:r w:rsidR="00F80C29" w:rsidRPr="0021550A">
        <w:t>-mea</w:t>
      </w:r>
      <w:r w:rsidR="00BC3C85">
        <w:t>ns method should be used”.</w:t>
      </w:r>
    </w:p>
    <w:p w14:paraId="0DE2833A" w14:textId="2DE2D35F" w:rsidR="002D0586" w:rsidRPr="0021550A" w:rsidRDefault="002D0586" w:rsidP="000737CB">
      <w:r w:rsidRPr="0021550A">
        <w:t xml:space="preserve">It is not clear prior to analysis which of these clustering algorithms will be most effective at clustering the quires of a text: </w:t>
      </w:r>
      <w:r w:rsidRPr="0021550A">
        <w:rPr>
          <w:i/>
        </w:rPr>
        <w:t>k</w:t>
      </w:r>
      <w:r w:rsidRPr="0021550A">
        <w:t xml:space="preserve">-means, hierarchical clustering, or density-based clustering. The quires are not easy to cluster because they each contain a high number of spelling variants, and this causes a problem regarding the number of dimensions in the data. The next section discusses these implications for the clustering methods described here in detail. </w:t>
      </w:r>
    </w:p>
    <w:p w14:paraId="115408EA" w14:textId="77777777" w:rsidR="0058122B" w:rsidRPr="0021550A" w:rsidRDefault="0058122B" w:rsidP="000737CB"/>
    <w:p w14:paraId="5FE6C49C" w14:textId="42F32DCE" w:rsidR="0058122B" w:rsidRPr="0021550A" w:rsidRDefault="005306CF" w:rsidP="000737CB">
      <w:pPr>
        <w:pStyle w:val="Heading2"/>
      </w:pPr>
      <w:bookmarkStart w:id="131" w:name="_Ref498588622"/>
      <w:r>
        <w:t>Methodological adjustments: curse of dimensionality</w:t>
      </w:r>
      <w:bookmarkEnd w:id="131"/>
    </w:p>
    <w:p w14:paraId="4B246DA0" w14:textId="297CCCEB" w:rsidR="00346B9D" w:rsidRPr="0021550A" w:rsidRDefault="00346B9D" w:rsidP="000737CB">
      <w:r w:rsidRPr="0021550A">
        <w:t>The increase in space between objects is important because we are attempting to cluster these objects</w:t>
      </w:r>
      <w:r w:rsidR="00D511C1" w:rsidRPr="0021550A">
        <w:t xml:space="preserve"> based on how close they are to one another</w:t>
      </w:r>
      <w:r w:rsidRPr="0021550A">
        <w:t xml:space="preserve">. As the number of spelling variants added to the vectors for each quire increases, then overall the distance between the quires will increase towards a limit of infinity. As the distance between each quire converges </w:t>
      </w:r>
      <w:r w:rsidR="00D511C1" w:rsidRPr="0021550A">
        <w:t>on</w:t>
      </w:r>
      <w:r w:rsidRPr="0021550A">
        <w:t xml:space="preserve"> a limit of infinity, the distance between each quire effectively becomes the same. This has clear implications for the use of a clustering algorithm where the method relies on calculating the distance between objects in order to </w:t>
      </w:r>
      <w:r w:rsidR="001D57BE" w:rsidRPr="0021550A">
        <w:t>assign each object to</w:t>
      </w:r>
      <w:r w:rsidRPr="0021550A">
        <w:t xml:space="preserve"> a cluster. If all objects are equally far apart, then the algorithm will not be able to divide the objects into more than one cluster and the calculation will fail. </w:t>
      </w:r>
      <w:r w:rsidR="0004046C" w:rsidRPr="0021550A">
        <w:t xml:space="preserve">Proximity-based clustering </w:t>
      </w:r>
      <w:r w:rsidR="00EC6C9F" w:rsidRPr="0021550A">
        <w:t xml:space="preserve">algorithms </w:t>
      </w:r>
      <w:r w:rsidR="0004046C" w:rsidRPr="0021550A">
        <w:t>are not the only methods that struggle when the dimensionality of the data is high. Density-based methods also struggle</w:t>
      </w:r>
      <w:r w:rsidR="00EC6C9F" w:rsidRPr="0021550A">
        <w:t xml:space="preserve"> because when objects become very far apart, the density of the objects decreases. </w:t>
      </w:r>
      <w:r w:rsidR="00C00489" w:rsidRPr="0021550A">
        <w:t>The next section</w:t>
      </w:r>
      <w:r w:rsidR="00EC6C9F" w:rsidRPr="0021550A">
        <w:t xml:space="preserve"> discusses the issues faced by density-based clustering in high numbers of dimensions. </w:t>
      </w:r>
    </w:p>
    <w:p w14:paraId="22B15358" w14:textId="77777777" w:rsidR="004C6970" w:rsidRPr="0021550A" w:rsidRDefault="004C6970" w:rsidP="000737CB"/>
    <w:p w14:paraId="396F9472" w14:textId="3007BD6B" w:rsidR="004E77AB" w:rsidRPr="0021550A" w:rsidRDefault="00462845" w:rsidP="000737CB">
      <w:pPr>
        <w:pStyle w:val="Heading3"/>
      </w:pPr>
      <w:bookmarkStart w:id="132" w:name="_Ref497745024"/>
      <w:r w:rsidRPr="0021550A">
        <w:t>Amendments considering the curse of dimensionality</w:t>
      </w:r>
      <w:bookmarkEnd w:id="132"/>
    </w:p>
    <w:p w14:paraId="2AF118E0" w14:textId="168E9ED0" w:rsidR="00462845" w:rsidRPr="0021550A" w:rsidRDefault="00462845" w:rsidP="000737CB">
      <w:r w:rsidRPr="0021550A">
        <w:t xml:space="preserve">Difficulty arises in all types of clustering methods when the data exists in a high number of dimensions. For the cluster analysis to work effectively on </w:t>
      </w:r>
      <w:r w:rsidR="00FD3EE2" w:rsidRPr="0021550A">
        <w:t xml:space="preserve">high-dimensional </w:t>
      </w:r>
      <w:r w:rsidRPr="0021550A">
        <w:t xml:space="preserve">spelling data, it </w:t>
      </w:r>
      <w:r w:rsidR="00D7717A">
        <w:t>is</w:t>
      </w:r>
      <w:r w:rsidRPr="0021550A">
        <w:t xml:space="preserve"> </w:t>
      </w:r>
      <w:r w:rsidR="00FD3EE2" w:rsidRPr="0021550A">
        <w:t>necessary to reduce the number of dimensions by making modifications to the method</w:t>
      </w:r>
      <w:r w:rsidRPr="0021550A">
        <w:t xml:space="preserve">. The first modification </w:t>
      </w:r>
      <w:r w:rsidR="00D7717A">
        <w:t>restricts</w:t>
      </w:r>
      <w:r w:rsidRPr="0021550A">
        <w:t xml:space="preserve"> the spellings that each text takes as the input for cluster analysis. The second modification </w:t>
      </w:r>
      <w:r w:rsidR="00D7717A">
        <w:t>removes</w:t>
      </w:r>
      <w:r w:rsidR="00FD3EE2" w:rsidRPr="0021550A">
        <w:t xml:space="preserve"> dimensions that do not have any meaningful input for the </w:t>
      </w:r>
      <w:r w:rsidR="00751FD0">
        <w:t>analysis.</w:t>
      </w:r>
    </w:p>
    <w:p w14:paraId="089EA146" w14:textId="77777777" w:rsidR="004E77AB" w:rsidRPr="0021550A" w:rsidRDefault="004E77AB" w:rsidP="000737CB"/>
    <w:p w14:paraId="07D71098" w14:textId="3ED30628" w:rsidR="004C6970" w:rsidRPr="0021550A" w:rsidRDefault="004C6970" w:rsidP="000737CB">
      <w:pPr>
        <w:pStyle w:val="Heading4"/>
      </w:pPr>
      <w:r w:rsidRPr="0021550A">
        <w:lastRenderedPageBreak/>
        <w:t>Restricting the clusters to the spellings in each text</w:t>
      </w:r>
    </w:p>
    <w:p w14:paraId="394BE9B8" w14:textId="6001F109" w:rsidR="00BA5E08" w:rsidRDefault="00FC171F" w:rsidP="000737CB">
      <w:r w:rsidRPr="0021550A">
        <w:t xml:space="preserve">In Section </w:t>
      </w:r>
      <w:r w:rsidR="00E12429">
        <w:fldChar w:fldCharType="begin"/>
      </w:r>
      <w:r w:rsidR="00E12429">
        <w:instrText xml:space="preserve"> REF _Ref490836644 \r </w:instrText>
      </w:r>
      <w:r w:rsidR="00E12429">
        <w:fldChar w:fldCharType="separate"/>
      </w:r>
      <w:r w:rsidR="00D11844">
        <w:t>4.4.1</w:t>
      </w:r>
      <w:r w:rsidR="00E12429">
        <w:fldChar w:fldCharType="end"/>
      </w:r>
      <w:r w:rsidRPr="0021550A">
        <w:t xml:space="preserve">, I demonstrated that where the quires have the same value for a spelling variant, the distance between them does not increase. </w:t>
      </w:r>
      <w:r w:rsidR="00E759F1" w:rsidRPr="0021550A">
        <w:t xml:space="preserve">In short, if the results in each quire are the same for a given spelling variant, then that spelling variant does not add any information to the matrix and </w:t>
      </w:r>
      <w:r w:rsidR="003C1B6B" w:rsidRPr="0021550A">
        <w:t xml:space="preserve">therefore the spelling variant does not help the clustering algorithm to divide the quires into groups. </w:t>
      </w:r>
      <w:r w:rsidR="00F345B4" w:rsidRPr="0021550A">
        <w:t xml:space="preserve">If a spelling variant has a score of zero for all quires, </w:t>
      </w:r>
      <w:r w:rsidR="00A32E46" w:rsidRPr="0021550A">
        <w:t>this</w:t>
      </w:r>
      <w:r w:rsidR="00F345B4" w:rsidRPr="0021550A">
        <w:t xml:space="preserve"> spelling variant also does not provide </w:t>
      </w:r>
      <w:r w:rsidR="00A32E46" w:rsidRPr="0021550A">
        <w:t xml:space="preserve">information that can be used to differentiate between the sources of spellings. </w:t>
      </w:r>
      <w:r w:rsidR="004D56D0" w:rsidRPr="0021550A">
        <w:t xml:space="preserve">We can demonstrate this by beginning with the </w:t>
      </w:r>
      <w:r w:rsidR="00CB430B" w:rsidRPr="0021550A">
        <w:t xml:space="preserve">distribution of the variant </w:t>
      </w:r>
      <w:r w:rsidR="00364CC1" w:rsidRPr="0021550A">
        <w:rPr>
          <w:i/>
        </w:rPr>
        <w:t>began</w:t>
      </w:r>
      <w:r w:rsidR="00CB430B" w:rsidRPr="0021550A">
        <w:t xml:space="preserve"> in Quires </w:t>
      </w:r>
      <w:r w:rsidR="00B015C5" w:rsidRPr="0021550A">
        <w:t>q</w:t>
      </w:r>
      <w:r w:rsidR="00CB430B" w:rsidRPr="0021550A">
        <w:t xml:space="preserve"> and </w:t>
      </w:r>
      <w:r w:rsidR="00B015C5" w:rsidRPr="0021550A">
        <w:t>u</w:t>
      </w:r>
      <w:r w:rsidR="00CB430B" w:rsidRPr="0021550A">
        <w:t xml:space="preserve"> of the </w:t>
      </w:r>
      <w:r w:rsidR="00364CC1" w:rsidRPr="0021550A">
        <w:rPr>
          <w:i/>
        </w:rPr>
        <w:t>Confessio Amantis</w:t>
      </w:r>
      <w:r w:rsidR="00CB430B" w:rsidRPr="0021550A">
        <w:t xml:space="preserve">, provided in </w:t>
      </w:r>
      <w:r w:rsidR="00FD6558">
        <w:t>Figure 5.2.</w:t>
      </w:r>
    </w:p>
    <w:p w14:paraId="2FEC8EF0" w14:textId="77777777" w:rsidR="00D7717A" w:rsidRPr="0021550A" w:rsidRDefault="00D7717A" w:rsidP="000737CB"/>
    <w:p w14:paraId="19331F09" w14:textId="7E7A34B9" w:rsidR="004D56D0" w:rsidRPr="0021550A" w:rsidRDefault="00BA5E08" w:rsidP="00D7717A">
      <w:pPr>
        <w:ind w:firstLine="0"/>
      </w:pPr>
      <w:r w:rsidRPr="0021550A">
        <w:rPr>
          <w:noProof/>
          <w:lang w:eastAsia="en-GB"/>
        </w:rPr>
        <w:drawing>
          <wp:inline distT="0" distB="0" distL="0" distR="0" wp14:anchorId="3CD2EDEF" wp14:editId="5ECF4140">
            <wp:extent cx="4567731" cy="715986"/>
            <wp:effectExtent l="0" t="0" r="444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2d begin.pdf"/>
                    <pic:cNvPicPr/>
                  </pic:nvPicPr>
                  <pic:blipFill rotWithShape="1">
                    <a:blip r:embed="rId50">
                      <a:extLst>
                        <a:ext uri="{28A0092B-C50C-407E-A947-70E740481C1C}">
                          <a14:useLocalDpi xmlns:a14="http://schemas.microsoft.com/office/drawing/2010/main"/>
                        </a:ext>
                      </a:extLst>
                    </a:blip>
                    <a:srcRect l="15967" t="24232" r="34668" b="62012"/>
                    <a:stretch/>
                  </pic:blipFill>
                  <pic:spPr bwMode="auto">
                    <a:xfrm>
                      <a:off x="0" y="0"/>
                      <a:ext cx="4879231" cy="764813"/>
                    </a:xfrm>
                    <a:prstGeom prst="rect">
                      <a:avLst/>
                    </a:prstGeom>
                    <a:ln>
                      <a:noFill/>
                    </a:ln>
                    <a:extLst>
                      <a:ext uri="{53640926-AAD7-44D8-BBD7-CCE9431645EC}">
                        <a14:shadowObscured xmlns:a14="http://schemas.microsoft.com/office/drawing/2010/main"/>
                      </a:ext>
                    </a:extLst>
                  </pic:spPr>
                </pic:pic>
              </a:graphicData>
            </a:graphic>
          </wp:inline>
        </w:drawing>
      </w:r>
    </w:p>
    <w:p w14:paraId="6AAD637C" w14:textId="215AC8D6" w:rsidR="004D56D0" w:rsidRPr="0021550A" w:rsidRDefault="00453776" w:rsidP="00326AAC">
      <w:pPr>
        <w:pStyle w:val="Caption"/>
        <w:ind w:left="0" w:firstLine="0"/>
      </w:pPr>
      <w:bookmarkStart w:id="133" w:name="_Ref490841268"/>
      <w:bookmarkStart w:id="134" w:name="_Toc499753532"/>
      <w:r w:rsidDel="00C5013D">
        <w:t xml:space="preserve"> </w:t>
      </w:r>
      <w:bookmarkEnd w:id="133"/>
      <w:r>
        <w:t xml:space="preserve">Figure 5.2: </w:t>
      </w:r>
      <w:r w:rsidR="00245446" w:rsidRPr="0021550A">
        <w:t>Graphical representation</w:t>
      </w:r>
      <w:r w:rsidR="004D56D0" w:rsidRPr="0021550A">
        <w:t xml:space="preserve"> of </w:t>
      </w:r>
      <w:r w:rsidR="00364CC1" w:rsidRPr="0021550A">
        <w:rPr>
          <w:i/>
        </w:rPr>
        <w:t>began</w:t>
      </w:r>
      <w:r w:rsidR="004D56D0" w:rsidRPr="0021550A">
        <w:t xml:space="preserve"> in </w:t>
      </w:r>
      <w:r w:rsidR="00F90A3F">
        <w:t>quires</w:t>
      </w:r>
      <w:r w:rsidR="00245446" w:rsidRPr="0021550A">
        <w:t xml:space="preserve"> of </w:t>
      </w:r>
      <w:r w:rsidR="004D56D0" w:rsidRPr="0021550A">
        <w:t xml:space="preserve">the </w:t>
      </w:r>
      <w:r w:rsidR="00364CC1" w:rsidRPr="0021550A">
        <w:rPr>
          <w:i/>
        </w:rPr>
        <w:t>Confessio Amantis</w:t>
      </w:r>
      <w:bookmarkEnd w:id="134"/>
    </w:p>
    <w:p w14:paraId="387EEE06" w14:textId="77777777" w:rsidR="00FC171F" w:rsidRPr="0021550A" w:rsidRDefault="00FC171F" w:rsidP="000737CB"/>
    <w:p w14:paraId="39FC14CD" w14:textId="5363037A" w:rsidR="00CB430B" w:rsidRPr="0021550A" w:rsidRDefault="00CB430B" w:rsidP="000737CB">
      <w:r w:rsidRPr="0021550A">
        <w:t xml:space="preserve">We can extend Quires </w:t>
      </w:r>
      <w:r w:rsidR="00B015C5" w:rsidRPr="0021550A">
        <w:t>q</w:t>
      </w:r>
      <w:r w:rsidRPr="0021550A">
        <w:t xml:space="preserve"> and </w:t>
      </w:r>
      <w:r w:rsidR="00B015C5" w:rsidRPr="0021550A">
        <w:t>u</w:t>
      </w:r>
      <w:r w:rsidRPr="0021550A">
        <w:t xml:space="preserve"> into two dimensions, but this time we will extend them </w:t>
      </w:r>
      <w:r w:rsidR="00764BA5" w:rsidRPr="0021550A">
        <w:t xml:space="preserve">into a dimension that I am confident does not exist in the </w:t>
      </w:r>
      <w:r w:rsidR="00764BA5" w:rsidRPr="0021550A">
        <w:rPr>
          <w:i/>
        </w:rPr>
        <w:t>EEBO</w:t>
      </w:r>
      <w:r w:rsidR="00764BA5" w:rsidRPr="0021550A">
        <w:t xml:space="preserve"> corpus. </w:t>
      </w:r>
      <w:r w:rsidR="00FD6558">
        <w:t>Figure 5.3</w:t>
      </w:r>
      <w:r w:rsidR="00245446" w:rsidRPr="0021550A">
        <w:t xml:space="preserve"> </w:t>
      </w:r>
      <w:r w:rsidR="00764BA5" w:rsidRPr="0021550A">
        <w:t xml:space="preserve">shows the distribution of Quire </w:t>
      </w:r>
      <w:r w:rsidR="00B015C5" w:rsidRPr="0021550A">
        <w:t>q</w:t>
      </w:r>
      <w:r w:rsidR="00764BA5" w:rsidRPr="0021550A">
        <w:t xml:space="preserve"> and Quire </w:t>
      </w:r>
      <w:r w:rsidR="00B015C5" w:rsidRPr="0021550A">
        <w:t>u</w:t>
      </w:r>
      <w:r w:rsidR="00764BA5" w:rsidRPr="0021550A">
        <w:t xml:space="preserve"> in two dimensions. </w:t>
      </w:r>
    </w:p>
    <w:p w14:paraId="2DEB5549" w14:textId="77777777" w:rsidR="00764BA5" w:rsidRPr="0021550A" w:rsidRDefault="00764BA5" w:rsidP="000737CB"/>
    <w:p w14:paraId="2EDD75A4" w14:textId="317924A2" w:rsidR="00764BA5" w:rsidRPr="0021550A" w:rsidRDefault="00B015C5" w:rsidP="000737CB">
      <w:r w:rsidRPr="0021550A">
        <w:rPr>
          <w:noProof/>
          <w:lang w:eastAsia="en-GB"/>
        </w:rPr>
        <w:drawing>
          <wp:inline distT="0" distB="0" distL="0" distR="0" wp14:anchorId="3FDD9936" wp14:editId="212ABB6D">
            <wp:extent cx="3659681" cy="1488013"/>
            <wp:effectExtent l="0" t="0" r="0" b="1079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Velociraptor.pdf"/>
                    <pic:cNvPicPr/>
                  </pic:nvPicPr>
                  <pic:blipFill rotWithShape="1">
                    <a:blip r:embed="rId51">
                      <a:extLst>
                        <a:ext uri="{28A0092B-C50C-407E-A947-70E740481C1C}">
                          <a14:useLocalDpi xmlns:a14="http://schemas.microsoft.com/office/drawing/2010/main"/>
                        </a:ext>
                      </a:extLst>
                    </a:blip>
                    <a:srcRect l="2456" t="39296" r="63404" b="36029"/>
                    <a:stretch/>
                  </pic:blipFill>
                  <pic:spPr bwMode="auto">
                    <a:xfrm>
                      <a:off x="0" y="0"/>
                      <a:ext cx="3827045" cy="1556063"/>
                    </a:xfrm>
                    <a:prstGeom prst="rect">
                      <a:avLst/>
                    </a:prstGeom>
                    <a:ln>
                      <a:noFill/>
                    </a:ln>
                    <a:extLst>
                      <a:ext uri="{53640926-AAD7-44D8-BBD7-CCE9431645EC}">
                        <a14:shadowObscured xmlns:a14="http://schemas.microsoft.com/office/drawing/2010/main"/>
                      </a:ext>
                    </a:extLst>
                  </pic:spPr>
                </pic:pic>
              </a:graphicData>
            </a:graphic>
          </wp:inline>
        </w:drawing>
      </w:r>
    </w:p>
    <w:p w14:paraId="7FF70D4C" w14:textId="640C2BA3" w:rsidR="007D71EB" w:rsidRPr="0021550A" w:rsidRDefault="00453776" w:rsidP="000737CB">
      <w:pPr>
        <w:pStyle w:val="Caption"/>
      </w:pPr>
      <w:bookmarkStart w:id="135" w:name="_Toc499753533"/>
      <w:r>
        <w:t xml:space="preserve">Figure 5.3: </w:t>
      </w:r>
      <w:r w:rsidR="00245446" w:rsidRPr="0021550A">
        <w:t>Graphical representation</w:t>
      </w:r>
      <w:r w:rsidR="007D71EB" w:rsidRPr="0021550A">
        <w:t xml:space="preserve"> of</w:t>
      </w:r>
      <w:r w:rsidR="00245446" w:rsidRPr="0021550A">
        <w:t xml:space="preserve"> </w:t>
      </w:r>
      <w:r w:rsidR="00B015C5" w:rsidRPr="0021550A">
        <w:rPr>
          <w:i/>
        </w:rPr>
        <w:t>began</w:t>
      </w:r>
      <w:r w:rsidR="007D71EB" w:rsidRPr="0021550A">
        <w:t xml:space="preserve"> and </w:t>
      </w:r>
      <w:r w:rsidR="007D71EB" w:rsidRPr="0021550A">
        <w:rPr>
          <w:i/>
        </w:rPr>
        <w:t>velociraptor</w:t>
      </w:r>
      <w:r w:rsidR="007D71EB" w:rsidRPr="0021550A">
        <w:t xml:space="preserve"> in </w:t>
      </w:r>
      <w:r w:rsidR="00F90A3F">
        <w:t>quires</w:t>
      </w:r>
      <w:r w:rsidR="00245446" w:rsidRPr="0021550A">
        <w:t xml:space="preserve"> of </w:t>
      </w:r>
      <w:r w:rsidR="007D71EB" w:rsidRPr="0021550A">
        <w:t xml:space="preserve">the </w:t>
      </w:r>
      <w:r w:rsidR="00B015C5" w:rsidRPr="0021550A">
        <w:rPr>
          <w:i/>
        </w:rPr>
        <w:t>Confessio Amantis</w:t>
      </w:r>
      <w:bookmarkEnd w:id="135"/>
    </w:p>
    <w:p w14:paraId="16B6CC20" w14:textId="77777777" w:rsidR="00CB430B" w:rsidRPr="0021550A" w:rsidRDefault="00CB430B" w:rsidP="000737CB"/>
    <w:p w14:paraId="1A2F964D" w14:textId="0DCFD1C0" w:rsidR="00EC7B37" w:rsidRPr="0021550A" w:rsidRDefault="00FD6558" w:rsidP="000737CB">
      <w:r>
        <w:t>Figure 5.3</w:t>
      </w:r>
      <w:r w:rsidR="007D71EB" w:rsidRPr="0021550A">
        <w:t xml:space="preserve"> shows the distribution of </w:t>
      </w:r>
      <w:r w:rsidR="00B015C5" w:rsidRPr="0021550A">
        <w:rPr>
          <w:i/>
        </w:rPr>
        <w:t>began</w:t>
      </w:r>
      <w:r w:rsidR="007D71EB" w:rsidRPr="0021550A">
        <w:t xml:space="preserve"> and </w:t>
      </w:r>
      <w:r w:rsidR="007D71EB" w:rsidRPr="0021550A">
        <w:rPr>
          <w:i/>
        </w:rPr>
        <w:t>velociraptor</w:t>
      </w:r>
      <w:r w:rsidR="007D71EB" w:rsidRPr="0021550A">
        <w:t xml:space="preserve"> (</w:t>
      </w:r>
      <w:r w:rsidR="007D71EB" w:rsidRPr="0021550A">
        <w:rPr>
          <w:smallCaps/>
        </w:rPr>
        <w:t>velociraptor</w:t>
      </w:r>
      <w:r w:rsidR="007D71EB" w:rsidRPr="0021550A">
        <w:t>) in Quire</w:t>
      </w:r>
      <w:r w:rsidR="00B015C5" w:rsidRPr="0021550A">
        <w:t xml:space="preserve"> q</w:t>
      </w:r>
      <w:r w:rsidR="007D71EB" w:rsidRPr="0021550A">
        <w:t xml:space="preserve"> and </w:t>
      </w:r>
      <w:r w:rsidR="00B015C5" w:rsidRPr="0021550A">
        <w:t>Quire u</w:t>
      </w:r>
      <w:r w:rsidR="007D71EB" w:rsidRPr="0021550A">
        <w:t xml:space="preserve"> of the </w:t>
      </w:r>
      <w:r w:rsidR="00B015C5" w:rsidRPr="0021550A">
        <w:rPr>
          <w:i/>
        </w:rPr>
        <w:t>Confessio Amantis</w:t>
      </w:r>
      <w:r w:rsidR="007D71EB" w:rsidRPr="0021550A">
        <w:t xml:space="preserve">. </w:t>
      </w:r>
      <w:r w:rsidR="00EC7B37" w:rsidRPr="0021550A">
        <w:t xml:space="preserve">Where before the texts were described in one dimension, the texts are now in two. However, the distance between Quire </w:t>
      </w:r>
      <w:r w:rsidR="005B0CC9" w:rsidRPr="0021550A">
        <w:t>q</w:t>
      </w:r>
      <w:r w:rsidR="00EC7B37" w:rsidRPr="0021550A">
        <w:t xml:space="preserve"> and Quire </w:t>
      </w:r>
      <w:r w:rsidR="005B0CC9" w:rsidRPr="0021550A">
        <w:t>u</w:t>
      </w:r>
      <w:r w:rsidR="00EC7B37" w:rsidRPr="0021550A">
        <w:t xml:space="preserve"> is the same as in </w:t>
      </w:r>
      <w:r>
        <w:t>Figure 5.2</w:t>
      </w:r>
      <w:r w:rsidR="0071228E">
        <w:t xml:space="preserve">. </w:t>
      </w:r>
      <w:r w:rsidR="00EC7B37" w:rsidRPr="0021550A">
        <w:t xml:space="preserve">Because neither quire contains any tokens of </w:t>
      </w:r>
      <w:r w:rsidR="00EC7B37" w:rsidRPr="0021550A">
        <w:rPr>
          <w:i/>
        </w:rPr>
        <w:t>velociraptor</w:t>
      </w:r>
      <w:r w:rsidR="00EC7B37" w:rsidRPr="0021550A">
        <w:t xml:space="preserve">, the results are effectively the same as those in </w:t>
      </w:r>
      <w:r>
        <w:t>Figure 5.2</w:t>
      </w:r>
      <w:r w:rsidR="00EC7B37" w:rsidRPr="0021550A">
        <w:t xml:space="preserve">, and the points for both quires sit on the </w:t>
      </w:r>
      <w:r w:rsidR="00EC7B37" w:rsidRPr="0021550A">
        <w:rPr>
          <w:i/>
        </w:rPr>
        <w:t>x</w:t>
      </w:r>
      <w:r w:rsidR="00EC7B37" w:rsidRPr="0021550A">
        <w:t xml:space="preserve">-axis. In this case, adding the dimension for </w:t>
      </w:r>
      <w:r w:rsidR="00EC7B37" w:rsidRPr="0021550A">
        <w:rPr>
          <w:i/>
        </w:rPr>
        <w:t>velociraptor</w:t>
      </w:r>
      <w:r w:rsidR="00EC7B37" w:rsidRPr="0021550A">
        <w:t xml:space="preserve"> does not add any </w:t>
      </w:r>
      <w:r w:rsidR="00EC7B37" w:rsidRPr="0021550A">
        <w:lastRenderedPageBreak/>
        <w:t xml:space="preserve">information to the objects Quire </w:t>
      </w:r>
      <w:r w:rsidR="00B015C5" w:rsidRPr="0021550A">
        <w:t>q</w:t>
      </w:r>
      <w:r w:rsidR="00EC7B37" w:rsidRPr="0021550A">
        <w:t xml:space="preserve"> and Quire </w:t>
      </w:r>
      <w:r w:rsidR="00B015C5" w:rsidRPr="0021550A">
        <w:t>u</w:t>
      </w:r>
      <w:r w:rsidR="00EC7B37" w:rsidRPr="0021550A">
        <w:t xml:space="preserve">; because neither data point has a non-zero value for </w:t>
      </w:r>
      <w:r w:rsidR="00EC7B37" w:rsidRPr="0021550A">
        <w:rPr>
          <w:i/>
        </w:rPr>
        <w:t>velociraptor</w:t>
      </w:r>
      <w:r w:rsidR="00EC7B37" w:rsidRPr="0021550A">
        <w:t xml:space="preserve">, arguably the dimension does not exist for this dataset. </w:t>
      </w:r>
    </w:p>
    <w:p w14:paraId="37C57C16" w14:textId="0AECF0B8" w:rsidR="00EC7B37" w:rsidRPr="0021550A" w:rsidRDefault="00EC7B37" w:rsidP="000737CB">
      <w:r w:rsidRPr="0021550A">
        <w:t xml:space="preserve">We can say the same of any spelling variant that does not appear at all in the dataset. </w:t>
      </w:r>
      <w:r w:rsidR="005D3B17" w:rsidRPr="0021550A">
        <w:t>If we are</w:t>
      </w:r>
      <w:r w:rsidR="004A385C" w:rsidRPr="0021550A">
        <w:t xml:space="preserve"> focusing on a subset of the data, such as </w:t>
      </w:r>
      <w:r w:rsidR="00B53EB8" w:rsidRPr="0021550A">
        <w:t xml:space="preserve">a particular set of quires, we are only interested in spelling variants that occur in those quires, not the rest of the text, or the rest of the wider dataset. </w:t>
      </w:r>
      <w:r w:rsidR="002B0553" w:rsidRPr="0021550A">
        <w:t xml:space="preserve">When we include spelling variants that do not occur in the quires (or texts, or other subset of the wider dataset), then the result for each quire is zero, and the dimension adds nothing to distinguish between the quires. For example, </w:t>
      </w:r>
      <w:r w:rsidR="00EB5DFF" w:rsidRPr="0021550A">
        <w:t>when</w:t>
      </w:r>
      <w:r w:rsidR="00B015C5" w:rsidRPr="0021550A">
        <w:t xml:space="preserve"> plotting the points for Quire q and Quire u</w:t>
      </w:r>
      <w:r w:rsidR="00EB5DFF" w:rsidRPr="0021550A">
        <w:t xml:space="preserve"> in the </w:t>
      </w:r>
      <w:r w:rsidR="00B015C5" w:rsidRPr="0021550A">
        <w:rPr>
          <w:i/>
        </w:rPr>
        <w:t>Confessio Amantis</w:t>
      </w:r>
      <w:r w:rsidR="00EB5DFF" w:rsidRPr="0021550A">
        <w:t xml:space="preserve">, there are no occurrences of the variant </w:t>
      </w:r>
      <w:r w:rsidR="005B0CC9" w:rsidRPr="0021550A">
        <w:rPr>
          <w:i/>
        </w:rPr>
        <w:t>biganne</w:t>
      </w:r>
      <w:r w:rsidR="00EB5DFF" w:rsidRPr="0021550A">
        <w:t xml:space="preserve"> to represent </w:t>
      </w:r>
      <w:r w:rsidR="00B015C5" w:rsidRPr="0021550A">
        <w:rPr>
          <w:smallCaps/>
        </w:rPr>
        <w:t>began</w:t>
      </w:r>
      <w:r w:rsidR="00EB5DFF" w:rsidRPr="0021550A">
        <w:t xml:space="preserve">. </w:t>
      </w:r>
    </w:p>
    <w:p w14:paraId="0073C33F" w14:textId="77777777" w:rsidR="002B0553" w:rsidRPr="0021550A" w:rsidRDefault="002B0553" w:rsidP="000737CB"/>
    <w:tbl>
      <w:tblPr>
        <w:tblStyle w:val="GridTable1Light1"/>
        <w:tblW w:w="7555" w:type="dxa"/>
        <w:tblLayout w:type="fixed"/>
        <w:tblLook w:val="04A0" w:firstRow="1" w:lastRow="0" w:firstColumn="1" w:lastColumn="0" w:noHBand="0" w:noVBand="1"/>
      </w:tblPr>
      <w:tblGrid>
        <w:gridCol w:w="1885"/>
        <w:gridCol w:w="1890"/>
        <w:gridCol w:w="1890"/>
        <w:gridCol w:w="1890"/>
      </w:tblGrid>
      <w:tr w:rsidR="002B0553" w:rsidRPr="0021550A" w14:paraId="3C77E7E7" w14:textId="0555F526" w:rsidTr="00B015C5">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885" w:type="dxa"/>
            <w:noWrap/>
          </w:tcPr>
          <w:p w14:paraId="03211111" w14:textId="3C3C3B8D" w:rsidR="002B0553" w:rsidRPr="0021550A" w:rsidRDefault="002B0553" w:rsidP="005560E9">
            <w:pPr>
              <w:ind w:firstLine="0"/>
              <w:jc w:val="center"/>
            </w:pPr>
          </w:p>
        </w:tc>
        <w:tc>
          <w:tcPr>
            <w:tcW w:w="1890" w:type="dxa"/>
            <w:noWrap/>
          </w:tcPr>
          <w:p w14:paraId="2698689B" w14:textId="4B3A7CAD" w:rsidR="002B0553" w:rsidRPr="0021550A" w:rsidRDefault="002B0553" w:rsidP="005560E9">
            <w:pPr>
              <w:ind w:firstLine="0"/>
              <w:jc w:val="center"/>
              <w:cnfStyle w:val="100000000000" w:firstRow="1" w:lastRow="0" w:firstColumn="0" w:lastColumn="0" w:oddVBand="0" w:evenVBand="0" w:oddHBand="0" w:evenHBand="0" w:firstRowFirstColumn="0" w:firstRowLastColumn="0" w:lastRowFirstColumn="0" w:lastRowLastColumn="0"/>
            </w:pPr>
            <w:r w:rsidRPr="0021550A">
              <w:t xml:space="preserve">Quire </w:t>
            </w:r>
            <w:r w:rsidR="00B015C5" w:rsidRPr="0021550A">
              <w:t>q</w:t>
            </w:r>
          </w:p>
        </w:tc>
        <w:tc>
          <w:tcPr>
            <w:tcW w:w="1890" w:type="dxa"/>
          </w:tcPr>
          <w:p w14:paraId="3FF1DB53" w14:textId="7CADF4E2" w:rsidR="002B0553" w:rsidRPr="0021550A" w:rsidRDefault="002B0553" w:rsidP="005560E9">
            <w:pPr>
              <w:ind w:firstLine="0"/>
              <w:jc w:val="center"/>
              <w:cnfStyle w:val="100000000000" w:firstRow="1" w:lastRow="0" w:firstColumn="0" w:lastColumn="0" w:oddVBand="0" w:evenVBand="0" w:oddHBand="0" w:evenHBand="0" w:firstRowFirstColumn="0" w:firstRowLastColumn="0" w:lastRowFirstColumn="0" w:lastRowLastColumn="0"/>
            </w:pPr>
            <w:r w:rsidRPr="0021550A">
              <w:t xml:space="preserve">Quire </w:t>
            </w:r>
            <w:r w:rsidR="00B015C5" w:rsidRPr="0021550A">
              <w:t>u</w:t>
            </w:r>
          </w:p>
        </w:tc>
        <w:tc>
          <w:tcPr>
            <w:tcW w:w="1890" w:type="dxa"/>
          </w:tcPr>
          <w:p w14:paraId="4DAA58A5" w14:textId="4BD0BF72" w:rsidR="002B0553" w:rsidRPr="0021550A" w:rsidRDefault="002B0553" w:rsidP="005560E9">
            <w:pPr>
              <w:ind w:firstLine="0"/>
              <w:jc w:val="center"/>
              <w:cnfStyle w:val="100000000000" w:firstRow="1" w:lastRow="0" w:firstColumn="0" w:lastColumn="0" w:oddVBand="0" w:evenVBand="0" w:oddHBand="0" w:evenHBand="0" w:firstRowFirstColumn="0" w:firstRowLastColumn="0" w:lastRowFirstColumn="0" w:lastRowLastColumn="0"/>
            </w:pPr>
            <w:r w:rsidRPr="0021550A">
              <w:t xml:space="preserve">Quire </w:t>
            </w:r>
            <w:r w:rsidR="00B015C5" w:rsidRPr="0021550A">
              <w:t>t</w:t>
            </w:r>
          </w:p>
        </w:tc>
      </w:tr>
      <w:tr w:rsidR="00B015C5" w:rsidRPr="0021550A" w14:paraId="4C42127F" w14:textId="1B17815E" w:rsidTr="00B015C5">
        <w:trPr>
          <w:trHeight w:val="320"/>
        </w:trPr>
        <w:tc>
          <w:tcPr>
            <w:cnfStyle w:val="001000000000" w:firstRow="0" w:lastRow="0" w:firstColumn="1" w:lastColumn="0" w:oddVBand="0" w:evenVBand="0" w:oddHBand="0" w:evenHBand="0" w:firstRowFirstColumn="0" w:firstRowLastColumn="0" w:lastRowFirstColumn="0" w:lastRowLastColumn="0"/>
            <w:tcW w:w="1885" w:type="dxa"/>
            <w:noWrap/>
            <w:hideMark/>
          </w:tcPr>
          <w:p w14:paraId="5F086035" w14:textId="45FF01F7" w:rsidR="00B015C5" w:rsidRPr="005560E9" w:rsidRDefault="00B015C5" w:rsidP="005560E9">
            <w:pPr>
              <w:ind w:firstLine="0"/>
              <w:jc w:val="center"/>
              <w:rPr>
                <w:b w:val="0"/>
                <w:i/>
              </w:rPr>
            </w:pPr>
            <w:r w:rsidRPr="005560E9">
              <w:rPr>
                <w:b w:val="0"/>
                <w:i/>
              </w:rPr>
              <w:t>began</w:t>
            </w:r>
          </w:p>
        </w:tc>
        <w:tc>
          <w:tcPr>
            <w:tcW w:w="1890" w:type="dxa"/>
            <w:noWrap/>
          </w:tcPr>
          <w:p w14:paraId="5F5FC28B" w14:textId="127A7557" w:rsidR="00B015C5" w:rsidRPr="0021550A" w:rsidRDefault="00B015C5" w:rsidP="005560E9">
            <w:pPr>
              <w:ind w:firstLine="0"/>
              <w:jc w:val="center"/>
              <w:cnfStyle w:val="000000000000" w:firstRow="0" w:lastRow="0" w:firstColumn="0" w:lastColumn="0" w:oddVBand="0" w:evenVBand="0" w:oddHBand="0" w:evenHBand="0" w:firstRowFirstColumn="0" w:firstRowLastColumn="0" w:lastRowFirstColumn="0" w:lastRowLastColumn="0"/>
            </w:pPr>
            <w:r w:rsidRPr="0021550A">
              <w:t>0.33</w:t>
            </w:r>
          </w:p>
        </w:tc>
        <w:tc>
          <w:tcPr>
            <w:tcW w:w="1890" w:type="dxa"/>
          </w:tcPr>
          <w:p w14:paraId="77B740E9" w14:textId="7A5FAA61" w:rsidR="00B015C5" w:rsidRPr="0021550A" w:rsidRDefault="00B015C5" w:rsidP="005560E9">
            <w:pPr>
              <w:ind w:firstLine="0"/>
              <w:jc w:val="center"/>
              <w:cnfStyle w:val="000000000000" w:firstRow="0" w:lastRow="0" w:firstColumn="0" w:lastColumn="0" w:oddVBand="0" w:evenVBand="0" w:oddHBand="0" w:evenHBand="0" w:firstRowFirstColumn="0" w:firstRowLastColumn="0" w:lastRowFirstColumn="0" w:lastRowLastColumn="0"/>
            </w:pPr>
            <w:r w:rsidRPr="0021550A">
              <w:t>0.5</w:t>
            </w:r>
          </w:p>
        </w:tc>
        <w:tc>
          <w:tcPr>
            <w:tcW w:w="1890" w:type="dxa"/>
          </w:tcPr>
          <w:p w14:paraId="6FCABB4D" w14:textId="69CC44DD" w:rsidR="00B015C5" w:rsidRPr="0021550A" w:rsidRDefault="005B0CC9" w:rsidP="005560E9">
            <w:pPr>
              <w:ind w:firstLine="0"/>
              <w:jc w:val="center"/>
              <w:cnfStyle w:val="000000000000" w:firstRow="0" w:lastRow="0" w:firstColumn="0" w:lastColumn="0" w:oddVBand="0" w:evenVBand="0" w:oddHBand="0" w:evenHBand="0" w:firstRowFirstColumn="0" w:firstRowLastColumn="0" w:lastRowFirstColumn="0" w:lastRowLastColumn="0"/>
            </w:pPr>
            <w:r w:rsidRPr="0021550A">
              <w:t>0.38</w:t>
            </w:r>
          </w:p>
        </w:tc>
      </w:tr>
      <w:tr w:rsidR="00B015C5" w:rsidRPr="0021550A" w14:paraId="3D9DCE57" w14:textId="4F80761A" w:rsidTr="00B015C5">
        <w:trPr>
          <w:trHeight w:val="320"/>
        </w:trPr>
        <w:tc>
          <w:tcPr>
            <w:cnfStyle w:val="001000000000" w:firstRow="0" w:lastRow="0" w:firstColumn="1" w:lastColumn="0" w:oddVBand="0" w:evenVBand="0" w:oddHBand="0" w:evenHBand="0" w:firstRowFirstColumn="0" w:firstRowLastColumn="0" w:lastRowFirstColumn="0" w:lastRowLastColumn="0"/>
            <w:tcW w:w="1885" w:type="dxa"/>
            <w:noWrap/>
            <w:hideMark/>
          </w:tcPr>
          <w:p w14:paraId="1DCC62B0" w14:textId="58C99E51" w:rsidR="00B015C5" w:rsidRPr="005560E9" w:rsidRDefault="00B015C5" w:rsidP="005560E9">
            <w:pPr>
              <w:ind w:firstLine="0"/>
              <w:jc w:val="center"/>
              <w:rPr>
                <w:b w:val="0"/>
                <w:i/>
              </w:rPr>
            </w:pPr>
            <w:r w:rsidRPr="005560E9">
              <w:rPr>
                <w:b w:val="0"/>
                <w:i/>
              </w:rPr>
              <w:t>bygan</w:t>
            </w:r>
          </w:p>
        </w:tc>
        <w:tc>
          <w:tcPr>
            <w:tcW w:w="1890" w:type="dxa"/>
            <w:noWrap/>
          </w:tcPr>
          <w:p w14:paraId="44F2B787" w14:textId="7BC1F481" w:rsidR="00B015C5" w:rsidRPr="0021550A" w:rsidRDefault="00B015C5" w:rsidP="005560E9">
            <w:pPr>
              <w:ind w:firstLine="0"/>
              <w:jc w:val="center"/>
              <w:cnfStyle w:val="000000000000" w:firstRow="0" w:lastRow="0" w:firstColumn="0" w:lastColumn="0" w:oddVBand="0" w:evenVBand="0" w:oddHBand="0" w:evenHBand="0" w:firstRowFirstColumn="0" w:firstRowLastColumn="0" w:lastRowFirstColumn="0" w:lastRowLastColumn="0"/>
            </w:pPr>
            <w:r w:rsidRPr="0021550A">
              <w:t>0.17</w:t>
            </w:r>
          </w:p>
        </w:tc>
        <w:tc>
          <w:tcPr>
            <w:tcW w:w="1890" w:type="dxa"/>
          </w:tcPr>
          <w:p w14:paraId="2E779BB9" w14:textId="123BEC08" w:rsidR="00B015C5" w:rsidRPr="0021550A" w:rsidRDefault="00B015C5" w:rsidP="005560E9">
            <w:pPr>
              <w:ind w:firstLine="0"/>
              <w:jc w:val="center"/>
              <w:cnfStyle w:val="000000000000" w:firstRow="0" w:lastRow="0" w:firstColumn="0" w:lastColumn="0" w:oddVBand="0" w:evenVBand="0" w:oddHBand="0" w:evenHBand="0" w:firstRowFirstColumn="0" w:firstRowLastColumn="0" w:lastRowFirstColumn="0" w:lastRowLastColumn="0"/>
            </w:pPr>
            <w:r w:rsidRPr="0021550A">
              <w:t>0.17</w:t>
            </w:r>
          </w:p>
        </w:tc>
        <w:tc>
          <w:tcPr>
            <w:tcW w:w="1890" w:type="dxa"/>
          </w:tcPr>
          <w:p w14:paraId="0E3FAA7A" w14:textId="363B293D" w:rsidR="00B015C5" w:rsidRPr="0021550A" w:rsidRDefault="005B0CC9" w:rsidP="005560E9">
            <w:pPr>
              <w:ind w:firstLine="0"/>
              <w:jc w:val="center"/>
              <w:cnfStyle w:val="000000000000" w:firstRow="0" w:lastRow="0" w:firstColumn="0" w:lastColumn="0" w:oddVBand="0" w:evenVBand="0" w:oddHBand="0" w:evenHBand="0" w:firstRowFirstColumn="0" w:firstRowLastColumn="0" w:lastRowFirstColumn="0" w:lastRowLastColumn="0"/>
            </w:pPr>
            <w:r w:rsidRPr="0021550A">
              <w:t>0.12</w:t>
            </w:r>
          </w:p>
        </w:tc>
      </w:tr>
      <w:tr w:rsidR="00B015C5" w:rsidRPr="0021550A" w14:paraId="0C6F6C74" w14:textId="3B7BB46E" w:rsidTr="00B015C5">
        <w:trPr>
          <w:trHeight w:val="314"/>
        </w:trPr>
        <w:tc>
          <w:tcPr>
            <w:cnfStyle w:val="001000000000" w:firstRow="0" w:lastRow="0" w:firstColumn="1" w:lastColumn="0" w:oddVBand="0" w:evenVBand="0" w:oddHBand="0" w:evenHBand="0" w:firstRowFirstColumn="0" w:firstRowLastColumn="0" w:lastRowFirstColumn="0" w:lastRowLastColumn="0"/>
            <w:tcW w:w="1885" w:type="dxa"/>
            <w:noWrap/>
            <w:hideMark/>
          </w:tcPr>
          <w:p w14:paraId="6A01BA0B" w14:textId="6118A6B1" w:rsidR="00B015C5" w:rsidRPr="005560E9" w:rsidRDefault="00B015C5" w:rsidP="005560E9">
            <w:pPr>
              <w:ind w:firstLine="0"/>
              <w:jc w:val="center"/>
              <w:rPr>
                <w:b w:val="0"/>
                <w:i/>
              </w:rPr>
            </w:pPr>
            <w:r w:rsidRPr="005560E9">
              <w:rPr>
                <w:b w:val="0"/>
                <w:i/>
              </w:rPr>
              <w:t>bigan</w:t>
            </w:r>
          </w:p>
        </w:tc>
        <w:tc>
          <w:tcPr>
            <w:tcW w:w="1890" w:type="dxa"/>
            <w:noWrap/>
          </w:tcPr>
          <w:p w14:paraId="5F4B1B0D" w14:textId="290CE79E" w:rsidR="00B015C5" w:rsidRPr="0021550A" w:rsidRDefault="00B015C5" w:rsidP="005560E9">
            <w:pPr>
              <w:ind w:firstLine="0"/>
              <w:jc w:val="center"/>
              <w:cnfStyle w:val="000000000000" w:firstRow="0" w:lastRow="0" w:firstColumn="0" w:lastColumn="0" w:oddVBand="0" w:evenVBand="0" w:oddHBand="0" w:evenHBand="0" w:firstRowFirstColumn="0" w:firstRowLastColumn="0" w:lastRowFirstColumn="0" w:lastRowLastColumn="0"/>
            </w:pPr>
            <w:r w:rsidRPr="0021550A">
              <w:t>0.5</w:t>
            </w:r>
          </w:p>
        </w:tc>
        <w:tc>
          <w:tcPr>
            <w:tcW w:w="1890" w:type="dxa"/>
          </w:tcPr>
          <w:p w14:paraId="5F59A081" w14:textId="210D415B" w:rsidR="00B015C5" w:rsidRPr="0021550A" w:rsidRDefault="00B015C5" w:rsidP="005560E9">
            <w:pPr>
              <w:ind w:firstLine="0"/>
              <w:jc w:val="center"/>
              <w:cnfStyle w:val="000000000000" w:firstRow="0" w:lastRow="0" w:firstColumn="0" w:lastColumn="0" w:oddVBand="0" w:evenVBand="0" w:oddHBand="0" w:evenHBand="0" w:firstRowFirstColumn="0" w:firstRowLastColumn="0" w:lastRowFirstColumn="0" w:lastRowLastColumn="0"/>
            </w:pPr>
            <w:r w:rsidRPr="0021550A">
              <w:t>0.33</w:t>
            </w:r>
          </w:p>
        </w:tc>
        <w:tc>
          <w:tcPr>
            <w:tcW w:w="1890" w:type="dxa"/>
          </w:tcPr>
          <w:p w14:paraId="13C5BCF3" w14:textId="34392C39" w:rsidR="00B015C5" w:rsidRPr="0021550A" w:rsidRDefault="005B0CC9" w:rsidP="005560E9">
            <w:pPr>
              <w:ind w:firstLine="0"/>
              <w:jc w:val="center"/>
              <w:cnfStyle w:val="000000000000" w:firstRow="0" w:lastRow="0" w:firstColumn="0" w:lastColumn="0" w:oddVBand="0" w:evenVBand="0" w:oddHBand="0" w:evenHBand="0" w:firstRowFirstColumn="0" w:firstRowLastColumn="0" w:lastRowFirstColumn="0" w:lastRowLastColumn="0"/>
            </w:pPr>
            <w:r w:rsidRPr="0021550A">
              <w:t>0.</w:t>
            </w:r>
            <w:r w:rsidR="00B015C5" w:rsidRPr="0021550A">
              <w:t>3</w:t>
            </w:r>
            <w:r w:rsidRPr="0021550A">
              <w:t>8</w:t>
            </w:r>
          </w:p>
        </w:tc>
      </w:tr>
      <w:tr w:rsidR="00B015C5" w:rsidRPr="0021550A" w14:paraId="48825CC1" w14:textId="77777777" w:rsidTr="00B015C5">
        <w:trPr>
          <w:trHeight w:val="314"/>
        </w:trPr>
        <w:tc>
          <w:tcPr>
            <w:cnfStyle w:val="001000000000" w:firstRow="0" w:lastRow="0" w:firstColumn="1" w:lastColumn="0" w:oddVBand="0" w:evenVBand="0" w:oddHBand="0" w:evenHBand="0" w:firstRowFirstColumn="0" w:firstRowLastColumn="0" w:lastRowFirstColumn="0" w:lastRowLastColumn="0"/>
            <w:tcW w:w="1885" w:type="dxa"/>
            <w:noWrap/>
          </w:tcPr>
          <w:p w14:paraId="748E8C24" w14:textId="4C2D2909" w:rsidR="00B015C5" w:rsidRPr="005560E9" w:rsidRDefault="00B015C5" w:rsidP="005560E9">
            <w:pPr>
              <w:ind w:firstLine="0"/>
              <w:jc w:val="center"/>
              <w:rPr>
                <w:b w:val="0"/>
                <w:i/>
              </w:rPr>
            </w:pPr>
            <w:r w:rsidRPr="005560E9">
              <w:rPr>
                <w:b w:val="0"/>
                <w:i/>
              </w:rPr>
              <w:t>biganne</w:t>
            </w:r>
          </w:p>
        </w:tc>
        <w:tc>
          <w:tcPr>
            <w:tcW w:w="1890" w:type="dxa"/>
            <w:noWrap/>
          </w:tcPr>
          <w:p w14:paraId="1BA34541" w14:textId="1451E6D3" w:rsidR="00B015C5" w:rsidRPr="0021550A" w:rsidRDefault="00B015C5" w:rsidP="005560E9">
            <w:pPr>
              <w:ind w:firstLine="0"/>
              <w:jc w:val="center"/>
              <w:cnfStyle w:val="000000000000" w:firstRow="0" w:lastRow="0" w:firstColumn="0" w:lastColumn="0" w:oddVBand="0" w:evenVBand="0" w:oddHBand="0" w:evenHBand="0" w:firstRowFirstColumn="0" w:firstRowLastColumn="0" w:lastRowFirstColumn="0" w:lastRowLastColumn="0"/>
            </w:pPr>
            <w:r w:rsidRPr="0021550A">
              <w:t>0</w:t>
            </w:r>
          </w:p>
        </w:tc>
        <w:tc>
          <w:tcPr>
            <w:tcW w:w="1890" w:type="dxa"/>
          </w:tcPr>
          <w:p w14:paraId="61A491F9" w14:textId="75DE635F" w:rsidR="00B015C5" w:rsidRPr="0021550A" w:rsidRDefault="00B015C5" w:rsidP="005560E9">
            <w:pPr>
              <w:ind w:firstLine="0"/>
              <w:jc w:val="center"/>
              <w:cnfStyle w:val="000000000000" w:firstRow="0" w:lastRow="0" w:firstColumn="0" w:lastColumn="0" w:oddVBand="0" w:evenVBand="0" w:oddHBand="0" w:evenHBand="0" w:firstRowFirstColumn="0" w:firstRowLastColumn="0" w:lastRowFirstColumn="0" w:lastRowLastColumn="0"/>
            </w:pPr>
            <w:r w:rsidRPr="0021550A">
              <w:t>0</w:t>
            </w:r>
          </w:p>
        </w:tc>
        <w:tc>
          <w:tcPr>
            <w:tcW w:w="1890" w:type="dxa"/>
          </w:tcPr>
          <w:p w14:paraId="0180E29D" w14:textId="28893342" w:rsidR="00B015C5" w:rsidRPr="0021550A" w:rsidRDefault="005B0CC9" w:rsidP="005560E9">
            <w:pPr>
              <w:ind w:firstLine="0"/>
              <w:jc w:val="center"/>
              <w:cnfStyle w:val="000000000000" w:firstRow="0" w:lastRow="0" w:firstColumn="0" w:lastColumn="0" w:oddVBand="0" w:evenVBand="0" w:oddHBand="0" w:evenHBand="0" w:firstRowFirstColumn="0" w:firstRowLastColumn="0" w:lastRowFirstColumn="0" w:lastRowLastColumn="0"/>
            </w:pPr>
            <w:r w:rsidRPr="0021550A">
              <w:t>0.</w:t>
            </w:r>
            <w:r w:rsidR="00B015C5" w:rsidRPr="0021550A">
              <w:t>12</w:t>
            </w:r>
          </w:p>
        </w:tc>
      </w:tr>
    </w:tbl>
    <w:p w14:paraId="29A04DB9" w14:textId="0BC594BE" w:rsidR="002B0553" w:rsidRPr="0021550A" w:rsidRDefault="00453776" w:rsidP="000737CB">
      <w:pPr>
        <w:pStyle w:val="Caption"/>
        <w:rPr>
          <w:i/>
        </w:rPr>
      </w:pPr>
      <w:bookmarkStart w:id="136" w:name="_Toc499753482"/>
      <w:r>
        <w:t xml:space="preserve">Table 5.4: </w:t>
      </w:r>
      <w:r w:rsidR="005B0CC9" w:rsidRPr="0021550A">
        <w:t xml:space="preserve">Ratios of </w:t>
      </w:r>
      <w:r w:rsidR="005B0CC9" w:rsidRPr="0021550A">
        <w:rPr>
          <w:smallCaps/>
        </w:rPr>
        <w:t>began</w:t>
      </w:r>
      <w:r w:rsidR="005B0CC9" w:rsidRPr="0021550A">
        <w:t xml:space="preserve"> in </w:t>
      </w:r>
      <w:r w:rsidR="00176CED">
        <w:t>quires of</w:t>
      </w:r>
      <w:r w:rsidR="005B0CC9" w:rsidRPr="0021550A">
        <w:t xml:space="preserve"> the </w:t>
      </w:r>
      <w:r w:rsidR="005B0CC9" w:rsidRPr="0021550A">
        <w:rPr>
          <w:i/>
        </w:rPr>
        <w:t>Confessio Amantis</w:t>
      </w:r>
      <w:bookmarkEnd w:id="136"/>
    </w:p>
    <w:p w14:paraId="4F2D8A56" w14:textId="77777777" w:rsidR="002B0553" w:rsidRPr="0021550A" w:rsidRDefault="002B0553" w:rsidP="000737CB"/>
    <w:p w14:paraId="682E6E50" w14:textId="2BCA69BF" w:rsidR="00DF04B2" w:rsidRPr="0021550A" w:rsidRDefault="00DF04B2" w:rsidP="000737CB">
      <w:r w:rsidRPr="0021550A">
        <w:t xml:space="preserve">We can see from </w:t>
      </w:r>
      <w:r w:rsidR="00FD6558">
        <w:t xml:space="preserve">Table 5.4 </w:t>
      </w:r>
      <w:r w:rsidRPr="0021550A">
        <w:t xml:space="preserve">that </w:t>
      </w:r>
      <w:r w:rsidR="005B0CC9" w:rsidRPr="0021550A">
        <w:rPr>
          <w:i/>
        </w:rPr>
        <w:t>biganne</w:t>
      </w:r>
      <w:r w:rsidRPr="0021550A">
        <w:t xml:space="preserve"> occurs elsewhere in the text for the </w:t>
      </w:r>
      <w:r w:rsidR="005B0CC9" w:rsidRPr="0021550A">
        <w:rPr>
          <w:i/>
        </w:rPr>
        <w:t>Confessio Amantis</w:t>
      </w:r>
      <w:r w:rsidRPr="0021550A">
        <w:t xml:space="preserve">, in Quire </w:t>
      </w:r>
      <w:r w:rsidR="005B0CC9" w:rsidRPr="0021550A">
        <w:t>t</w:t>
      </w:r>
      <w:r w:rsidRPr="0021550A">
        <w:t xml:space="preserve">. However, </w:t>
      </w:r>
      <w:r w:rsidR="001E1A65" w:rsidRPr="0021550A">
        <w:t>if</w:t>
      </w:r>
      <w:r w:rsidRPr="0021550A">
        <w:t xml:space="preserve"> we are only interested in </w:t>
      </w:r>
      <w:r w:rsidR="005B0CC9" w:rsidRPr="0021550A">
        <w:t>Quire q and Quire u</w:t>
      </w:r>
      <w:r w:rsidRPr="0021550A">
        <w:t xml:space="preserve">, the dimension for </w:t>
      </w:r>
      <w:r w:rsidR="005B0CC9" w:rsidRPr="0021550A">
        <w:rPr>
          <w:i/>
        </w:rPr>
        <w:t>biganne</w:t>
      </w:r>
      <w:r w:rsidRPr="0021550A">
        <w:t xml:space="preserve"> does not add any information. If we were to plot </w:t>
      </w:r>
      <w:r w:rsidR="005B0CC9" w:rsidRPr="0021550A">
        <w:rPr>
          <w:i/>
        </w:rPr>
        <w:t>biganne</w:t>
      </w:r>
      <w:r w:rsidRPr="0021550A">
        <w:t xml:space="preserve"> for these two quires, the result would be the same as plotting </w:t>
      </w:r>
      <w:r w:rsidRPr="0021550A">
        <w:rPr>
          <w:i/>
        </w:rPr>
        <w:t>velociraptor</w:t>
      </w:r>
      <w:r w:rsidRPr="0021550A">
        <w:t xml:space="preserve">; even though </w:t>
      </w:r>
      <w:r w:rsidR="005B0CC9" w:rsidRPr="0021550A">
        <w:rPr>
          <w:i/>
        </w:rPr>
        <w:t>biganne</w:t>
      </w:r>
      <w:r w:rsidRPr="0021550A">
        <w:t xml:space="preserve"> occurs in the wider</w:t>
      </w:r>
      <w:r w:rsidR="005B0CC9" w:rsidRPr="0021550A">
        <w:t xml:space="preserve"> </w:t>
      </w:r>
      <w:r w:rsidRPr="0021550A">
        <w:t xml:space="preserve">dataset and </w:t>
      </w:r>
      <w:r w:rsidRPr="0021550A">
        <w:rPr>
          <w:i/>
        </w:rPr>
        <w:t>velociraptor</w:t>
      </w:r>
      <w:r w:rsidRPr="0021550A">
        <w:t xml:space="preserve"> does not, neither </w:t>
      </w:r>
      <w:r w:rsidR="005B0CC9" w:rsidRPr="0021550A">
        <w:rPr>
          <w:i/>
        </w:rPr>
        <w:t xml:space="preserve">biganne </w:t>
      </w:r>
      <w:r w:rsidR="005B0CC9" w:rsidRPr="0021550A">
        <w:t xml:space="preserve">nor </w:t>
      </w:r>
      <w:r w:rsidR="005B0CC9" w:rsidRPr="0021550A">
        <w:rPr>
          <w:i/>
        </w:rPr>
        <w:t xml:space="preserve">velociraptor </w:t>
      </w:r>
      <w:r w:rsidRPr="0021550A">
        <w:t xml:space="preserve">provide any information to describe the spelling variance in Quire </w:t>
      </w:r>
      <w:r w:rsidR="005B0CC9" w:rsidRPr="0021550A">
        <w:t>q</w:t>
      </w:r>
      <w:r w:rsidRPr="0021550A">
        <w:t xml:space="preserve"> or Quire </w:t>
      </w:r>
      <w:r w:rsidR="005B0CC9" w:rsidRPr="0021550A">
        <w:t>u</w:t>
      </w:r>
      <w:r w:rsidR="00D7717A">
        <w:t>.</w:t>
      </w:r>
    </w:p>
    <w:p w14:paraId="72993356" w14:textId="02587055" w:rsidR="007D71EB" w:rsidRPr="0021550A" w:rsidRDefault="005D3B17" w:rsidP="000737CB">
      <w:r w:rsidRPr="0021550A">
        <w:t xml:space="preserve">This example has only considered two of the quires for the </w:t>
      </w:r>
      <w:r w:rsidR="005B0CC9" w:rsidRPr="0021550A">
        <w:rPr>
          <w:i/>
        </w:rPr>
        <w:t>Confessio Amantis</w:t>
      </w:r>
      <w:r w:rsidRPr="0021550A">
        <w:t xml:space="preserve">. Where we consider the full dataset for the </w:t>
      </w:r>
      <w:r w:rsidR="005B0CC9" w:rsidRPr="0021550A">
        <w:rPr>
          <w:i/>
        </w:rPr>
        <w:t>Confessio Amantis</w:t>
      </w:r>
      <w:r w:rsidRPr="0021550A">
        <w:t xml:space="preserve">, only one of the </w:t>
      </w:r>
      <w:r w:rsidR="005B0CC9" w:rsidRPr="0021550A">
        <w:t>twenty-seven</w:t>
      </w:r>
      <w:r w:rsidRPr="0021550A">
        <w:t xml:space="preserve"> quires that comprise the whole text needs to make use of a spelling variant for it to comprise a new dimension, even if the other </w:t>
      </w:r>
      <w:r w:rsidR="005B0CC9" w:rsidRPr="0021550A">
        <w:t>twenty-six</w:t>
      </w:r>
      <w:r w:rsidRPr="0021550A">
        <w:t xml:space="preserve"> quires did not have any tokens.</w:t>
      </w:r>
      <w:r w:rsidR="00C81931" w:rsidRPr="0021550A">
        <w:t xml:space="preserve"> Again, if we are looking at the whole dataset for the </w:t>
      </w:r>
      <w:r w:rsidR="005B0CC9" w:rsidRPr="0021550A">
        <w:rPr>
          <w:i/>
        </w:rPr>
        <w:t>Confessio Amantis</w:t>
      </w:r>
      <w:r w:rsidR="00C81931" w:rsidRPr="0021550A">
        <w:t xml:space="preserve">, we are not interested in spelling variants that occur in the wider dataset but not the subset that we are examining; we are not interested in spelling variants that are used in </w:t>
      </w:r>
      <w:r w:rsidR="00C81931" w:rsidRPr="0021550A">
        <w:rPr>
          <w:i/>
        </w:rPr>
        <w:t>Reynard the Fox</w:t>
      </w:r>
      <w:r w:rsidR="00C81931" w:rsidRPr="0021550A">
        <w:t xml:space="preserve"> but not the </w:t>
      </w:r>
      <w:r w:rsidR="005B0CC9" w:rsidRPr="0021550A">
        <w:rPr>
          <w:i/>
        </w:rPr>
        <w:t>Confessio Amantis</w:t>
      </w:r>
      <w:r w:rsidR="00C81931" w:rsidRPr="0021550A">
        <w:t xml:space="preserve">, for example. </w:t>
      </w:r>
    </w:p>
    <w:p w14:paraId="654E192B" w14:textId="41589A3D" w:rsidR="00A30499" w:rsidRPr="0021550A" w:rsidRDefault="002E6B63" w:rsidP="000737CB">
      <w:r w:rsidRPr="0021550A">
        <w:t>This section has demonstrated that it</w:t>
      </w:r>
      <w:r w:rsidR="00C81931" w:rsidRPr="0021550A">
        <w:t xml:space="preserve"> is important to look only at the spelling variants that are immediately relevant to the analysis. </w:t>
      </w:r>
      <w:r w:rsidR="00A30499" w:rsidRPr="0021550A">
        <w:t xml:space="preserve">Theoretically, only looking at the relevant spelling variants is an interesting point, because it demonstrates that the </w:t>
      </w:r>
      <w:r w:rsidR="00A30499" w:rsidRPr="0021550A">
        <w:lastRenderedPageBreak/>
        <w:t xml:space="preserve">dimensions for each spelling variant do not exist all the time. For example, the dimension for the spelling variant </w:t>
      </w:r>
      <w:r w:rsidR="00A30499" w:rsidRPr="0021550A">
        <w:rPr>
          <w:i/>
        </w:rPr>
        <w:t>velociraptor</w:t>
      </w:r>
      <w:r w:rsidR="00E30B39">
        <w:t xml:space="preserve"> </w:t>
      </w:r>
      <w:r w:rsidR="00A30499" w:rsidRPr="0021550A">
        <w:t>does exist</w:t>
      </w:r>
      <w:r w:rsidR="00E30B39">
        <w:t xml:space="preserve"> in more modern datasets</w:t>
      </w:r>
      <w:r w:rsidR="00A30499" w:rsidRPr="0021550A">
        <w:t xml:space="preserve">, but not in the </w:t>
      </w:r>
      <w:r w:rsidR="00A30499" w:rsidRPr="0021550A">
        <w:rPr>
          <w:i/>
        </w:rPr>
        <w:t>EEBO</w:t>
      </w:r>
      <w:r w:rsidR="00A30499" w:rsidRPr="0021550A">
        <w:t xml:space="preserve"> dataset. Dimensionality, then, is fleeting and changeable depending upon the dataset. In addition to being a point of theoretical interest, the variability of dimensionality has applied implications for the present study. </w:t>
      </w:r>
    </w:p>
    <w:p w14:paraId="7DB319CE" w14:textId="77777777" w:rsidR="00EF4B7F" w:rsidRDefault="002C46A8" w:rsidP="000737CB">
      <w:r w:rsidRPr="0021550A">
        <w:t xml:space="preserve">In practical terms, by including spelling variants that do not exist in the immediate dataset we are including noise. Noisy data is inefficient for processing, and noisy data can also obscure patterns within the data. </w:t>
      </w:r>
      <w:r w:rsidR="00A30499" w:rsidRPr="0021550A">
        <w:t>For this dataset, including unnecessary spelling variants makes it</w:t>
      </w:r>
      <w:r w:rsidRPr="0021550A">
        <w:t xml:space="preserve"> harder to see which variants are important </w:t>
      </w:r>
      <w:r w:rsidR="00A30499" w:rsidRPr="0021550A">
        <w:t>for</w:t>
      </w:r>
      <w:r w:rsidRPr="0021550A">
        <w:t xml:space="preserve"> differentiating between input from the compositor or the copy text. </w:t>
      </w:r>
      <w:r w:rsidR="00A30499" w:rsidRPr="0021550A">
        <w:t>To</w:t>
      </w:r>
      <w:r w:rsidRPr="0021550A">
        <w:t xml:space="preserve"> counteract against noisy data, or data that adds very little to differentiate between </w:t>
      </w:r>
      <w:r w:rsidR="002E6B63" w:rsidRPr="0021550A">
        <w:t>sets of spellings that co-occur, I have set a threshold fo</w:t>
      </w:r>
      <w:r w:rsidR="005B0CC9" w:rsidRPr="0021550A">
        <w:t>r the frequency of each word</w:t>
      </w:r>
      <w:r w:rsidR="002E6B63" w:rsidRPr="0021550A">
        <w:t>.</w:t>
      </w:r>
      <w:r w:rsidR="005B0CC9" w:rsidRPr="0021550A">
        <w:t xml:space="preserve"> For a word and its associated spelling variants to be included in the analysis, the word must appear in the text at least five times, though those five times could be different spellings.</w:t>
      </w:r>
      <w:r w:rsidR="002E6B63" w:rsidRPr="0021550A">
        <w:t xml:space="preserve"> </w:t>
      </w:r>
    </w:p>
    <w:p w14:paraId="7CE9CF4C" w14:textId="5AF20100" w:rsidR="00C81931" w:rsidRPr="0021550A" w:rsidRDefault="002E6B63" w:rsidP="000737CB">
      <w:r w:rsidRPr="0021550A">
        <w:t xml:space="preserve">By setting a threshold for the whole word and not an individual spelling variant, we can still capture very low frequency variants but </w:t>
      </w:r>
      <w:r w:rsidR="001F4F5C" w:rsidRPr="0021550A">
        <w:t>in the wider context of other, more frequent spelling</w:t>
      </w:r>
      <w:r w:rsidR="005B0CC9" w:rsidRPr="0021550A">
        <w:t>s</w:t>
      </w:r>
      <w:r w:rsidR="001F4F5C" w:rsidRPr="0021550A">
        <w:t>. For example, there is a limited amount of information to be gleaned from a word that occurs twice in the whole dataset, but spelt differently both times. Such low frequency is not enough to make wider claims about the distribution of these spelling variants. However, it is more interesting to look at a word that occurs a hundred times, that makes use of several spelling variants, though one variant occurs only once. In this case, we can make more of a claim regarding the distribution of spelling variants. Mathematically, this is known as an increase in confidence</w:t>
      </w:r>
      <w:r w:rsidR="00A30499" w:rsidRPr="0021550A">
        <w:t xml:space="preserve">. We can remove these less informative dimensions from the data, and in doing so, increase the confidence and reduce the noise in the data. The next section </w:t>
      </w:r>
      <w:r w:rsidR="006F13F2" w:rsidRPr="0021550A">
        <w:t>discusses</w:t>
      </w:r>
      <w:r w:rsidR="00A30499" w:rsidRPr="0021550A">
        <w:t xml:space="preserve"> how we can also reduce the dimensions of the data if we change the spelling variants that we are interested in.</w:t>
      </w:r>
    </w:p>
    <w:p w14:paraId="65C9762D" w14:textId="77777777" w:rsidR="00822D66" w:rsidRPr="0021550A" w:rsidRDefault="00822D66" w:rsidP="000737CB"/>
    <w:p w14:paraId="5BAE137E" w14:textId="58DEEA2C" w:rsidR="004C6970" w:rsidRPr="0021550A" w:rsidRDefault="004C6970" w:rsidP="000737CB">
      <w:pPr>
        <w:pStyle w:val="Heading4"/>
      </w:pPr>
      <w:r w:rsidRPr="0021550A">
        <w:t>Reducing the dimensions of spelling data matrices</w:t>
      </w:r>
    </w:p>
    <w:p w14:paraId="0EB392DB" w14:textId="43AF01D9" w:rsidR="00B714DD" w:rsidRPr="0021550A" w:rsidRDefault="00F52B93" w:rsidP="000737CB">
      <w:r w:rsidRPr="0021550A">
        <w:t xml:space="preserve">Each quire </w:t>
      </w:r>
      <w:r w:rsidR="006F13F2" w:rsidRPr="0021550A">
        <w:t>does</w:t>
      </w:r>
      <w:r w:rsidRPr="0021550A">
        <w:t xml:space="preserve"> not include every word that is used throughout the whole text. Each quire will include different words to the other quires, because the contents of each quire are different</w:t>
      </w:r>
      <w:r w:rsidR="00AA19A7" w:rsidRPr="0021550A">
        <w:t xml:space="preserve"> and the topic of a text can change</w:t>
      </w:r>
      <w:r w:rsidRPr="0021550A">
        <w:t xml:space="preserve">. Therefore, each quire will not include every spelling variant that is used in the whole text. </w:t>
      </w:r>
      <w:r w:rsidR="003D4E98" w:rsidRPr="0021550A">
        <w:t xml:space="preserve">This disparity is always going to be the case in books, unless a book is made up of a series of </w:t>
      </w:r>
      <w:r w:rsidR="006F13F2" w:rsidRPr="0021550A">
        <w:t xml:space="preserve">almost </w:t>
      </w:r>
      <w:r w:rsidR="003D4E98" w:rsidRPr="0021550A">
        <w:t xml:space="preserve">identical quires, because there are different words on every page. However, because the spellings in each quire are different, this presents a problem for clustering the quires </w:t>
      </w:r>
      <w:r w:rsidR="006F13F2" w:rsidRPr="0021550A">
        <w:t>based on</w:t>
      </w:r>
      <w:r w:rsidR="003D4E98" w:rsidRPr="0021550A">
        <w:t xml:space="preserve"> spelling variation.</w:t>
      </w:r>
    </w:p>
    <w:p w14:paraId="195FA235" w14:textId="0F477C5D" w:rsidR="000930EC" w:rsidRPr="0021550A" w:rsidRDefault="00B714DD" w:rsidP="000737CB">
      <w:r w:rsidRPr="0021550A">
        <w:lastRenderedPageBreak/>
        <w:t xml:space="preserve">By modelling the variation of all spellings, it is possible to </w:t>
      </w:r>
      <w:r w:rsidR="006F13F2" w:rsidRPr="0021550A">
        <w:t xml:space="preserve">inadvertently </w:t>
      </w:r>
      <w:r w:rsidRPr="0021550A">
        <w:t xml:space="preserve">model the topic of a text instead of the spelling variation. For example, words that are associated with mills and milling are likely to occur in the </w:t>
      </w:r>
      <w:r w:rsidR="008E2AE8" w:rsidRPr="0021550A">
        <w:t>Reeve’s</w:t>
      </w:r>
      <w:r w:rsidRPr="0021550A">
        <w:t xml:space="preserve"> Tale in the </w:t>
      </w:r>
      <w:r w:rsidRPr="0021550A">
        <w:rPr>
          <w:i/>
        </w:rPr>
        <w:t>Canterbury Tales</w:t>
      </w:r>
      <w:r w:rsidR="006476FB" w:rsidRPr="0021550A">
        <w:rPr>
          <w:i/>
        </w:rPr>
        <w:t xml:space="preserve"> </w:t>
      </w:r>
      <w:r w:rsidR="006476FB" w:rsidRPr="0021550A">
        <w:t xml:space="preserve">because the Reeve tells a story about a mill owner. Words that are associated with mills and milling </w:t>
      </w:r>
      <w:r w:rsidRPr="0021550A">
        <w:t>are unlikely to occur in the Knight</w:t>
      </w:r>
      <w:r w:rsidR="008E2AE8" w:rsidRPr="0021550A">
        <w:t>’</w:t>
      </w:r>
      <w:r w:rsidRPr="0021550A">
        <w:t>s Tale or the Nun’s Priest’s Tale</w:t>
      </w:r>
      <w:r w:rsidR="006476FB" w:rsidRPr="0021550A">
        <w:t>, because these tales are not about mills or mill owners</w:t>
      </w:r>
      <w:r w:rsidRPr="0021550A">
        <w:t>. T</w:t>
      </w:r>
      <w:r w:rsidR="008E2AE8" w:rsidRPr="0021550A">
        <w:t>herefore t</w:t>
      </w:r>
      <w:r w:rsidRPr="0021550A">
        <w:t xml:space="preserve">he spelling variants for </w:t>
      </w:r>
      <w:r w:rsidRPr="0021550A">
        <w:rPr>
          <w:smallCaps/>
        </w:rPr>
        <w:t>mill</w:t>
      </w:r>
      <w:r w:rsidRPr="0021550A">
        <w:t xml:space="preserve"> and </w:t>
      </w:r>
      <w:r w:rsidRPr="0021550A">
        <w:rPr>
          <w:smallCaps/>
        </w:rPr>
        <w:t>milling</w:t>
      </w:r>
      <w:r w:rsidRPr="0021550A">
        <w:t xml:space="preserve"> </w:t>
      </w:r>
      <w:r w:rsidR="003D4E98" w:rsidRPr="0021550A">
        <w:t xml:space="preserve">occur in the quires that comprise the </w:t>
      </w:r>
      <w:r w:rsidR="008E2AE8" w:rsidRPr="0021550A">
        <w:t>Reeve’s</w:t>
      </w:r>
      <w:r w:rsidR="003D4E98" w:rsidRPr="0021550A">
        <w:t xml:space="preserve"> Tale</w:t>
      </w:r>
      <w:r w:rsidR="00E30B39">
        <w:t xml:space="preserve"> (in which one of the characters is a miller)</w:t>
      </w:r>
      <w:r w:rsidR="003D4E98" w:rsidRPr="0021550A">
        <w:t>, but not the quires that make up the Knight</w:t>
      </w:r>
      <w:r w:rsidR="008E2AE8" w:rsidRPr="0021550A">
        <w:t>’</w:t>
      </w:r>
      <w:r w:rsidR="003D4E98" w:rsidRPr="0021550A">
        <w:t xml:space="preserve">s Tale or the Nun’s Priest’s Tale. If we include all the spelling variants in the text for the </w:t>
      </w:r>
      <w:r w:rsidR="003D4E98" w:rsidRPr="0021550A">
        <w:rPr>
          <w:i/>
        </w:rPr>
        <w:t>Canterbury Tales</w:t>
      </w:r>
      <w:r w:rsidR="003D4E98" w:rsidRPr="0021550A">
        <w:t xml:space="preserve"> for analysis, then we also include these spelling variants for the milling semantic field. </w:t>
      </w:r>
      <w:r w:rsidR="00FD6558">
        <w:t>Table 5.5</w:t>
      </w:r>
      <w:r w:rsidR="006476FB" w:rsidRPr="0021550A">
        <w:t xml:space="preserve"> shows the ratios of spellings used for </w:t>
      </w:r>
      <w:r w:rsidR="006476FB" w:rsidRPr="0021550A">
        <w:rPr>
          <w:smallCaps/>
        </w:rPr>
        <w:t>miller</w:t>
      </w:r>
      <w:r w:rsidR="006476FB" w:rsidRPr="0021550A">
        <w:t xml:space="preserve"> in three of the quires used in the </w:t>
      </w:r>
      <w:r w:rsidR="006476FB" w:rsidRPr="0021550A">
        <w:rPr>
          <w:i/>
        </w:rPr>
        <w:t>Canterbury Tales</w:t>
      </w:r>
      <w:r w:rsidR="006476FB" w:rsidRPr="0021550A">
        <w:t>.</w:t>
      </w:r>
    </w:p>
    <w:p w14:paraId="7E83E046" w14:textId="77777777" w:rsidR="006A2F47" w:rsidRPr="0021550A" w:rsidRDefault="006A2F47" w:rsidP="000737CB"/>
    <w:tbl>
      <w:tblPr>
        <w:tblStyle w:val="GridTable1Light1"/>
        <w:tblW w:w="7943" w:type="dxa"/>
        <w:tblLayout w:type="fixed"/>
        <w:tblLook w:val="04A0" w:firstRow="1" w:lastRow="0" w:firstColumn="1" w:lastColumn="0" w:noHBand="0" w:noVBand="1"/>
      </w:tblPr>
      <w:tblGrid>
        <w:gridCol w:w="1795"/>
        <w:gridCol w:w="1890"/>
        <w:gridCol w:w="2070"/>
        <w:gridCol w:w="2188"/>
      </w:tblGrid>
      <w:tr w:rsidR="00D0045A" w:rsidRPr="0021550A" w14:paraId="083C9549" w14:textId="77777777" w:rsidTr="00D0045A">
        <w:trPr>
          <w:cnfStyle w:val="100000000000" w:firstRow="1" w:lastRow="0" w:firstColumn="0" w:lastColumn="0" w:oddVBand="0" w:evenVBand="0" w:oddHBand="0"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1795" w:type="dxa"/>
            <w:noWrap/>
            <w:vAlign w:val="center"/>
          </w:tcPr>
          <w:p w14:paraId="243FD8FD" w14:textId="77777777" w:rsidR="006A2F47" w:rsidRPr="0021550A" w:rsidRDefault="006A2F47" w:rsidP="0071228E">
            <w:pPr>
              <w:spacing w:line="240" w:lineRule="auto"/>
              <w:ind w:firstLine="0"/>
              <w:jc w:val="center"/>
            </w:pPr>
            <w:r w:rsidRPr="0021550A">
              <w:t>Spelling variant</w:t>
            </w:r>
          </w:p>
        </w:tc>
        <w:tc>
          <w:tcPr>
            <w:tcW w:w="1890" w:type="dxa"/>
            <w:noWrap/>
          </w:tcPr>
          <w:p w14:paraId="62DBDBEF" w14:textId="101795A6" w:rsidR="006A2F47" w:rsidRPr="0021550A" w:rsidRDefault="00385578" w:rsidP="005560E9">
            <w:pPr>
              <w:spacing w:line="240" w:lineRule="auto"/>
              <w:ind w:firstLine="0"/>
              <w:jc w:val="center"/>
              <w:cnfStyle w:val="100000000000" w:firstRow="1" w:lastRow="0" w:firstColumn="0" w:lastColumn="0" w:oddVBand="0" w:evenVBand="0" w:oddHBand="0" w:evenHBand="0" w:firstRowFirstColumn="0" w:firstRowLastColumn="0" w:lastRowFirstColumn="0" w:lastRowLastColumn="0"/>
            </w:pPr>
            <w:r w:rsidRPr="0021550A">
              <w:t>Quire c</w:t>
            </w:r>
          </w:p>
          <w:p w14:paraId="4074299E" w14:textId="2791461A" w:rsidR="006A2F47" w:rsidRPr="0021550A" w:rsidRDefault="006A2F47" w:rsidP="005560E9">
            <w:pPr>
              <w:spacing w:line="240" w:lineRule="auto"/>
              <w:ind w:firstLine="0"/>
              <w:jc w:val="center"/>
              <w:cnfStyle w:val="100000000000" w:firstRow="1" w:lastRow="0" w:firstColumn="0" w:lastColumn="0" w:oddVBand="0" w:evenVBand="0" w:oddHBand="0" w:evenHBand="0" w:firstRowFirstColumn="0" w:firstRowLastColumn="0" w:lastRowFirstColumn="0" w:lastRowLastColumn="0"/>
            </w:pPr>
            <w:r w:rsidRPr="0021550A">
              <w:t>(Knight’s Tale)</w:t>
            </w:r>
          </w:p>
        </w:tc>
        <w:tc>
          <w:tcPr>
            <w:tcW w:w="2070" w:type="dxa"/>
          </w:tcPr>
          <w:p w14:paraId="77EBFF33" w14:textId="154C960C" w:rsidR="006A2F47" w:rsidRPr="0021550A" w:rsidRDefault="006476FB" w:rsidP="005560E9">
            <w:pPr>
              <w:spacing w:line="240" w:lineRule="auto"/>
              <w:ind w:firstLine="0"/>
              <w:jc w:val="center"/>
              <w:cnfStyle w:val="100000000000" w:firstRow="1" w:lastRow="0" w:firstColumn="0" w:lastColumn="0" w:oddVBand="0" w:evenVBand="0" w:oddHBand="0" w:evenHBand="0" w:firstRowFirstColumn="0" w:firstRowLastColumn="0" w:lastRowFirstColumn="0" w:lastRowLastColumn="0"/>
            </w:pPr>
            <w:r w:rsidRPr="0021550A">
              <w:t>Quire i</w:t>
            </w:r>
          </w:p>
          <w:p w14:paraId="436D65B8" w14:textId="01B953A3" w:rsidR="006A2F47" w:rsidRPr="0021550A" w:rsidRDefault="006A2F47" w:rsidP="005560E9">
            <w:pPr>
              <w:spacing w:line="240" w:lineRule="auto"/>
              <w:ind w:firstLine="0"/>
              <w:jc w:val="center"/>
              <w:cnfStyle w:val="100000000000" w:firstRow="1" w:lastRow="0" w:firstColumn="0" w:lastColumn="0" w:oddVBand="0" w:evenVBand="0" w:oddHBand="0" w:evenHBand="0" w:firstRowFirstColumn="0" w:firstRowLastColumn="0" w:lastRowFirstColumn="0" w:lastRowLastColumn="0"/>
            </w:pPr>
            <w:r w:rsidRPr="0021550A">
              <w:t>(</w:t>
            </w:r>
            <w:r w:rsidR="006476FB" w:rsidRPr="0021550A">
              <w:t>Reeve’s</w:t>
            </w:r>
            <w:r w:rsidRPr="0021550A">
              <w:t xml:space="preserve"> Tale)</w:t>
            </w:r>
          </w:p>
        </w:tc>
        <w:tc>
          <w:tcPr>
            <w:tcW w:w="2188" w:type="dxa"/>
          </w:tcPr>
          <w:p w14:paraId="37280D90" w14:textId="4347B6A2" w:rsidR="006A2F47" w:rsidRPr="0021550A" w:rsidRDefault="006A2F47" w:rsidP="005560E9">
            <w:pPr>
              <w:spacing w:line="240" w:lineRule="auto"/>
              <w:ind w:firstLine="0"/>
              <w:jc w:val="center"/>
              <w:cnfStyle w:val="100000000000" w:firstRow="1" w:lastRow="0" w:firstColumn="0" w:lastColumn="0" w:oddVBand="0" w:evenVBand="0" w:oddHBand="0" w:evenHBand="0" w:firstRowFirstColumn="0" w:firstRowLastColumn="0" w:lastRowFirstColumn="0" w:lastRowLastColumn="0"/>
            </w:pPr>
            <w:r w:rsidRPr="0021550A">
              <w:t>Q</w:t>
            </w:r>
            <w:r w:rsidR="006476FB" w:rsidRPr="0021550A">
              <w:t>uire Q</w:t>
            </w:r>
          </w:p>
          <w:p w14:paraId="56E41D15" w14:textId="253A65D6" w:rsidR="006A2F47" w:rsidRPr="0021550A" w:rsidRDefault="006A2F47" w:rsidP="005560E9">
            <w:pPr>
              <w:spacing w:line="240" w:lineRule="auto"/>
              <w:ind w:firstLine="0"/>
              <w:jc w:val="center"/>
              <w:cnfStyle w:val="100000000000" w:firstRow="1" w:lastRow="0" w:firstColumn="0" w:lastColumn="0" w:oddVBand="0" w:evenVBand="0" w:oddHBand="0" w:evenHBand="0" w:firstRowFirstColumn="0" w:firstRowLastColumn="0" w:lastRowFirstColumn="0" w:lastRowLastColumn="0"/>
            </w:pPr>
            <w:r w:rsidRPr="0021550A">
              <w:t>(Nun’s Priest’s Tale)</w:t>
            </w:r>
          </w:p>
        </w:tc>
      </w:tr>
      <w:tr w:rsidR="00D0045A" w:rsidRPr="0021550A" w14:paraId="077D1D1B" w14:textId="77777777" w:rsidTr="00D0045A">
        <w:trPr>
          <w:trHeight w:val="296"/>
        </w:trPr>
        <w:tc>
          <w:tcPr>
            <w:cnfStyle w:val="001000000000" w:firstRow="0" w:lastRow="0" w:firstColumn="1" w:lastColumn="0" w:oddVBand="0" w:evenVBand="0" w:oddHBand="0" w:evenHBand="0" w:firstRowFirstColumn="0" w:firstRowLastColumn="0" w:lastRowFirstColumn="0" w:lastRowLastColumn="0"/>
            <w:tcW w:w="1795" w:type="dxa"/>
            <w:noWrap/>
            <w:hideMark/>
          </w:tcPr>
          <w:p w14:paraId="1737BF27" w14:textId="060AA0C4" w:rsidR="006A2F47" w:rsidRPr="005560E9" w:rsidRDefault="006476FB" w:rsidP="005560E9">
            <w:pPr>
              <w:ind w:firstLine="0"/>
              <w:jc w:val="center"/>
              <w:rPr>
                <w:b w:val="0"/>
                <w:i/>
              </w:rPr>
            </w:pPr>
            <w:r w:rsidRPr="005560E9">
              <w:rPr>
                <w:b w:val="0"/>
                <w:i/>
              </w:rPr>
              <w:t>myllere</w:t>
            </w:r>
          </w:p>
        </w:tc>
        <w:tc>
          <w:tcPr>
            <w:tcW w:w="1890" w:type="dxa"/>
            <w:noWrap/>
          </w:tcPr>
          <w:p w14:paraId="50AD0665" w14:textId="52A69753" w:rsidR="006A2F47" w:rsidRPr="0021550A" w:rsidRDefault="006A2F47" w:rsidP="005560E9">
            <w:pPr>
              <w:ind w:firstLine="0"/>
              <w:jc w:val="center"/>
              <w:cnfStyle w:val="000000000000" w:firstRow="0" w:lastRow="0" w:firstColumn="0" w:lastColumn="0" w:oddVBand="0" w:evenVBand="0" w:oddHBand="0" w:evenHBand="0" w:firstRowFirstColumn="0" w:firstRowLastColumn="0" w:lastRowFirstColumn="0" w:lastRowLastColumn="0"/>
            </w:pPr>
            <w:r w:rsidRPr="0021550A">
              <w:t>0</w:t>
            </w:r>
          </w:p>
        </w:tc>
        <w:tc>
          <w:tcPr>
            <w:tcW w:w="2070" w:type="dxa"/>
          </w:tcPr>
          <w:p w14:paraId="18DB389F" w14:textId="2DE97684" w:rsidR="006A2F47" w:rsidRPr="0021550A" w:rsidRDefault="006A2F47" w:rsidP="005560E9">
            <w:pPr>
              <w:ind w:firstLine="0"/>
              <w:jc w:val="center"/>
              <w:cnfStyle w:val="000000000000" w:firstRow="0" w:lastRow="0" w:firstColumn="0" w:lastColumn="0" w:oddVBand="0" w:evenVBand="0" w:oddHBand="0" w:evenHBand="0" w:firstRowFirstColumn="0" w:firstRowLastColumn="0" w:lastRowFirstColumn="0" w:lastRowLastColumn="0"/>
            </w:pPr>
            <w:r w:rsidRPr="0021550A">
              <w:t>0.5</w:t>
            </w:r>
            <w:r w:rsidR="006476FB" w:rsidRPr="0021550A">
              <w:t>7</w:t>
            </w:r>
          </w:p>
        </w:tc>
        <w:tc>
          <w:tcPr>
            <w:tcW w:w="2188" w:type="dxa"/>
          </w:tcPr>
          <w:p w14:paraId="2D17DCC4" w14:textId="77777777" w:rsidR="006A2F47" w:rsidRPr="0021550A" w:rsidRDefault="006A2F47" w:rsidP="005560E9">
            <w:pPr>
              <w:ind w:firstLine="0"/>
              <w:jc w:val="center"/>
              <w:cnfStyle w:val="000000000000" w:firstRow="0" w:lastRow="0" w:firstColumn="0" w:lastColumn="0" w:oddVBand="0" w:evenVBand="0" w:oddHBand="0" w:evenHBand="0" w:firstRowFirstColumn="0" w:firstRowLastColumn="0" w:lastRowFirstColumn="0" w:lastRowLastColumn="0"/>
            </w:pPr>
            <w:r w:rsidRPr="0021550A">
              <w:t>0</w:t>
            </w:r>
          </w:p>
        </w:tc>
      </w:tr>
      <w:tr w:rsidR="00D0045A" w:rsidRPr="0021550A" w14:paraId="318DA02F" w14:textId="77777777" w:rsidTr="00D0045A">
        <w:trPr>
          <w:trHeight w:val="296"/>
        </w:trPr>
        <w:tc>
          <w:tcPr>
            <w:cnfStyle w:val="001000000000" w:firstRow="0" w:lastRow="0" w:firstColumn="1" w:lastColumn="0" w:oddVBand="0" w:evenVBand="0" w:oddHBand="0" w:evenHBand="0" w:firstRowFirstColumn="0" w:firstRowLastColumn="0" w:lastRowFirstColumn="0" w:lastRowLastColumn="0"/>
            <w:tcW w:w="1795" w:type="dxa"/>
            <w:noWrap/>
            <w:hideMark/>
          </w:tcPr>
          <w:p w14:paraId="65D23660" w14:textId="60C62E42" w:rsidR="006A2F47" w:rsidRPr="005560E9" w:rsidRDefault="006A2F47" w:rsidP="005560E9">
            <w:pPr>
              <w:ind w:firstLine="0"/>
              <w:jc w:val="center"/>
              <w:rPr>
                <w:b w:val="0"/>
                <w:i/>
              </w:rPr>
            </w:pPr>
            <w:r w:rsidRPr="005560E9">
              <w:rPr>
                <w:b w:val="0"/>
                <w:i/>
              </w:rPr>
              <w:t>myll</w:t>
            </w:r>
            <w:r w:rsidR="006476FB" w:rsidRPr="005560E9">
              <w:rPr>
                <w:b w:val="0"/>
                <w:i/>
              </w:rPr>
              <w:t>er</w:t>
            </w:r>
          </w:p>
        </w:tc>
        <w:tc>
          <w:tcPr>
            <w:tcW w:w="1890" w:type="dxa"/>
            <w:noWrap/>
          </w:tcPr>
          <w:p w14:paraId="4C7CE91A" w14:textId="3FD63211" w:rsidR="006A2F47" w:rsidRPr="0021550A" w:rsidRDefault="006A2F47" w:rsidP="005560E9">
            <w:pPr>
              <w:ind w:firstLine="0"/>
              <w:jc w:val="center"/>
              <w:cnfStyle w:val="000000000000" w:firstRow="0" w:lastRow="0" w:firstColumn="0" w:lastColumn="0" w:oddVBand="0" w:evenVBand="0" w:oddHBand="0" w:evenHBand="0" w:firstRowFirstColumn="0" w:firstRowLastColumn="0" w:lastRowFirstColumn="0" w:lastRowLastColumn="0"/>
            </w:pPr>
            <w:r w:rsidRPr="0021550A">
              <w:t>0</w:t>
            </w:r>
          </w:p>
        </w:tc>
        <w:tc>
          <w:tcPr>
            <w:tcW w:w="2070" w:type="dxa"/>
          </w:tcPr>
          <w:p w14:paraId="6F075752" w14:textId="3C77AD09" w:rsidR="006A2F47" w:rsidRPr="0021550A" w:rsidRDefault="006A2F47" w:rsidP="005560E9">
            <w:pPr>
              <w:ind w:firstLine="0"/>
              <w:jc w:val="center"/>
              <w:cnfStyle w:val="000000000000" w:firstRow="0" w:lastRow="0" w:firstColumn="0" w:lastColumn="0" w:oddVBand="0" w:evenVBand="0" w:oddHBand="0" w:evenHBand="0" w:firstRowFirstColumn="0" w:firstRowLastColumn="0" w:lastRowFirstColumn="0" w:lastRowLastColumn="0"/>
            </w:pPr>
            <w:r w:rsidRPr="0021550A">
              <w:t>0.</w:t>
            </w:r>
            <w:r w:rsidR="006476FB" w:rsidRPr="0021550A">
              <w:t>43</w:t>
            </w:r>
          </w:p>
        </w:tc>
        <w:tc>
          <w:tcPr>
            <w:tcW w:w="2188" w:type="dxa"/>
          </w:tcPr>
          <w:p w14:paraId="07ADCC92" w14:textId="77777777" w:rsidR="006A2F47" w:rsidRPr="0021550A" w:rsidRDefault="006A2F47" w:rsidP="005560E9">
            <w:pPr>
              <w:ind w:firstLine="0"/>
              <w:jc w:val="center"/>
              <w:cnfStyle w:val="000000000000" w:firstRow="0" w:lastRow="0" w:firstColumn="0" w:lastColumn="0" w:oddVBand="0" w:evenVBand="0" w:oddHBand="0" w:evenHBand="0" w:firstRowFirstColumn="0" w:firstRowLastColumn="0" w:lastRowFirstColumn="0" w:lastRowLastColumn="0"/>
            </w:pPr>
            <w:r w:rsidRPr="0021550A">
              <w:t>0</w:t>
            </w:r>
          </w:p>
        </w:tc>
      </w:tr>
    </w:tbl>
    <w:p w14:paraId="36FCE377" w14:textId="0BB9E6FE" w:rsidR="006A2F47" w:rsidRPr="0021550A" w:rsidRDefault="00453776" w:rsidP="000737CB">
      <w:pPr>
        <w:pStyle w:val="Caption"/>
      </w:pPr>
      <w:bookmarkStart w:id="137" w:name="_Toc499753483"/>
      <w:r>
        <w:t xml:space="preserve">Table 5.5: </w:t>
      </w:r>
      <w:r w:rsidR="006A2F47" w:rsidRPr="0021550A">
        <w:t xml:space="preserve">Ratios for </w:t>
      </w:r>
      <w:r w:rsidR="006A2F47" w:rsidRPr="0021550A">
        <w:rPr>
          <w:smallCaps/>
        </w:rPr>
        <w:t>mill</w:t>
      </w:r>
      <w:r w:rsidR="006476FB" w:rsidRPr="0021550A">
        <w:rPr>
          <w:smallCaps/>
        </w:rPr>
        <w:t>er</w:t>
      </w:r>
      <w:r w:rsidR="006A2F47" w:rsidRPr="0021550A">
        <w:t xml:space="preserve"> in </w:t>
      </w:r>
      <w:r w:rsidR="00CC6F2E">
        <w:t>quires</w:t>
      </w:r>
      <w:r w:rsidR="006476FB" w:rsidRPr="0021550A">
        <w:t xml:space="preserve"> of </w:t>
      </w:r>
      <w:r w:rsidR="006A2F47" w:rsidRPr="0021550A">
        <w:t xml:space="preserve">the </w:t>
      </w:r>
      <w:r w:rsidR="006A2F47" w:rsidRPr="0021550A">
        <w:rPr>
          <w:i/>
        </w:rPr>
        <w:t>Canterbury Tales</w:t>
      </w:r>
      <w:bookmarkEnd w:id="137"/>
    </w:p>
    <w:p w14:paraId="1EAF2300" w14:textId="77777777" w:rsidR="006A2F47" w:rsidRPr="0021550A" w:rsidRDefault="006A2F47" w:rsidP="000737CB"/>
    <w:p w14:paraId="79D053D0" w14:textId="7FE727B8" w:rsidR="006A2F47" w:rsidRPr="0021550A" w:rsidRDefault="002D7D73" w:rsidP="000737CB">
      <w:r w:rsidRPr="0021550A">
        <w:t>Based on</w:t>
      </w:r>
      <w:r w:rsidR="006A2F47" w:rsidRPr="0021550A">
        <w:t xml:space="preserve"> the data in </w:t>
      </w:r>
      <w:r w:rsidR="00FD6558">
        <w:t>Table 5.</w:t>
      </w:r>
      <w:r w:rsidR="00FC68DC">
        <w:t>5</w:t>
      </w:r>
      <w:r w:rsidR="006A2F47" w:rsidRPr="0021550A">
        <w:t xml:space="preserve">, the clustering algorithms are likely to cluster together Quire </w:t>
      </w:r>
      <w:r w:rsidR="006476FB" w:rsidRPr="0021550A">
        <w:t>c</w:t>
      </w:r>
      <w:r w:rsidR="006A2F47" w:rsidRPr="0021550A">
        <w:t xml:space="preserve"> and Quire </w:t>
      </w:r>
      <w:r w:rsidR="006476FB" w:rsidRPr="0021550A">
        <w:t>Q</w:t>
      </w:r>
      <w:r w:rsidR="006A2F47" w:rsidRPr="0021550A">
        <w:t xml:space="preserve">, and separate Quire </w:t>
      </w:r>
      <w:r w:rsidR="006476FB" w:rsidRPr="0021550A">
        <w:t>i</w:t>
      </w:r>
      <w:r w:rsidR="006A2F47" w:rsidRPr="0021550A">
        <w:t xml:space="preserve"> into a second cluster. </w:t>
      </w:r>
      <w:r w:rsidRPr="0021550A">
        <w:t>A clusterin</w:t>
      </w:r>
      <w:r w:rsidR="009E0733">
        <w:t>g algorithm could believe Quire</w:t>
      </w:r>
      <w:r w:rsidRPr="0021550A">
        <w:t xml:space="preserve"> </w:t>
      </w:r>
      <w:r w:rsidR="006476FB" w:rsidRPr="0021550A">
        <w:t>c</w:t>
      </w:r>
      <w:r w:rsidRPr="0021550A">
        <w:t xml:space="preserve"> and </w:t>
      </w:r>
      <w:r w:rsidR="009E0733">
        <w:t xml:space="preserve">Quire </w:t>
      </w:r>
      <w:r w:rsidR="006476FB" w:rsidRPr="0021550A">
        <w:t>Q</w:t>
      </w:r>
      <w:r w:rsidRPr="0021550A">
        <w:t xml:space="preserve"> to be more similar to one another because they do not include the variants that appear in Quire </w:t>
      </w:r>
      <w:r w:rsidR="006476FB" w:rsidRPr="0021550A">
        <w:t>i</w:t>
      </w:r>
      <w:r w:rsidRPr="0021550A">
        <w:t xml:space="preserve">. </w:t>
      </w:r>
      <w:r w:rsidR="006476FB" w:rsidRPr="0021550A">
        <w:t xml:space="preserve">The word </w:t>
      </w:r>
      <w:r w:rsidR="006476FB" w:rsidRPr="0021550A">
        <w:rPr>
          <w:smallCaps/>
        </w:rPr>
        <w:t xml:space="preserve">miller </w:t>
      </w:r>
      <w:r w:rsidR="006476FB" w:rsidRPr="0021550A">
        <w:t xml:space="preserve">is only used in four quires in Caxton’s first edition of the </w:t>
      </w:r>
      <w:r w:rsidR="006476FB" w:rsidRPr="0021550A">
        <w:rPr>
          <w:i/>
        </w:rPr>
        <w:t>Canterbury Tales</w:t>
      </w:r>
      <w:r w:rsidR="006476FB" w:rsidRPr="0021550A">
        <w:t xml:space="preserve">: Quire b, Quire g, Quire i, and Quire k which cover the prologue, the start of the Miller’s Tale, and the Reeve’s Tale. </w:t>
      </w:r>
      <w:r w:rsidRPr="0021550A">
        <w:t>In this way, instead of modelling a difference in spelling variation, it is possible to model the topic of the text.</w:t>
      </w:r>
      <w:r w:rsidR="00E4405D" w:rsidRPr="0021550A">
        <w:t xml:space="preserve"> However, modelling different parts of a text according to topic is not the intention of this study.</w:t>
      </w:r>
    </w:p>
    <w:p w14:paraId="0E44E051" w14:textId="1210C9FB" w:rsidR="002D7D73" w:rsidRPr="0021550A" w:rsidRDefault="00E4405D" w:rsidP="000737CB">
      <w:r w:rsidRPr="0021550A">
        <w:t xml:space="preserve">It is possible to avoid clustering the quires by topic by reducing the spelling variants that are included in the cluster analysis. By restricting the variants to </w:t>
      </w:r>
      <w:r w:rsidR="00124CA5" w:rsidRPr="0021550A">
        <w:t xml:space="preserve">those variants that appear </w:t>
      </w:r>
      <w:r w:rsidRPr="0021550A">
        <w:t xml:space="preserve">in </w:t>
      </w:r>
      <w:r w:rsidR="00124CA5" w:rsidRPr="0021550A">
        <w:t>a high proportion of quires in the text</w:t>
      </w:r>
      <w:r w:rsidRPr="0021550A">
        <w:t>, it is possible to avoid clustering quires based on words that only occur in a small part of the text</w:t>
      </w:r>
      <w:r w:rsidR="00124CA5" w:rsidRPr="0021550A">
        <w:t xml:space="preserve">. </w:t>
      </w:r>
      <w:r w:rsidRPr="0021550A">
        <w:t>However, restricting variants to words that are used in most quires drastically reduces the number of spellings that are included in the study. The words that remain after this reduction tend to be high-frequency words such as function words. Therefore, if we confine the spelling variants to those that are used in every quire, most lower frequency words will not be included in the analysis.</w:t>
      </w:r>
    </w:p>
    <w:p w14:paraId="1FC641B4" w14:textId="465E569F" w:rsidR="00E55789" w:rsidRPr="0021550A" w:rsidRDefault="00B348F5" w:rsidP="000737CB">
      <w:r w:rsidRPr="0021550A">
        <w:t xml:space="preserve">In reducing the spelling variants, we </w:t>
      </w:r>
      <w:r w:rsidR="00DD35BE" w:rsidRPr="0021550A">
        <w:t xml:space="preserve">can avoid potentially modelling the topic of the text, but in doing so we also begin </w:t>
      </w:r>
      <w:r w:rsidR="00E4405D" w:rsidRPr="0021550A">
        <w:t>clustering based on</w:t>
      </w:r>
      <w:r w:rsidR="00DD35BE" w:rsidRPr="0021550A">
        <w:t xml:space="preserve"> the distribution of function </w:t>
      </w:r>
      <w:r w:rsidR="00DD35BE" w:rsidRPr="0021550A">
        <w:lastRenderedPageBreak/>
        <w:t xml:space="preserve">words in the text. While it was not the intention of this study to model the topic of a text, it is also not the intention to model </w:t>
      </w:r>
      <w:r w:rsidR="005C5242" w:rsidRPr="0021550A">
        <w:t xml:space="preserve">the spelling of </w:t>
      </w:r>
      <w:r w:rsidR="00DD35BE" w:rsidRPr="0021550A">
        <w:t>function words</w:t>
      </w:r>
      <w:r w:rsidR="005C5242" w:rsidRPr="0021550A">
        <w:t xml:space="preserve"> only</w:t>
      </w:r>
      <w:r w:rsidR="00DD35BE" w:rsidRPr="0021550A">
        <w:t xml:space="preserve">; the aims at the </w:t>
      </w:r>
      <w:r w:rsidR="00305C81" w:rsidRPr="0021550A">
        <w:t>outset</w:t>
      </w:r>
      <w:r w:rsidR="00DD35BE" w:rsidRPr="0021550A">
        <w:t xml:space="preserve"> </w:t>
      </w:r>
      <w:r w:rsidR="002E21AC">
        <w:t>are</w:t>
      </w:r>
      <w:r w:rsidR="00DD35BE" w:rsidRPr="0021550A">
        <w:t xml:space="preserve"> to cluster sections of text based on all the variable spellings that occur. </w:t>
      </w:r>
      <w:r w:rsidR="00223BB9" w:rsidRPr="0021550A">
        <w:t>We can achieve this aim by running the clustering process twice: the first clustering include</w:t>
      </w:r>
      <w:r w:rsidR="002E21AC">
        <w:t>s</w:t>
      </w:r>
      <w:r w:rsidR="00223BB9" w:rsidRPr="0021550A">
        <w:t xml:space="preserve"> all spelling variants that are used within the subset of data, and the second clustering will only use spelling variants that occurred in all the quires. </w:t>
      </w:r>
      <w:r w:rsidR="00985151">
        <w:t>By</w:t>
      </w:r>
      <w:r w:rsidR="00223BB9" w:rsidRPr="0021550A">
        <w:t xml:space="preserve"> running the processes twice, the first clustering maintains the fully data-driven approach, while the second process acts as a check to ensure that the grouping has not been influenced by the topic of the text. We can see the importance of checking</w:t>
      </w:r>
      <w:r w:rsidR="00985151">
        <w:t xml:space="preserve"> that the clustering is undertaken on spellings and not words,</w:t>
      </w:r>
      <w:r w:rsidR="00223BB9" w:rsidRPr="0021550A">
        <w:t xml:space="preserve"> particularly in the </w:t>
      </w:r>
      <w:r w:rsidR="00223BB9" w:rsidRPr="0021550A">
        <w:rPr>
          <w:i/>
        </w:rPr>
        <w:t>Canterbury Tales</w:t>
      </w:r>
      <w:r w:rsidR="00223BB9" w:rsidRPr="0021550A">
        <w:t xml:space="preserve">, but this check </w:t>
      </w:r>
      <w:r w:rsidR="00985151">
        <w:t>is</w:t>
      </w:r>
      <w:r w:rsidR="00223BB9" w:rsidRPr="0021550A">
        <w:t xml:space="preserve"> used for all texts. </w:t>
      </w:r>
      <w:r w:rsidR="00496FEC" w:rsidRPr="0021550A">
        <w:t>Now that the methods used in this chapter have been described, and the limitations and issues that arise by using them acknowledged, t</w:t>
      </w:r>
      <w:r w:rsidR="00223BB9" w:rsidRPr="0021550A">
        <w:t xml:space="preserve">he next section </w:t>
      </w:r>
      <w:r w:rsidR="00985151">
        <w:t xml:space="preserve">trials the clustering algorithms on </w:t>
      </w:r>
      <w:r w:rsidR="00985151">
        <w:rPr>
          <w:i/>
        </w:rPr>
        <w:t>Troilus and Criseyde</w:t>
      </w:r>
      <w:r w:rsidR="00E30B39">
        <w:t>.</w:t>
      </w:r>
    </w:p>
    <w:p w14:paraId="2A50D452" w14:textId="77777777" w:rsidR="003A0512" w:rsidRDefault="003A0512" w:rsidP="003A0512"/>
    <w:p w14:paraId="79EE1199" w14:textId="7DBD9B67" w:rsidR="003A0512" w:rsidRPr="0021550A" w:rsidRDefault="003A0512" w:rsidP="003A0512">
      <w:pPr>
        <w:pStyle w:val="Heading2"/>
      </w:pPr>
      <w:bookmarkStart w:id="138" w:name="_Ref497478756"/>
      <w:bookmarkStart w:id="139" w:name="_Ref497480647"/>
      <w:bookmarkStart w:id="140" w:name="_Toc497899860"/>
      <w:bookmarkStart w:id="141" w:name="_Ref498592824"/>
      <w:r w:rsidRPr="0021550A">
        <w:t xml:space="preserve">Case study: </w:t>
      </w:r>
      <w:r w:rsidRPr="005560E9">
        <w:rPr>
          <w:i/>
        </w:rPr>
        <w:t>Troilus and Criseyde</w:t>
      </w:r>
      <w:bookmarkEnd w:id="138"/>
      <w:bookmarkEnd w:id="139"/>
      <w:bookmarkEnd w:id="140"/>
      <w:bookmarkEnd w:id="141"/>
    </w:p>
    <w:p w14:paraId="3D26032F" w14:textId="461A7D70" w:rsidR="003A0512" w:rsidRPr="0021550A" w:rsidRDefault="003A0512" w:rsidP="003A0512">
      <w:r w:rsidRPr="0021550A">
        <w:t xml:space="preserve">This section tests whether the proximity- or density-based clustering algorithms work most effectively on the spelling variant data using Caxton’s edition of </w:t>
      </w:r>
      <w:r w:rsidRPr="0021550A">
        <w:rPr>
          <w:i/>
        </w:rPr>
        <w:t>Troilus and Criseyde</w:t>
      </w:r>
      <w:r w:rsidRPr="0021550A">
        <w:t xml:space="preserve">. </w:t>
      </w:r>
      <w:r w:rsidRPr="0021550A">
        <w:rPr>
          <w:i/>
        </w:rPr>
        <w:t>Troilus and Criseyde</w:t>
      </w:r>
      <w:r w:rsidRPr="0021550A">
        <w:t xml:space="preserve"> is an ideal text for testing cluster analysis, because we have information about the sources of spelling input that went into the edition. This text was typeset by two compositors, according to the data from Hellinga </w:t>
      </w:r>
      <w:r w:rsidR="00985151">
        <w:t>and</w:t>
      </w:r>
      <w:r w:rsidRPr="0021550A">
        <w:t xml:space="preserve"> Painter </w:t>
      </w:r>
      <w:r w:rsidR="00BC2828">
        <w:t>(2007)</w:t>
      </w:r>
      <w:r w:rsidRPr="0021550A">
        <w:t xml:space="preserve">. We also know where the changeover in compositors took place; the </w:t>
      </w:r>
      <w:r w:rsidRPr="0021550A">
        <w:rPr>
          <w:i/>
        </w:rPr>
        <w:t>BMC</w:t>
      </w:r>
      <w:r w:rsidRPr="0021550A">
        <w:t xml:space="preserve"> states that “Copy was divided among compositors between Books III and IV, at the end of quire h” </w:t>
      </w:r>
      <w:r w:rsidRPr="0071228E">
        <w:t>(</w:t>
      </w:r>
      <w:r>
        <w:t>2007: 137).</w:t>
      </w:r>
      <w:r w:rsidRPr="0021550A">
        <w:t xml:space="preserve"> The distinction drawn by Hellinga </w:t>
      </w:r>
      <w:r w:rsidR="00985151">
        <w:t>and</w:t>
      </w:r>
      <w:r w:rsidRPr="0021550A">
        <w:t xml:space="preserve"> Painter between sections</w:t>
      </w:r>
      <w:r w:rsidR="00985151">
        <w:t xml:space="preserve"> that were</w:t>
      </w:r>
      <w:r w:rsidRPr="0021550A">
        <w:t xml:space="preserve"> </w:t>
      </w:r>
      <w:r w:rsidR="00985151">
        <w:t>type</w:t>
      </w:r>
      <w:r w:rsidRPr="0021550A">
        <w:t xml:space="preserve">set by the different compositors is based on a change in the use of the letter </w:t>
      </w:r>
      <w:r w:rsidRPr="0021550A">
        <w:rPr>
          <w:i/>
        </w:rPr>
        <w:t>I</w:t>
      </w:r>
      <w:r w:rsidRPr="0021550A">
        <w:t xml:space="preserve"> and a change in the paper stocks that both occur at the start of Quire i. Furthermore the link between the two sections was not entirely seamless, because the text in Quire H ends with the closing words of Book III (known as the explicit) but the explicit is repeated after the blank page at the end of Quire h.</w:t>
      </w:r>
    </w:p>
    <w:p w14:paraId="7654EB6D" w14:textId="7EA974A8" w:rsidR="003A0512" w:rsidRPr="0021550A" w:rsidRDefault="003A0512" w:rsidP="003A0512">
      <w:r w:rsidRPr="0021550A">
        <w:t xml:space="preserve">Caxton’s </w:t>
      </w:r>
      <w:r w:rsidRPr="0021550A">
        <w:rPr>
          <w:i/>
        </w:rPr>
        <w:t>Troilus</w:t>
      </w:r>
      <w:r w:rsidR="00985151">
        <w:rPr>
          <w:i/>
        </w:rPr>
        <w:t xml:space="preserve"> and Criseyde</w:t>
      </w:r>
      <w:r w:rsidRPr="0021550A">
        <w:t xml:space="preserve"> is a good trial for the clustering algorithms because of the length and size of the text itself. The text for Caxton’s edition of </w:t>
      </w:r>
      <w:r w:rsidRPr="0021550A">
        <w:rPr>
          <w:i/>
        </w:rPr>
        <w:t>Troilus and Criseyde</w:t>
      </w:r>
      <w:r w:rsidRPr="0021550A">
        <w:t xml:space="preserve"> runs to a total of 120 leaves. </w:t>
      </w:r>
      <w:r w:rsidRPr="0021550A">
        <w:rPr>
          <w:i/>
        </w:rPr>
        <w:t>Troilus and Criseyde</w:t>
      </w:r>
      <w:r w:rsidRPr="0021550A">
        <w:t xml:space="preserve"> is the shortest of the texts that were typeset by two compositors in the present dataset. The size of the quires themselves are eight leaves to a quire, and this is fairly uniform – only Quire h and </w:t>
      </w:r>
      <w:r w:rsidR="00316F34">
        <w:t xml:space="preserve">Quire </w:t>
      </w:r>
      <w:r w:rsidRPr="0021550A">
        <w:t xml:space="preserve">p do not contain eight leaves to the quire. Quire h contains </w:t>
      </w:r>
      <w:r w:rsidR="00316F34">
        <w:t>ten</w:t>
      </w:r>
      <w:r w:rsidRPr="0021550A">
        <w:t xml:space="preserve"> leaves and Quire p contains </w:t>
      </w:r>
      <w:r w:rsidR="00316F34">
        <w:t>six</w:t>
      </w:r>
      <w:r w:rsidRPr="0021550A">
        <w:t xml:space="preserve"> leaves. Most other texts in the Caxton dataset also contain eight leaves to the quire, which makes this text a good prototype for the cluster analysis. The typeface used in </w:t>
      </w:r>
      <w:r w:rsidRPr="0021550A">
        <w:rPr>
          <w:i/>
        </w:rPr>
        <w:t xml:space="preserve">Troilus and </w:t>
      </w:r>
      <w:r w:rsidRPr="0021550A">
        <w:rPr>
          <w:i/>
        </w:rPr>
        <w:lastRenderedPageBreak/>
        <w:t>Criseyde</w:t>
      </w:r>
      <w:r w:rsidRPr="0021550A">
        <w:t xml:space="preserve"> also makes it a good text for trialling the cluster analysis. The typeface used in the text was Caxton’s Type 4, which was used in printing many of the other texts used in this analysis, such as the </w:t>
      </w:r>
      <w:r w:rsidRPr="0021550A">
        <w:rPr>
          <w:i/>
        </w:rPr>
        <w:t>Canterbury Tales</w:t>
      </w:r>
      <w:r w:rsidRPr="0021550A">
        <w:t xml:space="preserve">. Because both the size of the quires and the size of the typeface is similar in Caxton’s </w:t>
      </w:r>
      <w:r w:rsidRPr="0021550A">
        <w:rPr>
          <w:i/>
        </w:rPr>
        <w:t>Troilus</w:t>
      </w:r>
      <w:r w:rsidRPr="0021550A">
        <w:t xml:space="preserve"> to many of the other texts in the dataset, we can get a good idea as to whether the clustering is likely to work on other texts. </w:t>
      </w:r>
    </w:p>
    <w:p w14:paraId="32D8AE22" w14:textId="0C4736E6" w:rsidR="003A0512" w:rsidRPr="0021550A" w:rsidRDefault="003A0512" w:rsidP="003A0512">
      <w:r w:rsidRPr="0021550A">
        <w:t xml:space="preserve">The number of quires also helps to demonstrate whether clustering is likely to work on other texts. The number of quires for </w:t>
      </w:r>
      <w:r w:rsidRPr="0021550A">
        <w:rPr>
          <w:i/>
        </w:rPr>
        <w:t>Troilus and Criseyde</w:t>
      </w:r>
      <w:r w:rsidRPr="0021550A">
        <w:t xml:space="preserve"> is relatively low because the book is quite short. At only fifteen quires long, there are few quires relative to other texts printed by Caxton, </w:t>
      </w:r>
      <w:r w:rsidR="00BF5D78">
        <w:t xml:space="preserve">and </w:t>
      </w:r>
      <w:r w:rsidRPr="0021550A">
        <w:t xml:space="preserve">the amount of space taken up by the objects in the physical space is particularly low. If </w:t>
      </w:r>
      <w:r w:rsidR="00C30E2D">
        <w:t>density-based clustering works on a text of fifteen quires long</w:t>
      </w:r>
      <w:r w:rsidRPr="0021550A">
        <w:t xml:space="preserve">, then it would have been possible to cluster the other texts, too. </w:t>
      </w:r>
    </w:p>
    <w:p w14:paraId="3D9D19CE" w14:textId="56A486B6" w:rsidR="003A0512" w:rsidRPr="0021550A" w:rsidRDefault="003A0512" w:rsidP="003A0512">
      <w:r w:rsidRPr="0021550A">
        <w:t xml:space="preserve">The key reason that makes Caxton’s </w:t>
      </w:r>
      <w:r w:rsidRPr="0021550A">
        <w:rPr>
          <w:i/>
        </w:rPr>
        <w:t>Troilus</w:t>
      </w:r>
      <w:r w:rsidRPr="0021550A">
        <w:t xml:space="preserve"> ideal for testing the algorithms is that the outcome is already known. We know that </w:t>
      </w:r>
      <w:r w:rsidRPr="0021550A">
        <w:rPr>
          <w:i/>
        </w:rPr>
        <w:t>Troilus and Criseyde</w:t>
      </w:r>
      <w:r w:rsidRPr="0021550A">
        <w:t xml:space="preserve"> was typeset by two compositors, according to data from Hellinga </w:t>
      </w:r>
      <w:r w:rsidR="00C30E2D">
        <w:t>and</w:t>
      </w:r>
      <w:r w:rsidRPr="0021550A">
        <w:t xml:space="preserve"> Painter in the </w:t>
      </w:r>
      <w:r w:rsidRPr="0021550A">
        <w:rPr>
          <w:i/>
        </w:rPr>
        <w:t>BMC</w:t>
      </w:r>
      <w:r w:rsidRPr="0021550A">
        <w:t xml:space="preserve">, we know that the change in compositors is due to take place at the start of Quire i, and we do not know of any variation in the copy text that was used to create the text. This changeover forms a very testable hypothesis using clustering. Both the proximity-based and density-based clustering methods should be able to partition the quires into two clusters. The test in this chapter is to see whether, for so many dimensions, that this distribution is possible. </w:t>
      </w:r>
    </w:p>
    <w:p w14:paraId="4EF3CA4D" w14:textId="77777777" w:rsidR="003A0512" w:rsidRPr="0021550A" w:rsidRDefault="003A0512" w:rsidP="003A0512"/>
    <w:p w14:paraId="79A4DD56" w14:textId="63B491B4" w:rsidR="003A0512" w:rsidRPr="0021550A" w:rsidRDefault="003A0512" w:rsidP="003A0512">
      <w:pPr>
        <w:pStyle w:val="Heading3"/>
      </w:pPr>
      <w:bookmarkStart w:id="142" w:name="_Ref497391771"/>
      <w:r w:rsidRPr="0021550A">
        <w:t>Proximity-based clustering</w:t>
      </w:r>
      <w:bookmarkEnd w:id="142"/>
    </w:p>
    <w:p w14:paraId="44CC25A0" w14:textId="77777777" w:rsidR="003A0512" w:rsidRPr="0021550A" w:rsidRDefault="003A0512" w:rsidP="003A0512">
      <w:r w:rsidRPr="0021550A">
        <w:t xml:space="preserve">The type of proximity-based clustering that I have used for this study is </w:t>
      </w:r>
      <w:r w:rsidRPr="0021550A">
        <w:rPr>
          <w:i/>
        </w:rPr>
        <w:t>k-</w:t>
      </w:r>
      <w:r w:rsidRPr="0021550A">
        <w:t xml:space="preserve">means clustering, using Lloyd’s algorithm specifically. </w:t>
      </w:r>
      <w:r w:rsidRPr="0021550A">
        <w:rPr>
          <w:i/>
        </w:rPr>
        <w:t>K</w:t>
      </w:r>
      <w:r w:rsidRPr="0021550A">
        <w:t xml:space="preserve">-means clustering is one of the most widely used methods of clustering that is aimed at partitioning a dataset </w:t>
      </w:r>
      <w:r w:rsidRPr="00E30E35">
        <w:t>(Moisl 2015).</w:t>
      </w:r>
      <w:r w:rsidRPr="0021550A">
        <w:t xml:space="preserve"> </w:t>
      </w:r>
      <w:r w:rsidRPr="0021550A">
        <w:rPr>
          <w:i/>
        </w:rPr>
        <w:t>K</w:t>
      </w:r>
      <w:r w:rsidRPr="0021550A">
        <w:t xml:space="preserve">-means works by selecting the centres for each cluster, and </w:t>
      </w:r>
      <w:r w:rsidRPr="0021550A">
        <w:rPr>
          <w:i/>
        </w:rPr>
        <w:t>k</w:t>
      </w:r>
      <w:r w:rsidRPr="0021550A">
        <w:t xml:space="preserve">-means calculates the distance of each object from the centre of all clusters. </w:t>
      </w:r>
      <w:r w:rsidRPr="0021550A">
        <w:rPr>
          <w:i/>
        </w:rPr>
        <w:t>K</w:t>
      </w:r>
      <w:r w:rsidRPr="0021550A">
        <w:t xml:space="preserve">-means then assigns each object to the cluster with the nearest centre. By clustering in this way, </w:t>
      </w:r>
      <w:r w:rsidRPr="0021550A">
        <w:rPr>
          <w:i/>
        </w:rPr>
        <w:t>k</w:t>
      </w:r>
      <w:r w:rsidRPr="0021550A">
        <w:t xml:space="preserve">-means works intuitively by grouping objects together that are near each other in space, and this works particularly well in dimensions that it is possible to visualise. </w:t>
      </w:r>
      <w:r w:rsidRPr="0021550A">
        <w:rPr>
          <w:i/>
        </w:rPr>
        <w:t>K</w:t>
      </w:r>
      <w:r w:rsidRPr="0021550A">
        <w:t xml:space="preserve">-means clustering is known for its weakness that the analyst must define </w:t>
      </w:r>
      <w:r w:rsidRPr="0021550A">
        <w:rPr>
          <w:i/>
        </w:rPr>
        <w:t>k</w:t>
      </w:r>
      <w:r w:rsidRPr="0021550A">
        <w:t xml:space="preserve">, the number of clusters, for each time the algorithm is run. However, this weakness is a strength in the present study; we know that in </w:t>
      </w:r>
      <w:r w:rsidRPr="0021550A">
        <w:rPr>
          <w:i/>
        </w:rPr>
        <w:t>Troilus and Criseyde</w:t>
      </w:r>
      <w:r w:rsidRPr="0021550A">
        <w:t xml:space="preserve"> the number of compositors will be two so we set </w:t>
      </w:r>
      <w:r w:rsidRPr="0021550A">
        <w:rPr>
          <w:i/>
        </w:rPr>
        <w:t>k</w:t>
      </w:r>
      <w:r w:rsidRPr="0021550A">
        <w:t xml:space="preserve"> = 2. In other texts, we can steadily increase the value of </w:t>
      </w:r>
      <w:r w:rsidRPr="0021550A">
        <w:rPr>
          <w:i/>
        </w:rPr>
        <w:t>k</w:t>
      </w:r>
      <w:r w:rsidRPr="0021550A">
        <w:t xml:space="preserve"> to see what distinctions can be made at different levels. In this case, the weakness of </w:t>
      </w:r>
      <w:r w:rsidRPr="0021550A">
        <w:rPr>
          <w:i/>
        </w:rPr>
        <w:t>k</w:t>
      </w:r>
      <w:r w:rsidRPr="0021550A">
        <w:t>-means clustering is a strength for the present study.</w:t>
      </w:r>
    </w:p>
    <w:p w14:paraId="66CC4EDA" w14:textId="2E33E985" w:rsidR="003A0512" w:rsidRDefault="003A0512" w:rsidP="003A0512">
      <w:r w:rsidRPr="0021550A">
        <w:lastRenderedPageBreak/>
        <w:t xml:space="preserve">When we run the </w:t>
      </w:r>
      <w:r w:rsidRPr="0021550A">
        <w:rPr>
          <w:i/>
        </w:rPr>
        <w:t>k</w:t>
      </w:r>
      <w:r w:rsidRPr="0021550A">
        <w:t xml:space="preserve">-means algorithm on </w:t>
      </w:r>
      <w:r w:rsidRPr="0021550A">
        <w:rPr>
          <w:i/>
        </w:rPr>
        <w:t>Troilus and Criseyde</w:t>
      </w:r>
      <w:r w:rsidRPr="0021550A">
        <w:t xml:space="preserve">, we find that the clustering works effectively despite the high number of dimensions in the data. The algorithm divides the text as shown below in </w:t>
      </w:r>
      <w:r w:rsidR="00FC68DC">
        <w:t>Figure 5.6.</w:t>
      </w:r>
      <w:r w:rsidRPr="0021550A">
        <w:t xml:space="preserve"> </w:t>
      </w:r>
    </w:p>
    <w:p w14:paraId="456C1ECB" w14:textId="77777777" w:rsidR="003A0512" w:rsidRDefault="003A0512" w:rsidP="003A0512"/>
    <w:p w14:paraId="7EB8A75F" w14:textId="34B5BC55" w:rsidR="003A0512" w:rsidRPr="0021550A" w:rsidRDefault="003A0512" w:rsidP="003A0512">
      <w:pPr>
        <w:ind w:firstLine="0"/>
      </w:pPr>
      <w:r w:rsidRPr="0021550A">
        <w:rPr>
          <w:noProof/>
          <w:lang w:eastAsia="en-GB"/>
        </w:rPr>
        <w:drawing>
          <wp:inline distT="0" distB="0" distL="0" distR="0" wp14:anchorId="302DDE37" wp14:editId="5FFE8E40">
            <wp:extent cx="4356735" cy="697347"/>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Troilus k = 2 colour.pdf"/>
                    <pic:cNvPicPr/>
                  </pic:nvPicPr>
                  <pic:blipFill rotWithShape="1">
                    <a:blip r:embed="rId52">
                      <a:extLst>
                        <a:ext uri="{28A0092B-C50C-407E-A947-70E740481C1C}">
                          <a14:useLocalDpi xmlns:a14="http://schemas.microsoft.com/office/drawing/2010/main"/>
                        </a:ext>
                      </a:extLst>
                    </a:blip>
                    <a:srcRect l="16214" t="22708" r="40072" b="64853"/>
                    <a:stretch/>
                  </pic:blipFill>
                  <pic:spPr bwMode="auto">
                    <a:xfrm>
                      <a:off x="0" y="0"/>
                      <a:ext cx="4678258" cy="748811"/>
                    </a:xfrm>
                    <a:prstGeom prst="rect">
                      <a:avLst/>
                    </a:prstGeom>
                    <a:ln>
                      <a:noFill/>
                    </a:ln>
                    <a:extLst>
                      <a:ext uri="{53640926-AAD7-44D8-BBD7-CCE9431645EC}">
                        <a14:shadowObscured xmlns:a14="http://schemas.microsoft.com/office/drawing/2010/main"/>
                      </a:ext>
                    </a:extLst>
                  </pic:spPr>
                </pic:pic>
              </a:graphicData>
            </a:graphic>
          </wp:inline>
        </w:drawing>
      </w:r>
    </w:p>
    <w:p w14:paraId="0CF9E731" w14:textId="221C3715" w:rsidR="003A0512" w:rsidRPr="0021550A" w:rsidRDefault="00453776" w:rsidP="003A0512">
      <w:pPr>
        <w:pStyle w:val="Caption"/>
      </w:pPr>
      <w:bookmarkStart w:id="143" w:name="_Toc499753534"/>
      <w:r>
        <w:t xml:space="preserve">Figure 5.6: </w:t>
      </w:r>
      <w:r w:rsidR="00D36157">
        <w:t xml:space="preserve">Clustering </w:t>
      </w:r>
      <w:r w:rsidR="003A0512" w:rsidRPr="0021550A">
        <w:rPr>
          <w:i/>
        </w:rPr>
        <w:t>Troilus and Criseyde</w:t>
      </w:r>
      <w:r w:rsidR="003A0512" w:rsidRPr="0021550A">
        <w:t xml:space="preserve">, </w:t>
      </w:r>
      <w:r w:rsidR="003A0512" w:rsidRPr="0021550A">
        <w:rPr>
          <w:i/>
        </w:rPr>
        <w:t>k</w:t>
      </w:r>
      <w:r w:rsidR="003A0512" w:rsidRPr="0021550A">
        <w:t xml:space="preserve"> = 2</w:t>
      </w:r>
      <w:bookmarkEnd w:id="143"/>
    </w:p>
    <w:p w14:paraId="6A270A0E" w14:textId="77777777" w:rsidR="003A0512" w:rsidRPr="0021550A" w:rsidRDefault="003A0512" w:rsidP="003A0512"/>
    <w:p w14:paraId="76B9B152" w14:textId="76909A1B" w:rsidR="003A0512" w:rsidRPr="0021550A" w:rsidRDefault="00FC68DC" w:rsidP="003A0512">
      <w:r>
        <w:t xml:space="preserve">Figure 5.6 </w:t>
      </w:r>
      <w:r w:rsidR="003A0512" w:rsidRPr="0021550A">
        <w:t xml:space="preserve">shows the division of the text into two clusters, where the two clusters are marked out by colour—Cluster 1 is marked out in yellow and Cluster 2 is marked out in blue. The clusters identified by the </w:t>
      </w:r>
      <w:r w:rsidR="003A0512" w:rsidRPr="0021550A">
        <w:rPr>
          <w:i/>
        </w:rPr>
        <w:t>k</w:t>
      </w:r>
      <w:r w:rsidR="003A0512" w:rsidRPr="0021550A">
        <w:t xml:space="preserve">-means algorithm map precisely onto the distribution of quires as identified by Hellinga </w:t>
      </w:r>
      <w:r w:rsidR="00CD2B7E">
        <w:t>and</w:t>
      </w:r>
      <w:r w:rsidR="003A0512" w:rsidRPr="0021550A">
        <w:t xml:space="preserve"> Painter in the </w:t>
      </w:r>
      <w:r w:rsidR="003A0512" w:rsidRPr="0021550A">
        <w:rPr>
          <w:i/>
        </w:rPr>
        <w:t>BNC</w:t>
      </w:r>
      <w:r w:rsidR="003A0512" w:rsidRPr="0021550A">
        <w:t xml:space="preserve">. Hellinga </w:t>
      </w:r>
      <w:r w:rsidR="00CD2B7E">
        <w:t>and</w:t>
      </w:r>
      <w:r w:rsidR="003A0512" w:rsidRPr="0021550A">
        <w:t xml:space="preserve"> Painter’s distribution was made based on bibliographic features, and their claims can be corroborated here using data from spelling. </w:t>
      </w:r>
    </w:p>
    <w:p w14:paraId="4CD488C1" w14:textId="2A8097BE" w:rsidR="003A0512" w:rsidRPr="0021550A" w:rsidRDefault="003A0512" w:rsidP="003A0512">
      <w:r w:rsidRPr="0021550A">
        <w:t xml:space="preserve">These results are not a product of chance; the probability of achieving these results </w:t>
      </w:r>
      <w:r w:rsidR="00BB0741">
        <w:t xml:space="preserve">that match the distribution of the compositors </w:t>
      </w:r>
      <w:r w:rsidRPr="0021550A">
        <w:t>through chance, where each quire has a probability of 0.5 of being assigned to either cluster is P &lt; 0.000001, or one in a million. The cluster analysis has not analysed the text as a whole and sought a point at which spelling variants change—that is merely the result. Instead, the cluster analysis considers each quire as an individual object, and groups it with other quires that use similar spellings. In this way, cluster analysis is a bottom-up method, and the results are data-driven.</w:t>
      </w:r>
    </w:p>
    <w:p w14:paraId="108F3898" w14:textId="247503B5" w:rsidR="003A0512" w:rsidRPr="0021550A" w:rsidRDefault="003A0512" w:rsidP="003A0512">
      <w:r w:rsidRPr="0021550A">
        <w:t xml:space="preserve">We can check the results in </w:t>
      </w:r>
      <w:r w:rsidR="00FC68DC">
        <w:t>Figure 5.6</w:t>
      </w:r>
      <w:r w:rsidRPr="0021550A">
        <w:t xml:space="preserve"> by performing the cluster analysis for a second time when the data has been reduced to spellings that are used in most of the quires to ensure that the cluster analysis has not grouped quires by topic. For </w:t>
      </w:r>
      <w:r w:rsidRPr="0021550A">
        <w:rPr>
          <w:i/>
        </w:rPr>
        <w:t>Troilus and Criseyde</w:t>
      </w:r>
      <w:r w:rsidRPr="0021550A">
        <w:t xml:space="preserve"> the quires cluster in exactly the same way when the number of spellings under consideration are reduced, which suggests that the cluster analysis has picked up on a change in spellings.  </w:t>
      </w:r>
    </w:p>
    <w:p w14:paraId="617AE8F2" w14:textId="77777777" w:rsidR="003A0512" w:rsidRPr="0021550A" w:rsidRDefault="003A0512" w:rsidP="003A0512">
      <w:r w:rsidRPr="0021550A">
        <w:t xml:space="preserve">These results show that </w:t>
      </w:r>
      <w:r w:rsidRPr="0021550A">
        <w:rPr>
          <w:i/>
        </w:rPr>
        <w:t>k</w:t>
      </w:r>
      <w:r w:rsidRPr="0021550A">
        <w:t xml:space="preserve">-means clustering works effectively for grouping quires based on spelling variants. These results also demonstrate that </w:t>
      </w:r>
      <w:r w:rsidRPr="0021550A">
        <w:rPr>
          <w:i/>
        </w:rPr>
        <w:t>k</w:t>
      </w:r>
      <w:r w:rsidRPr="0021550A">
        <w:t xml:space="preserve">-means clustering works effectively at the level of dimensionality present in the text. In the present case, the clusters directly relate to the compositors who are involved in the typesetting of the book. Here, we can see that the differences in spelling between compositors are strong enough that a data-driven approach is able to isolate the point at which the change between spelling systems occurs. Now that we know that </w:t>
      </w:r>
      <w:r w:rsidRPr="0021550A">
        <w:rPr>
          <w:i/>
        </w:rPr>
        <w:t>k</w:t>
      </w:r>
      <w:r w:rsidRPr="0021550A">
        <w:t xml:space="preserve">-means clustering works with the data that we </w:t>
      </w:r>
      <w:r w:rsidRPr="0021550A">
        <w:lastRenderedPageBreak/>
        <w:t xml:space="preserve">have, and can replicate the divide between compositors, the next sections test the text with density-based clustering and hierarchical clustering. </w:t>
      </w:r>
    </w:p>
    <w:p w14:paraId="6CE7C6CC" w14:textId="4F681A01" w:rsidR="00E30B39" w:rsidRPr="0021550A" w:rsidRDefault="00E30B39" w:rsidP="00453776">
      <w:pPr>
        <w:ind w:firstLine="0"/>
      </w:pPr>
    </w:p>
    <w:p w14:paraId="29503E29" w14:textId="56BC557E" w:rsidR="003A0512" w:rsidRPr="0021550A" w:rsidRDefault="003A0512" w:rsidP="003A0512">
      <w:pPr>
        <w:pStyle w:val="Heading3"/>
      </w:pPr>
      <w:bookmarkStart w:id="144" w:name="_Ref497391746"/>
      <w:r w:rsidRPr="0021550A">
        <w:t>Density-based clustering</w:t>
      </w:r>
      <w:bookmarkEnd w:id="144"/>
    </w:p>
    <w:p w14:paraId="3039CC9C" w14:textId="12532DDF" w:rsidR="003A0512" w:rsidRPr="0021550A" w:rsidRDefault="003A0512" w:rsidP="003A0512">
      <w:r w:rsidRPr="0021550A">
        <w:t>The DBSCAN algorithm was unable to cluster the quires at all. Instead, the result showed that there was one large cluster and that all the quires belonged to this one cluster. This result does not mean that the data clusters into one large hypersphere but instead, the result suggests that the density is so low as to be unclusterable by using a density-based algorithm. We can test whether density-based clustering will work by tweaking the sensitivity of the DBSCAN set up. When I increased the sensitivity of the DBSCAN algorithm, every quire became an outlier and there were</w:t>
      </w:r>
      <w:r>
        <w:t xml:space="preserve"> no data points in the cluster.</w:t>
      </w:r>
      <w:r w:rsidRPr="0021550A">
        <w:t xml:space="preserve"> </w:t>
      </w:r>
    </w:p>
    <w:p w14:paraId="346B5B02" w14:textId="77777777" w:rsidR="003A0512" w:rsidRPr="0021550A" w:rsidRDefault="003A0512" w:rsidP="003A0512">
      <w:r w:rsidRPr="0021550A">
        <w:t xml:space="preserve">The results of the DBSCAN test suggest that density-based clustering is not feasible for the dataset as a result of the very low density of data in the available space defined by spelling variants. We can be sure that this is the case and that it is not a fault with the algorithm because I tested the algorithm and its set up on the Iris dataset which is commonly used in R programming to demonstrate new algorithms. We also know that the set up should work because there were results from the clustering on both occasions – the first was that all the data was part of the same cluster, and the second was that none of the data was part of a cluster. These results in comparison with the results from the </w:t>
      </w:r>
      <w:r w:rsidRPr="0021550A">
        <w:rPr>
          <w:i/>
        </w:rPr>
        <w:t>k</w:t>
      </w:r>
      <w:r w:rsidRPr="0021550A">
        <w:t xml:space="preserve">-means clustering suggest that while the distance between the quires has not yet tended so far towards infinity that some distance between them can still be observed, quantified and correctly applied. However, in contrast, the density of the data in the thousands of dimensions is so low as to make it impossible to identify areas of high density relative to the density around the objects. For this reason, this data set is of too high density to make use of density-based clustering. </w:t>
      </w:r>
    </w:p>
    <w:p w14:paraId="158F2981" w14:textId="77777777" w:rsidR="003A0512" w:rsidRPr="0021550A" w:rsidRDefault="003A0512" w:rsidP="003A0512"/>
    <w:p w14:paraId="3038022C" w14:textId="0114E009" w:rsidR="003A0512" w:rsidRPr="0021550A" w:rsidRDefault="003A0512" w:rsidP="003A0512">
      <w:pPr>
        <w:pStyle w:val="Heading3"/>
      </w:pPr>
      <w:bookmarkStart w:id="145" w:name="_Ref497391772"/>
      <w:r w:rsidRPr="0021550A">
        <w:t>Hierarchical clustering</w:t>
      </w:r>
      <w:bookmarkEnd w:id="145"/>
    </w:p>
    <w:p w14:paraId="6FB81052" w14:textId="580979C3" w:rsidR="003A0512" w:rsidRPr="0021550A" w:rsidRDefault="003A0512" w:rsidP="003A0512">
      <w:r w:rsidRPr="0021550A">
        <w:t>Hierarchical clustering is not immediately likely to be the most us</w:t>
      </w:r>
      <w:r w:rsidR="0036643A">
        <w:t>eful type of clustering for the grouping of quires within a text</w:t>
      </w:r>
      <w:r w:rsidRPr="0021550A">
        <w:t xml:space="preserve">. It works in contrast </w:t>
      </w:r>
      <w:r w:rsidR="0036643A">
        <w:t>to</w:t>
      </w:r>
      <w:r w:rsidRPr="0021550A">
        <w:t xml:space="preserve"> partitioning clustering methods (such as </w:t>
      </w:r>
      <w:r w:rsidRPr="0021550A">
        <w:rPr>
          <w:i/>
        </w:rPr>
        <w:t>k</w:t>
      </w:r>
      <w:r w:rsidRPr="0021550A">
        <w:t xml:space="preserve">-means and DBSCAN). Instead of partitioning the objects into distinct clusters, hierarchical clustering works by creating a hierarchy of clusters in one of two ways, starting with all the data in one cluster, or starting with each object in its own cluster. Agglomerative clustering works by beginning with each object as an individual cluster, and groups them together into progressively larger clusters, until the largest cluster contains all the data points; divisive clustering works in the opposite way, by beginning with one large cluster and dividing it into progressively smaller clusters as </w:t>
      </w:r>
      <w:r w:rsidRPr="0021550A">
        <w:lastRenderedPageBreak/>
        <w:t>it works, until each object is its own cluster. For this study, I have trialled the use of agglomerative clustering because it works from the data up to create the groups.</w:t>
      </w:r>
      <w:r>
        <w:t xml:space="preserve"> In particular, I have used the Ward’s error sum of squares hierarchical cluster analysis algorithm </w:t>
      </w:r>
      <w:r w:rsidR="00D0045A">
        <w:t>(Ward 1963,</w:t>
      </w:r>
      <w:r w:rsidRPr="00E30E35">
        <w:t xml:space="preserve"> Murtagh &amp; Legendre 2014).</w:t>
      </w:r>
    </w:p>
    <w:p w14:paraId="03571ECA" w14:textId="77777777" w:rsidR="003A0512" w:rsidRPr="0021550A" w:rsidRDefault="003A0512" w:rsidP="003A0512"/>
    <w:p w14:paraId="4044EEBE" w14:textId="35F0C2B8" w:rsidR="003A0512" w:rsidRPr="0021550A" w:rsidRDefault="003A0512" w:rsidP="003A0512">
      <w:pPr>
        <w:ind w:firstLine="0"/>
      </w:pPr>
      <w:r w:rsidRPr="0021550A">
        <w:rPr>
          <w:noProof/>
          <w:lang w:eastAsia="en-GB"/>
        </w:rPr>
        <w:drawing>
          <wp:inline distT="0" distB="0" distL="0" distR="0" wp14:anchorId="6357736B" wp14:editId="3F984BE0">
            <wp:extent cx="4985385" cy="2859933"/>
            <wp:effectExtent l="0" t="0" r="0" b="1079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Troilus dendrogram.pdf"/>
                    <pic:cNvPicPr/>
                  </pic:nvPicPr>
                  <pic:blipFill rotWithShape="1">
                    <a:blip r:embed="rId53">
                      <a:extLst>
                        <a:ext uri="{28A0092B-C50C-407E-A947-70E740481C1C}">
                          <a14:useLocalDpi xmlns:a14="http://schemas.microsoft.com/office/drawing/2010/main"/>
                        </a:ext>
                      </a:extLst>
                    </a:blip>
                    <a:srcRect t="8852" r="5808" b="14779"/>
                    <a:stretch/>
                  </pic:blipFill>
                  <pic:spPr bwMode="auto">
                    <a:xfrm>
                      <a:off x="0" y="0"/>
                      <a:ext cx="5041383" cy="2892057"/>
                    </a:xfrm>
                    <a:prstGeom prst="rect">
                      <a:avLst/>
                    </a:prstGeom>
                    <a:ln>
                      <a:noFill/>
                    </a:ln>
                    <a:extLst>
                      <a:ext uri="{53640926-AAD7-44D8-BBD7-CCE9431645EC}">
                        <a14:shadowObscured xmlns:a14="http://schemas.microsoft.com/office/drawing/2010/main"/>
                      </a:ext>
                    </a:extLst>
                  </pic:spPr>
                </pic:pic>
              </a:graphicData>
            </a:graphic>
          </wp:inline>
        </w:drawing>
      </w:r>
    </w:p>
    <w:p w14:paraId="2F87D42E" w14:textId="450F4C61" w:rsidR="003A0512" w:rsidRPr="0021550A" w:rsidRDefault="00453776" w:rsidP="003A0512">
      <w:pPr>
        <w:pStyle w:val="Caption"/>
        <w:rPr>
          <w:i/>
        </w:rPr>
      </w:pPr>
      <w:bookmarkStart w:id="146" w:name="_Ref490920732"/>
      <w:bookmarkStart w:id="147" w:name="_Toc499753535"/>
      <w:r>
        <w:t xml:space="preserve">Figure 5.7: </w:t>
      </w:r>
      <w:bookmarkEnd w:id="146"/>
      <w:r w:rsidR="003A0512">
        <w:t>Hierarchical</w:t>
      </w:r>
      <w:r w:rsidR="00D36157">
        <w:t xml:space="preserve"> clustering </w:t>
      </w:r>
      <w:r w:rsidR="003A0512" w:rsidRPr="0021550A">
        <w:t xml:space="preserve">of </w:t>
      </w:r>
      <w:r w:rsidR="003A0512" w:rsidRPr="0021550A">
        <w:rPr>
          <w:i/>
        </w:rPr>
        <w:t>Troilus and Criseyde</w:t>
      </w:r>
      <w:bookmarkEnd w:id="147"/>
    </w:p>
    <w:p w14:paraId="08E3A46F" w14:textId="77777777" w:rsidR="003A0512" w:rsidRPr="0021550A" w:rsidRDefault="003A0512" w:rsidP="003A0512"/>
    <w:p w14:paraId="2027E0E3" w14:textId="771E8D78" w:rsidR="003A0512" w:rsidRPr="0021550A" w:rsidRDefault="003A0512" w:rsidP="003A0512">
      <w:r w:rsidRPr="0021550A">
        <w:t xml:space="preserve">The hierarchical clustering for </w:t>
      </w:r>
      <w:r w:rsidRPr="0021550A">
        <w:rPr>
          <w:i/>
        </w:rPr>
        <w:t>Troilus and Criseyde</w:t>
      </w:r>
      <w:r w:rsidRPr="0021550A">
        <w:t xml:space="preserve"> is shown in </w:t>
      </w:r>
      <w:r w:rsidR="00FC68DC">
        <w:t>Figure 5.7</w:t>
      </w:r>
      <w:r w:rsidRPr="0021550A">
        <w:t xml:space="preserve">. The results from hierarchical cluster analysis can be difficult to interpret, particularly with a large number of objects. However, the dendrogram in </w:t>
      </w:r>
      <w:r w:rsidR="00FC68DC">
        <w:t>Figure 5.7</w:t>
      </w:r>
      <w:r w:rsidRPr="0021550A">
        <w:t xml:space="preserve"> is straightforward. The main clusters are those that have the longest branches attached to them. </w:t>
      </w:r>
    </w:p>
    <w:p w14:paraId="34EB1E89" w14:textId="6A263B16" w:rsidR="003A0512" w:rsidRPr="0021550A" w:rsidRDefault="003A0512" w:rsidP="003A0512">
      <w:r w:rsidRPr="0021550A">
        <w:t xml:space="preserve">The main issue with hierarchical clustering is determining how many clusters really exist in the dataset </w:t>
      </w:r>
      <w:r>
        <w:t>(Divjak &amp; Fieller 2014,</w:t>
      </w:r>
      <w:r w:rsidRPr="00292E57">
        <w:t xml:space="preserve"> Moisl 2015). </w:t>
      </w:r>
      <w:r w:rsidRPr="0021550A">
        <w:t xml:space="preserve">Because the hierarchy runs from each object comprising its own cluster up to each object being part of one cluster, the difficulty is determining at which level the clusters become meaningful. Divjak </w:t>
      </w:r>
      <w:r w:rsidR="00CE4BF9">
        <w:t>and</w:t>
      </w:r>
      <w:r w:rsidRPr="0021550A">
        <w:t xml:space="preserve"> Fieller</w:t>
      </w:r>
      <w:r w:rsidR="00D15812">
        <w:t xml:space="preserve"> </w:t>
      </w:r>
      <w:r w:rsidR="00D15812" w:rsidRPr="00292E57">
        <w:t>(2014:</w:t>
      </w:r>
      <w:r w:rsidR="00D15812">
        <w:t xml:space="preserve"> </w:t>
      </w:r>
      <w:r w:rsidR="00D15812" w:rsidRPr="00292E57">
        <w:t>430)</w:t>
      </w:r>
      <w:r w:rsidR="00D15812" w:rsidRPr="0021550A">
        <w:t xml:space="preserve"> </w:t>
      </w:r>
      <w:r w:rsidRPr="0021550A">
        <w:t>suggest that a good way to determine the most appropriate place for a divide is where the cluster structure is stable and remains so over a distance</w:t>
      </w:r>
      <w:r w:rsidR="00D15812">
        <w:t>.</w:t>
      </w:r>
      <w:r w:rsidRPr="0021550A">
        <w:t xml:space="preserve"> In </w:t>
      </w:r>
      <w:r w:rsidR="00FC68DC">
        <w:t>Figure 5.7</w:t>
      </w:r>
      <w:r w:rsidRPr="0021550A">
        <w:t xml:space="preserve">, there are two long branches which divide the quires into two groups. Because these branches are uninterrupted over a long distance, the optimal solution is likely to be when the data is divided into these two clusters. The rightmost group includes quires from Quire a to Quire h, and the other cluster includes the quires from Quire i to Quire p. The quires in these two clusters concur with the results from </w:t>
      </w:r>
      <w:r w:rsidRPr="0021550A">
        <w:rPr>
          <w:i/>
        </w:rPr>
        <w:t>k</w:t>
      </w:r>
      <w:r w:rsidRPr="0021550A">
        <w:t xml:space="preserve">-means clustering and the changeover point suggested by Hellinga </w:t>
      </w:r>
      <w:r w:rsidR="005071F4">
        <w:t>and</w:t>
      </w:r>
      <w:r w:rsidRPr="0021550A">
        <w:t xml:space="preserve"> Painter: there is a change in the spelling variants used in </w:t>
      </w:r>
      <w:r w:rsidRPr="0021550A">
        <w:rPr>
          <w:i/>
        </w:rPr>
        <w:lastRenderedPageBreak/>
        <w:t>Troilus and Criseyde</w:t>
      </w:r>
      <w:r w:rsidRPr="0021550A">
        <w:t xml:space="preserve"> that takes place at the end of Quire h, and this change occurs at the same place that a change in compositors takes place.</w:t>
      </w:r>
    </w:p>
    <w:p w14:paraId="3BC8397F" w14:textId="57B5BCFE" w:rsidR="00D15812" w:rsidRDefault="003A0512" w:rsidP="003A0512">
      <w:r w:rsidRPr="0021550A">
        <w:t xml:space="preserve">Hierarchical clustering is probably not the best type of cluster analysis for the present study for two reasons: the difficulty in determining the optimal number of clusters from the results, and the linearity of the input. The results in </w:t>
      </w:r>
      <w:r w:rsidR="00FC68DC">
        <w:t>Figure 5.7</w:t>
      </w:r>
      <w:r w:rsidRPr="0021550A">
        <w:t xml:space="preserve"> cluster quite clearly into two groups, but this is not always the case. It is often difficult to determine the optimal number of clusters following hierarchical cluster analysis, because the resulting dendrogram shows each cluster broken down into smaller subclusters until each cluster is comprised of just one object</w:t>
      </w:r>
      <w:r w:rsidR="00D977B8">
        <w:t xml:space="preserve">. </w:t>
      </w:r>
      <w:r w:rsidRPr="0021550A">
        <w:t xml:space="preserve">For many studies, cluster analysis is used to determine the number of clusters in a dataset, but for the present study </w:t>
      </w:r>
      <w:r w:rsidRPr="0021550A">
        <w:rPr>
          <w:i/>
        </w:rPr>
        <w:t>k</w:t>
      </w:r>
      <w:r w:rsidRPr="0021550A">
        <w:t>-means is sufficient to determine the number of clusters because the objects are not entirely independent of each other. This study uses texts divided into quires as input, and the order of the quires in the text has already been determined before the book was printed. The quires are linked to one another, because they were not designed to be individuals, they were designed to fit together by the master printer before typesetting began. However, for other studies the objects are not linked to one an</w:t>
      </w:r>
      <w:r w:rsidR="00D977B8">
        <w:t>other in the same way. Chapter 9</w:t>
      </w:r>
      <w:r w:rsidRPr="0021550A">
        <w:t xml:space="preserve"> makes use of hierarchical cluster analysis of Caxton’s texts. Caxton’s texts are independent of one another in that they were not designed to work together as smaller parts of one large text. </w:t>
      </w:r>
    </w:p>
    <w:p w14:paraId="3AFF3ED8" w14:textId="59A05E82" w:rsidR="003A0512" w:rsidRPr="0021550A" w:rsidRDefault="003A0512" w:rsidP="003A0512">
      <w:r w:rsidRPr="0021550A">
        <w:t xml:space="preserve">Hierarchical clustering is useful for finding links between Caxton’s texts, but it is less useful for the quires that comprise a single text. The output from hierarchical clustering—the dendrogram—splits up the ordering of the quires, making it difficult to see whether there is a clean divide partway through the text. The interpretation was not difficult for </w:t>
      </w:r>
      <w:r w:rsidRPr="0021550A">
        <w:rPr>
          <w:i/>
        </w:rPr>
        <w:t>Troilus and Criseyde</w:t>
      </w:r>
      <w:r w:rsidRPr="0021550A">
        <w:t xml:space="preserve"> because the divide between clusters is clear, however for other texts the dendrogram can be more difficult to interpret. The </w:t>
      </w:r>
      <w:r w:rsidRPr="0021550A">
        <w:rPr>
          <w:i/>
        </w:rPr>
        <w:t>Golden Legend</w:t>
      </w:r>
      <w:r w:rsidRPr="0021550A">
        <w:t xml:space="preserve"> runs to fifty-nine quires, and as we will see in Section</w:t>
      </w:r>
      <w:r>
        <w:t xml:space="preserve"> </w:t>
      </w:r>
      <w:r>
        <w:fldChar w:fldCharType="begin"/>
      </w:r>
      <w:r>
        <w:instrText xml:space="preserve"> REF _Ref492911846 \r </w:instrText>
      </w:r>
      <w:r>
        <w:fldChar w:fldCharType="separate"/>
      </w:r>
      <w:r w:rsidR="00D11844">
        <w:t>7.5.1</w:t>
      </w:r>
      <w:r>
        <w:fldChar w:fldCharType="end"/>
      </w:r>
      <w:r w:rsidRPr="0021550A">
        <w:t xml:space="preserve">, the quires can be clustered into five groups. The dendrogram for the </w:t>
      </w:r>
      <w:r w:rsidRPr="0021550A">
        <w:rPr>
          <w:i/>
        </w:rPr>
        <w:t>Golden Legend</w:t>
      </w:r>
      <w:r w:rsidRPr="0021550A">
        <w:t xml:space="preserve"> provides the same information as successively running </w:t>
      </w:r>
      <w:r w:rsidRPr="0021550A">
        <w:rPr>
          <w:i/>
        </w:rPr>
        <w:t>k</w:t>
      </w:r>
      <w:r w:rsidRPr="0021550A">
        <w:t xml:space="preserve">-means with increasing values of </w:t>
      </w:r>
      <w:r w:rsidRPr="0021550A">
        <w:rPr>
          <w:i/>
        </w:rPr>
        <w:t>k</w:t>
      </w:r>
      <w:r w:rsidRPr="0021550A">
        <w:t xml:space="preserve">, but the dendrogram can be difficult to interpret and complicated to follow with mostly reordered quires, shown in </w:t>
      </w:r>
      <w:r w:rsidR="00FC68DC">
        <w:t>Figure 5.8.</w:t>
      </w:r>
    </w:p>
    <w:p w14:paraId="6D1AAC79" w14:textId="77777777" w:rsidR="003A0512" w:rsidRPr="0021550A" w:rsidRDefault="003A0512" w:rsidP="003A0512"/>
    <w:p w14:paraId="33578D27" w14:textId="75E2E30B" w:rsidR="003A0512" w:rsidRPr="0021550A" w:rsidRDefault="003A0512" w:rsidP="003A0512">
      <w:pPr>
        <w:ind w:firstLine="0"/>
      </w:pPr>
      <w:r w:rsidRPr="0021550A">
        <w:rPr>
          <w:noProof/>
          <w:lang w:eastAsia="en-GB"/>
        </w:rPr>
        <w:lastRenderedPageBreak/>
        <w:drawing>
          <wp:inline distT="0" distB="0" distL="0" distR="0" wp14:anchorId="203A5DCF" wp14:editId="159CF38E">
            <wp:extent cx="4950554" cy="2853309"/>
            <wp:effectExtent l="0" t="0" r="254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golden cluster.pdf"/>
                    <pic:cNvPicPr/>
                  </pic:nvPicPr>
                  <pic:blipFill rotWithShape="1">
                    <a:blip r:embed="rId54">
                      <a:extLst>
                        <a:ext uri="{28A0092B-C50C-407E-A947-70E740481C1C}">
                          <a14:useLocalDpi xmlns:a14="http://schemas.microsoft.com/office/drawing/2010/main"/>
                        </a:ext>
                      </a:extLst>
                    </a:blip>
                    <a:srcRect t="9720" r="6026" b="13729"/>
                    <a:stretch/>
                  </pic:blipFill>
                  <pic:spPr bwMode="auto">
                    <a:xfrm>
                      <a:off x="0" y="0"/>
                      <a:ext cx="4994405" cy="2878583"/>
                    </a:xfrm>
                    <a:prstGeom prst="rect">
                      <a:avLst/>
                    </a:prstGeom>
                    <a:ln>
                      <a:noFill/>
                    </a:ln>
                    <a:extLst>
                      <a:ext uri="{53640926-AAD7-44D8-BBD7-CCE9431645EC}">
                        <a14:shadowObscured xmlns:a14="http://schemas.microsoft.com/office/drawing/2010/main"/>
                      </a:ext>
                    </a:extLst>
                  </pic:spPr>
                </pic:pic>
              </a:graphicData>
            </a:graphic>
          </wp:inline>
        </w:drawing>
      </w:r>
    </w:p>
    <w:p w14:paraId="40CED9EC" w14:textId="4BB60408" w:rsidR="003A0512" w:rsidRPr="0021550A" w:rsidRDefault="00453776" w:rsidP="003A0512">
      <w:pPr>
        <w:pStyle w:val="Caption"/>
        <w:rPr>
          <w:i/>
        </w:rPr>
      </w:pPr>
      <w:bookmarkStart w:id="148" w:name="_Ref490923510"/>
      <w:bookmarkStart w:id="149" w:name="_Toc499753536"/>
      <w:r>
        <w:t xml:space="preserve">Figure 5.8: </w:t>
      </w:r>
      <w:bookmarkEnd w:id="148"/>
      <w:r w:rsidR="003A0512" w:rsidRPr="0021550A">
        <w:t>Hierarchical cluster</w:t>
      </w:r>
      <w:r w:rsidR="00D36157">
        <w:t>ing</w:t>
      </w:r>
      <w:r w:rsidR="003A0512" w:rsidRPr="0021550A">
        <w:t xml:space="preserve"> of the </w:t>
      </w:r>
      <w:r w:rsidR="003A0512" w:rsidRPr="0021550A">
        <w:rPr>
          <w:i/>
        </w:rPr>
        <w:t>Golden Legend</w:t>
      </w:r>
      <w:bookmarkEnd w:id="149"/>
    </w:p>
    <w:p w14:paraId="5A8B1AE2" w14:textId="77777777" w:rsidR="003A0512" w:rsidRPr="0021550A" w:rsidRDefault="003A0512" w:rsidP="003A0512"/>
    <w:p w14:paraId="25933C60" w14:textId="742EBC01" w:rsidR="003A0512" w:rsidRPr="0021550A" w:rsidRDefault="00FC68DC" w:rsidP="003A0512">
      <w:r>
        <w:t>Figure 5.8</w:t>
      </w:r>
      <w:r w:rsidR="003A0512" w:rsidRPr="0021550A">
        <w:t xml:space="preserve"> shows the dendrogram produced when hierarchical cluster analysis is undertaken on the </w:t>
      </w:r>
      <w:r w:rsidR="003A0512" w:rsidRPr="0021550A">
        <w:rPr>
          <w:i/>
        </w:rPr>
        <w:t>Golden Legend</w:t>
      </w:r>
      <w:r w:rsidR="003A0512" w:rsidRPr="0021550A">
        <w:t xml:space="preserve">. The large number of quires and clusters makes this dendrogram more difficult to find meaningful results, compared with the same clustering output from </w:t>
      </w:r>
      <w:r w:rsidR="003A0512" w:rsidRPr="0021550A">
        <w:rPr>
          <w:i/>
        </w:rPr>
        <w:t>k</w:t>
      </w:r>
      <w:r w:rsidR="003A0512" w:rsidRPr="0021550A">
        <w:t>-means which provides the cluster number for each quire, retaining the ordering of the quires.</w:t>
      </w:r>
    </w:p>
    <w:p w14:paraId="1C7FF469" w14:textId="77777777" w:rsidR="003A0512" w:rsidRPr="0021550A" w:rsidRDefault="003A0512" w:rsidP="003A0512">
      <w:r w:rsidRPr="0021550A">
        <w:t xml:space="preserve"> </w:t>
      </w:r>
    </w:p>
    <w:p w14:paraId="73D02932" w14:textId="74587C71" w:rsidR="003A0512" w:rsidRPr="0021550A" w:rsidRDefault="003A0512" w:rsidP="003A0512">
      <w:pPr>
        <w:ind w:firstLine="0"/>
      </w:pPr>
      <w:r w:rsidRPr="0021550A">
        <w:rPr>
          <w:noProof/>
          <w:lang w:eastAsia="en-GB"/>
        </w:rPr>
        <w:drawing>
          <wp:inline distT="0" distB="0" distL="0" distR="0" wp14:anchorId="42B44EE7" wp14:editId="4CFF51C7">
            <wp:extent cx="5020404" cy="854359"/>
            <wp:effectExtent l="0" t="0" r="889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Screen Shot 2017-08-19 at 16.41.14.png"/>
                    <pic:cNvPicPr/>
                  </pic:nvPicPr>
                  <pic:blipFill>
                    <a:blip r:embed="rId55">
                      <a:extLst>
                        <a:ext uri="{28A0092B-C50C-407E-A947-70E740481C1C}">
                          <a14:useLocalDpi xmlns:a14="http://schemas.microsoft.com/office/drawing/2010/main"/>
                        </a:ext>
                      </a:extLst>
                    </a:blip>
                    <a:stretch>
                      <a:fillRect/>
                    </a:stretch>
                  </pic:blipFill>
                  <pic:spPr>
                    <a:xfrm>
                      <a:off x="0" y="0"/>
                      <a:ext cx="5068323" cy="862514"/>
                    </a:xfrm>
                    <a:prstGeom prst="rect">
                      <a:avLst/>
                    </a:prstGeom>
                  </pic:spPr>
                </pic:pic>
              </a:graphicData>
            </a:graphic>
          </wp:inline>
        </w:drawing>
      </w:r>
    </w:p>
    <w:p w14:paraId="13C96731" w14:textId="62A3240D" w:rsidR="003A0512" w:rsidRPr="0021550A" w:rsidRDefault="00453776" w:rsidP="003A0512">
      <w:pPr>
        <w:pStyle w:val="Caption"/>
      </w:pPr>
      <w:bookmarkStart w:id="150" w:name="_Ref490924404"/>
      <w:bookmarkStart w:id="151" w:name="_Toc499753537"/>
      <w:r>
        <w:t xml:space="preserve">Figure 5.9: </w:t>
      </w:r>
      <w:bookmarkEnd w:id="150"/>
      <w:r w:rsidR="00D36157">
        <w:rPr>
          <w:i/>
        </w:rPr>
        <w:t>K</w:t>
      </w:r>
      <w:r w:rsidR="003A0512" w:rsidRPr="0021550A">
        <w:t>-means cluster</w:t>
      </w:r>
      <w:r w:rsidR="00D36157">
        <w:t>ing</w:t>
      </w:r>
      <w:r w:rsidR="003A0512" w:rsidRPr="0021550A">
        <w:t xml:space="preserve"> </w:t>
      </w:r>
      <w:r w:rsidR="00D36157">
        <w:t xml:space="preserve">of </w:t>
      </w:r>
      <w:r w:rsidR="003A0512" w:rsidRPr="0021550A">
        <w:t xml:space="preserve">the </w:t>
      </w:r>
      <w:r w:rsidR="003A0512" w:rsidRPr="0021550A">
        <w:rPr>
          <w:i/>
        </w:rPr>
        <w:t>Golden Legend</w:t>
      </w:r>
      <w:bookmarkEnd w:id="151"/>
    </w:p>
    <w:p w14:paraId="30887860" w14:textId="77777777" w:rsidR="003A0512" w:rsidRPr="0021550A" w:rsidRDefault="003A0512" w:rsidP="003A0512"/>
    <w:p w14:paraId="7E7ECFD7" w14:textId="5225B4C2" w:rsidR="003A0512" w:rsidRPr="0021550A" w:rsidRDefault="003A0512" w:rsidP="003A0512">
      <w:r w:rsidRPr="0021550A">
        <w:t xml:space="preserve">The output in </w:t>
      </w:r>
      <w:r w:rsidR="00FC68DC">
        <w:t xml:space="preserve">Figure 5.9 </w:t>
      </w:r>
      <w:r w:rsidRPr="0021550A">
        <w:t xml:space="preserve">shows the same five clusters as in </w:t>
      </w:r>
      <w:r w:rsidR="00FC68DC">
        <w:t>Fgure 5.8,</w:t>
      </w:r>
      <w:r w:rsidRPr="0021550A">
        <w:t xml:space="preserve"> </w:t>
      </w:r>
      <w:r w:rsidR="00D977B8">
        <w:t xml:space="preserve">arguably </w:t>
      </w:r>
      <w:r w:rsidRPr="0021550A">
        <w:t xml:space="preserve">with less difficulty in interpretation. In </w:t>
      </w:r>
      <w:r w:rsidR="00FC68DC">
        <w:t>Figure 5.9</w:t>
      </w:r>
      <w:r w:rsidRPr="0021550A">
        <w:t xml:space="preserve"> </w:t>
      </w:r>
      <w:r w:rsidR="00D977B8">
        <w:t xml:space="preserve">the number beneath each quire states which cluster that quire belongs to from </w:t>
      </w:r>
      <w:r w:rsidR="00D977B8" w:rsidRPr="004C3465">
        <w:rPr>
          <w:i/>
        </w:rPr>
        <w:t>k</w:t>
      </w:r>
      <w:r w:rsidR="00D977B8">
        <w:t xml:space="preserve">-means clustering. In </w:t>
      </w:r>
      <w:r w:rsidR="00FC68DC">
        <w:t>Figure 5.9</w:t>
      </w:r>
      <w:r w:rsidR="00D977B8" w:rsidRPr="0021550A">
        <w:t xml:space="preserve"> </w:t>
      </w:r>
      <w:r w:rsidRPr="0021550A">
        <w:t xml:space="preserve">it is clear where the one cluster starts and the next one ends, because the quires remain in the order they appear in the text. For this reason, the study undertaken in the present chapter makes use of </w:t>
      </w:r>
      <w:r w:rsidRPr="0021550A">
        <w:rPr>
          <w:i/>
        </w:rPr>
        <w:t>k</w:t>
      </w:r>
      <w:r w:rsidRPr="0021550A">
        <w:t xml:space="preserve">-means clustering, but hierarchical cluster analysis is used in Chapter </w:t>
      </w:r>
      <w:r w:rsidR="00D977B8">
        <w:t>9</w:t>
      </w:r>
      <w:r w:rsidRPr="0021550A">
        <w:t xml:space="preserve">. </w:t>
      </w:r>
    </w:p>
    <w:p w14:paraId="61F86A8F" w14:textId="77777777" w:rsidR="003A0512" w:rsidRPr="0021550A" w:rsidRDefault="003A0512" w:rsidP="003A0512"/>
    <w:p w14:paraId="121CC8BE" w14:textId="795364BC" w:rsidR="003A0512" w:rsidRPr="0021550A" w:rsidRDefault="003A0512" w:rsidP="003A0512">
      <w:pPr>
        <w:pStyle w:val="Heading3"/>
      </w:pPr>
      <w:bookmarkStart w:id="152" w:name="_Ref497826707"/>
      <w:r w:rsidRPr="0021550A">
        <w:t>Case study discussion and summary</w:t>
      </w:r>
      <w:bookmarkEnd w:id="152"/>
    </w:p>
    <w:p w14:paraId="754DDDDD" w14:textId="2257FE0D" w:rsidR="003A0512" w:rsidRPr="0021550A" w:rsidRDefault="003A0512" w:rsidP="003A0512">
      <w:r w:rsidRPr="0021550A">
        <w:t xml:space="preserve">Research Question 1 asked whether it is possible to use cluster analysis to accurately distinguish the locations of changes in spelling variants within a text. In </w:t>
      </w:r>
      <w:r w:rsidRPr="0021550A">
        <w:lastRenderedPageBreak/>
        <w:t xml:space="preserve">investigating this question, I have tested three different types of clustering algorithm on the subset of data from </w:t>
      </w:r>
      <w:r w:rsidRPr="0021550A">
        <w:rPr>
          <w:i/>
        </w:rPr>
        <w:t>Troilus and Criseyde</w:t>
      </w:r>
      <w:r w:rsidRPr="0021550A">
        <w:t xml:space="preserve">, </w:t>
      </w:r>
      <w:r w:rsidRPr="0021550A">
        <w:rPr>
          <w:i/>
        </w:rPr>
        <w:t>k</w:t>
      </w:r>
      <w:r w:rsidRPr="0021550A">
        <w:t xml:space="preserve">-means clustering, density-based clustering, and hierarchical clustering. </w:t>
      </w:r>
      <w:r w:rsidRPr="0021550A">
        <w:rPr>
          <w:i/>
        </w:rPr>
        <w:t>Troilus and Criseyde</w:t>
      </w:r>
      <w:r w:rsidRPr="0021550A">
        <w:t xml:space="preserve"> was an ideal text to trial the clustering algorithms because the location of change could be confidently asserted </w:t>
      </w:r>
      <w:r w:rsidRPr="00292E57">
        <w:t>(Hellinga &amp; Painter 2007).</w:t>
      </w:r>
      <w:r>
        <w:t xml:space="preserve"> </w:t>
      </w:r>
      <w:r w:rsidRPr="0021550A">
        <w:t xml:space="preserve">The exact location of change had been described by Hellinga </w:t>
      </w:r>
      <w:r w:rsidR="00D977B8">
        <w:t>and</w:t>
      </w:r>
      <w:r w:rsidRPr="0021550A">
        <w:t xml:space="preserve"> Painter as occurring at Quire i. </w:t>
      </w:r>
    </w:p>
    <w:p w14:paraId="47455402" w14:textId="427EF055" w:rsidR="003A0512" w:rsidRPr="0021550A" w:rsidRDefault="003A0512" w:rsidP="003A0512">
      <w:r w:rsidRPr="0021550A">
        <w:t xml:space="preserve">By using </w:t>
      </w:r>
      <w:r w:rsidRPr="0021550A">
        <w:rPr>
          <w:i/>
        </w:rPr>
        <w:t>Troilus and Criseyde</w:t>
      </w:r>
      <w:r w:rsidRPr="0021550A">
        <w:t xml:space="preserve">, we could test to see whether the known weaknesses identified in the clustering algorithms prevent clustering from being achieved. This trial has demonstrated that </w:t>
      </w:r>
      <w:r w:rsidRPr="0021550A">
        <w:rPr>
          <w:i/>
        </w:rPr>
        <w:t>k</w:t>
      </w:r>
      <w:r w:rsidRPr="0021550A">
        <w:t xml:space="preserve">-means clustering is appropriate for use with the present dataset, and works more effectively than density-based clustering. In contrast, the density-based clustering algorithm, DBSCAN, was unable to cluster the dataset because the density of the objects was too low. Hierarchical clustering also worked, and provided the same results as </w:t>
      </w:r>
      <w:r w:rsidRPr="0021550A">
        <w:rPr>
          <w:i/>
        </w:rPr>
        <w:t>k</w:t>
      </w:r>
      <w:r w:rsidRPr="0021550A">
        <w:t xml:space="preserve">-means clustering, though there can be difficulty in interpreting the results. While the rest of this chapter makes use of </w:t>
      </w:r>
      <w:r w:rsidRPr="0021550A">
        <w:rPr>
          <w:i/>
        </w:rPr>
        <w:t>k</w:t>
      </w:r>
      <w:r w:rsidRPr="0021550A">
        <w:t>-means clustering, hierarchical</w:t>
      </w:r>
      <w:r w:rsidR="00D977B8">
        <w:t xml:space="preserve"> clustering is used </w:t>
      </w:r>
      <w:r w:rsidR="007833C6">
        <w:t xml:space="preserve">when undertaking cluster analysis on whole texts </w:t>
      </w:r>
      <w:r w:rsidR="00D977B8">
        <w:t>in Chapter 9</w:t>
      </w:r>
      <w:r w:rsidRPr="0021550A">
        <w:t>.</w:t>
      </w:r>
    </w:p>
    <w:p w14:paraId="3E0AC3CC" w14:textId="20F3C2A5" w:rsidR="00D0045A" w:rsidRDefault="003A0512" w:rsidP="00D36157">
      <w:r w:rsidRPr="0021550A">
        <w:t xml:space="preserve">Through using Caxton’s text of </w:t>
      </w:r>
      <w:r w:rsidRPr="0021550A">
        <w:rPr>
          <w:i/>
        </w:rPr>
        <w:t>Troilus and Criseyde</w:t>
      </w:r>
      <w:r w:rsidRPr="0021550A">
        <w:t xml:space="preserve"> as an experiment to test clustering algorithms, I have demonstrated that it is possible to </w:t>
      </w:r>
      <w:r w:rsidR="00D977B8">
        <w:t>isolate</w:t>
      </w:r>
      <w:r w:rsidRPr="0021550A">
        <w:t xml:space="preserve"> the </w:t>
      </w:r>
      <w:r w:rsidR="00D977B8">
        <w:t xml:space="preserve">two </w:t>
      </w:r>
      <w:r w:rsidRPr="0021550A">
        <w:t xml:space="preserve">sections of text that were </w:t>
      </w:r>
      <w:r w:rsidR="00D977B8">
        <w:t>typeset by different</w:t>
      </w:r>
      <w:r w:rsidRPr="0021550A">
        <w:t xml:space="preserve"> compositor</w:t>
      </w:r>
      <w:r w:rsidR="00D977B8">
        <w:t>s</w:t>
      </w:r>
      <w:r w:rsidRPr="0021550A">
        <w:t xml:space="preserve"> by </w:t>
      </w:r>
      <w:r w:rsidR="00D977B8">
        <w:t>using cluster analysis</w:t>
      </w:r>
      <w:r w:rsidRPr="0021550A">
        <w:t xml:space="preserve">. Quires are long enough to gain enough information about spelling variation to distinguish between text that was typeset by different compositors. Quires are also the most </w:t>
      </w:r>
      <w:r w:rsidR="00D977B8">
        <w:t>likely</w:t>
      </w:r>
      <w:r w:rsidRPr="0021550A">
        <w:t xml:space="preserve"> point at which compositors are likely to change over. The distinction in the case of </w:t>
      </w:r>
      <w:r w:rsidRPr="0021550A">
        <w:rPr>
          <w:i/>
        </w:rPr>
        <w:t xml:space="preserve">Troilus and Criseyde </w:t>
      </w:r>
      <w:r w:rsidRPr="0021550A">
        <w:t xml:space="preserve">was made at the start of a quire, for example. Quires are therefore the most suitable unit of measurement for </w:t>
      </w:r>
      <w:r w:rsidR="007E28AC">
        <w:t xml:space="preserve">the application of cluster analysis onto sections of text within </w:t>
      </w:r>
      <w:r w:rsidR="00D977B8">
        <w:t xml:space="preserve">one book undertaken in Chapter </w:t>
      </w:r>
      <w:r w:rsidR="007833C6">
        <w:t>7</w:t>
      </w:r>
      <w:r w:rsidR="007E28AC">
        <w:t xml:space="preserve">. </w:t>
      </w:r>
    </w:p>
    <w:p w14:paraId="079EA377" w14:textId="77777777" w:rsidR="00D0045A" w:rsidRPr="0021550A" w:rsidRDefault="00D0045A" w:rsidP="003A0512"/>
    <w:p w14:paraId="68A05D43" w14:textId="4088977A" w:rsidR="006D3E44" w:rsidRPr="0021550A" w:rsidRDefault="006D3E44" w:rsidP="000737CB">
      <w:pPr>
        <w:pStyle w:val="Heading2"/>
      </w:pPr>
      <w:bookmarkStart w:id="153" w:name="_Ref497743535"/>
      <w:bookmarkStart w:id="154" w:name="_Ref497745959"/>
      <w:bookmarkStart w:id="155" w:name="_Toc497899861"/>
      <w:r>
        <w:t xml:space="preserve">Cluster analysis </w:t>
      </w:r>
      <w:r w:rsidR="00D15812">
        <w:t>of</w:t>
      </w:r>
      <w:r>
        <w:t xml:space="preserve"> whole texts</w:t>
      </w:r>
      <w:bookmarkEnd w:id="153"/>
      <w:bookmarkEnd w:id="154"/>
      <w:bookmarkEnd w:id="155"/>
    </w:p>
    <w:p w14:paraId="47471E71" w14:textId="348C9009" w:rsidR="006D3E44" w:rsidRPr="0021550A" w:rsidRDefault="004F40A8" w:rsidP="004F40A8">
      <w:r>
        <w:t>The method of cluster analysis described in this chapter was designed initially for use on quires within individual tex</w:t>
      </w:r>
      <w:r w:rsidR="007833C6">
        <w:t xml:space="preserve">ts, and the method is applied </w:t>
      </w:r>
      <w:r>
        <w:t xml:space="preserve">to the data in Chapter 7. </w:t>
      </w:r>
      <w:r w:rsidR="007E28AC">
        <w:t xml:space="preserve">However, </w:t>
      </w:r>
      <w:r>
        <w:t xml:space="preserve">Chapter 9 makes use of the cluster analysis when each object undergoing clustering is formed of a whole text, rather than a section of text. For the cluster analysis to work effectively on a dataset of whole texts, adjustments to the method are required. </w:t>
      </w:r>
      <w:r w:rsidR="006D3E44" w:rsidRPr="0021550A">
        <w:t>This section discusses the alterations that are made to the cluster analysis: using hierarchical clustering</w:t>
      </w:r>
      <w:r w:rsidR="007833C6">
        <w:t>,</w:t>
      </w:r>
      <w:r w:rsidR="006D3E44" w:rsidRPr="0021550A">
        <w:t xml:space="preserve"> and changing the spellings that are considered as part of the analysis, before discussing the remaining limitations on the use of cluster analysis as a tool to explore the spellings between Caxton’s texts. </w:t>
      </w:r>
    </w:p>
    <w:p w14:paraId="0E67ABBF" w14:textId="77777777" w:rsidR="006D3E44" w:rsidRPr="0021550A" w:rsidRDefault="006D3E44" w:rsidP="000737CB"/>
    <w:p w14:paraId="3A3477EF" w14:textId="7A1F8E45" w:rsidR="006D3E44" w:rsidRPr="0021550A" w:rsidRDefault="006D3E44" w:rsidP="000737CB">
      <w:pPr>
        <w:pStyle w:val="Heading3"/>
      </w:pPr>
      <w:bookmarkStart w:id="156" w:name="_Ref497744748"/>
      <w:r w:rsidRPr="0021550A">
        <w:lastRenderedPageBreak/>
        <w:t>Alterations to the method: hierarchical clustering</w:t>
      </w:r>
      <w:bookmarkEnd w:id="156"/>
    </w:p>
    <w:p w14:paraId="40FFF7F7" w14:textId="2CC093D1" w:rsidR="00E5011F" w:rsidRDefault="004F40A8" w:rsidP="00E5011F">
      <w:r>
        <w:t xml:space="preserve">For cluster analysis undertaken over whole texts, this study makes use of </w:t>
      </w:r>
      <w:r w:rsidR="006D3E44" w:rsidRPr="0021550A">
        <w:t xml:space="preserve">hierarchical clustering. </w:t>
      </w:r>
      <w:r w:rsidR="007E28AC" w:rsidRPr="0021550A">
        <w:rPr>
          <w:i/>
        </w:rPr>
        <w:t>K</w:t>
      </w:r>
      <w:r w:rsidR="007E28AC">
        <w:t>-means clustering suits</w:t>
      </w:r>
      <w:r w:rsidR="007E28AC" w:rsidRPr="0021550A">
        <w:t xml:space="preserve"> the </w:t>
      </w:r>
      <w:r w:rsidR="007E28AC">
        <w:t>aims of finding changes in idiolect within a text, demonstrated in the previous section</w:t>
      </w:r>
      <w:r w:rsidR="007E28AC" w:rsidRPr="0021550A">
        <w:t xml:space="preserve">, in which the aim </w:t>
      </w:r>
      <w:r w:rsidR="00E5011F">
        <w:t>is</w:t>
      </w:r>
      <w:r w:rsidR="007E28AC" w:rsidRPr="0021550A">
        <w:t xml:space="preserve"> to divide a set of quires into specific numbers of clusters of quires with similar spelling variants. </w:t>
      </w:r>
      <w:r w:rsidR="00E5011F">
        <w:t xml:space="preserve">In the case of clustering quires, the dendrogram output from hierarchical clustering </w:t>
      </w:r>
      <w:r w:rsidR="001D713F">
        <w:t>is not necessary</w:t>
      </w:r>
      <w:r w:rsidR="00F93E23">
        <w:t xml:space="preserve"> and the linear output is clearer though it includes less information. </w:t>
      </w:r>
      <w:r w:rsidR="007E28AC">
        <w:t xml:space="preserve">However, the aims when using whole texts as data for clustering are slightly different. In this case, </w:t>
      </w:r>
      <w:r w:rsidR="00E5011F" w:rsidRPr="0021550A">
        <w:t>the number of clusters (</w:t>
      </w:r>
      <w:r w:rsidR="00E5011F" w:rsidRPr="0021550A">
        <w:rPr>
          <w:i/>
        </w:rPr>
        <w:t>k</w:t>
      </w:r>
      <w:r w:rsidR="00E5011F" w:rsidRPr="0021550A">
        <w:t>) is not known, and the relationships between individ</w:t>
      </w:r>
      <w:r w:rsidR="00E5011F">
        <w:t xml:space="preserve">ual texts is of importance. As such when clustering whole texts, the output from </w:t>
      </w:r>
      <w:r w:rsidR="00E5011F" w:rsidRPr="0021550A">
        <w:t>hierarchical clustering in the form of a dendrogram</w:t>
      </w:r>
      <w:r w:rsidR="00E5011F">
        <w:t xml:space="preserve"> is useful. </w:t>
      </w:r>
    </w:p>
    <w:p w14:paraId="6A3C9D89" w14:textId="7BAFA303" w:rsidR="006D3E44" w:rsidRPr="0021550A" w:rsidRDefault="006D3E44" w:rsidP="003A0512">
      <w:r w:rsidRPr="0021550A">
        <w:t>The type of hierarchical clustering used in this study is known as agglomerative clustering. Agglomerative clustering begins by taking each object as its own individual cluster and at each stage joins two of the existing clusters together. In this case, the agglomerative clustering takes a matrix of ratios for all the texts undergoing analysis as its input, and at the beginning of the clustering process each cluster contains one text. The clustering algorithm then creates a link between two most similar texts together into one larger cluster, and in the next stage creates a link between the next two similar texts together. The clustering process is complete when all the texts have been linked together, and the map of the links is displayed in a tree diagram known as a dendrogram. Because the clustering process only ends when all the texts are part of one large cluster, agglomerative clustering is therefore an exhaustive process which does not allow outliers. In computational terms, agglomerative clustering is a greedy algorithm. Greedy algorithms work to find the optimal local solution at each stage, and then combine these local solutions to solve the problem at hand on a global scale. Agglomerative clustering is therefore ideal for this study because it presents the relationships between texts at a range of levels, from</w:t>
      </w:r>
      <w:r w:rsidR="00B935FC">
        <w:t xml:space="preserve"> demonstrating</w:t>
      </w:r>
      <w:r w:rsidRPr="0021550A">
        <w:t xml:space="preserve"> </w:t>
      </w:r>
      <w:r w:rsidR="00B935FC">
        <w:t>which texts are the most similar to any other text</w:t>
      </w:r>
      <w:r w:rsidRPr="0021550A">
        <w:t xml:space="preserve">, and showing which smaller clusters can be considered as belonging to larger clusters of texts. </w:t>
      </w:r>
    </w:p>
    <w:p w14:paraId="32747D57" w14:textId="77777777" w:rsidR="006D3E44" w:rsidRPr="0021550A" w:rsidRDefault="006D3E44" w:rsidP="000737CB"/>
    <w:p w14:paraId="39F95403" w14:textId="7559344D" w:rsidR="006D3E44" w:rsidRPr="0021550A" w:rsidRDefault="006D3E44" w:rsidP="000737CB">
      <w:pPr>
        <w:pStyle w:val="Heading3"/>
      </w:pPr>
      <w:bookmarkStart w:id="157" w:name="_Ref492475903"/>
      <w:r w:rsidRPr="0021550A">
        <w:t>Alterations to the method: spelling variants</w:t>
      </w:r>
      <w:bookmarkEnd w:id="157"/>
    </w:p>
    <w:p w14:paraId="2D18D607" w14:textId="5B60CA07" w:rsidR="006D3E44" w:rsidRPr="0021550A" w:rsidRDefault="006D3E44" w:rsidP="000737CB">
      <w:r w:rsidRPr="0021550A">
        <w:t>When developing cluster analysis for use on spelling data</w:t>
      </w:r>
      <w:r w:rsidR="00F93E23">
        <w:t xml:space="preserve"> in quires</w:t>
      </w:r>
      <w:r w:rsidRPr="0021550A">
        <w:t xml:space="preserve">, the cluster analysis was conducted twice: the first clustering ran using all spelling variants that appeared in any of the quires that were being clustered, while the second clustering only used words (and the spelling variants used to represent each word) that were used in at least eighty per cent of the quires being clustered. Running the </w:t>
      </w:r>
      <w:r w:rsidRPr="0021550A">
        <w:rPr>
          <w:i/>
        </w:rPr>
        <w:t>k</w:t>
      </w:r>
      <w:r w:rsidRPr="0021550A">
        <w:t xml:space="preserve">-means clustering algorithm twice meant that the first round of clustering was able to take into account as </w:t>
      </w:r>
      <w:r w:rsidRPr="0021550A">
        <w:lastRenderedPageBreak/>
        <w:t>many spelling variants as possible, while the second round acts as a check to ensure that the first approach was not clu</w:t>
      </w:r>
      <w:r w:rsidR="00113982">
        <w:t xml:space="preserve">stering quires based on the </w:t>
      </w:r>
      <w:r w:rsidRPr="0021550A">
        <w:t xml:space="preserve">words </w:t>
      </w:r>
      <w:r w:rsidR="00F93E23">
        <w:t xml:space="preserve">rather than the spellings used to represent those words </w:t>
      </w:r>
      <w:r w:rsidRPr="0021550A">
        <w:t xml:space="preserve">(and therefore clustering based on topic). This two-pronged approach worked effectively for quires within the same text, where the quires were short and the topic of the texts tended to remain the same throughout. </w:t>
      </w:r>
    </w:p>
    <w:p w14:paraId="2CD78357" w14:textId="30F1C366" w:rsidR="006D3E44" w:rsidRPr="0021550A" w:rsidRDefault="006D3E44" w:rsidP="000737CB">
      <w:r w:rsidRPr="0021550A">
        <w:t xml:space="preserve">Using the </w:t>
      </w:r>
      <w:r w:rsidR="00B935FC">
        <w:t>double-</w:t>
      </w:r>
      <w:r w:rsidRPr="0021550A">
        <w:t>clus</w:t>
      </w:r>
      <w:r w:rsidR="00B935FC">
        <w:t>tering approach</w:t>
      </w:r>
      <w:r w:rsidRPr="0021550A">
        <w:t xml:space="preserve"> does not work well on whole texts. I ran a series of pilot tests using these two stages of clustering: one using all spelling variants that appear in at least one quire, and the other using a restricted set of variants where the word must appear in eighty per cent of the texts for the corresponding spelling variants to be used. The results of the pilot test showed that, when we use all spelling variants to cluster the data, the texts are grouped by whether the texts use the same words, instead of whether the texts use the same spelling variants to represent those words. </w:t>
      </w:r>
    </w:p>
    <w:p w14:paraId="4A8363F5" w14:textId="77777777" w:rsidR="004249DB" w:rsidRDefault="006D3E44" w:rsidP="000737CB">
      <w:r w:rsidRPr="0021550A">
        <w:t xml:space="preserve">The disparity in success between clustering the quires of a text and clustering whole texts is caused by the difference in the lengths of texts. If we examine one of Caxton’s texts, we will find that the quires that make up the text are all usually the same length. In fact, most of Caxton’s texts that I examined had a standard length of eight pages to the quire. Each of the quires for a book therefore also includes a similar number of words, even more so in the case of print than in manuscripts, because there is no variation in the size and spacing of the typeface. There are some few exceptions, for example some quires in Caxton’s second edition of the </w:t>
      </w:r>
      <w:r w:rsidRPr="0021550A">
        <w:rPr>
          <w:i/>
        </w:rPr>
        <w:t>Canterbury Tales</w:t>
      </w:r>
      <w:r w:rsidRPr="0021550A">
        <w:t xml:space="preserve"> include woodcuts, and the space taken up by the woodcuts reduces the space for words in those quires that contain woodcuts. However, these quires in the </w:t>
      </w:r>
      <w:r w:rsidRPr="0021550A">
        <w:rPr>
          <w:i/>
        </w:rPr>
        <w:t>Canterbury Tales</w:t>
      </w:r>
      <w:r w:rsidRPr="0021550A">
        <w:t xml:space="preserve"> are relatively few, and as a woodcut usually takes up half of one of the eight pages in a quire, the loss of space (and also words) is only 6.25 per cent of the whole quire. Overall, the number of words in quires that form the same text are very similar. The same cannot be said when we look at the whole texts used in this chapter, however, because the number of words in each of Caxton’s texts varies to a large extent. The two most extreme texts in the Caxton dataset are the </w:t>
      </w:r>
      <w:r w:rsidRPr="0021550A">
        <w:rPr>
          <w:i/>
        </w:rPr>
        <w:t>Golden Legend</w:t>
      </w:r>
      <w:r w:rsidRPr="0021550A">
        <w:t xml:space="preserve"> which is 693,000 words long and </w:t>
      </w:r>
      <w:r w:rsidRPr="0021550A">
        <w:rPr>
          <w:i/>
        </w:rPr>
        <w:t>Paris and Vienne</w:t>
      </w:r>
      <w:r w:rsidRPr="0021550A">
        <w:t xml:space="preserve"> at 33,700 words long, while the other texts in the dataset fall somewhere in between. The </w:t>
      </w:r>
      <w:r w:rsidRPr="0021550A">
        <w:rPr>
          <w:i/>
        </w:rPr>
        <w:t>Golden Legend</w:t>
      </w:r>
      <w:r w:rsidRPr="0021550A">
        <w:t xml:space="preserve"> not only includes more words than </w:t>
      </w:r>
      <w:r w:rsidRPr="0021550A">
        <w:rPr>
          <w:i/>
        </w:rPr>
        <w:t>Paris and Vienne</w:t>
      </w:r>
      <w:r w:rsidRPr="0021550A">
        <w:t xml:space="preserve"> but, at twenty times the length of </w:t>
      </w:r>
      <w:r w:rsidRPr="0021550A">
        <w:rPr>
          <w:i/>
        </w:rPr>
        <w:t>Paris and Vienne</w:t>
      </w:r>
      <w:r w:rsidRPr="0021550A">
        <w:t xml:space="preserve">, predictably the </w:t>
      </w:r>
      <w:r w:rsidRPr="0021550A">
        <w:rPr>
          <w:i/>
        </w:rPr>
        <w:t>Golden Legend</w:t>
      </w:r>
      <w:r w:rsidRPr="0021550A">
        <w:t xml:space="preserve"> also contains more distinct words—i.e. not just more tokens but also more types. </w:t>
      </w:r>
    </w:p>
    <w:p w14:paraId="62D66E4E" w14:textId="33924BE1" w:rsidR="006D3E44" w:rsidRPr="0021550A" w:rsidRDefault="006D3E44" w:rsidP="000737CB">
      <w:r w:rsidRPr="0021550A">
        <w:t xml:space="preserve">The greater number of distinct words </w:t>
      </w:r>
      <w:r w:rsidR="004249DB">
        <w:t xml:space="preserve">in whole texts relative to quires </w:t>
      </w:r>
      <w:r w:rsidRPr="0021550A">
        <w:t xml:space="preserve">affects the methods used in this chapter, in particular cluster analysis. For the clustering to work, the data must be formatted as a matrix, in which the rows and columns are denoted by the text in question and the spelling variants respectively. When the ratios for the use of each spelling variant in each text are entered into the matrix, the columns that denote the longer </w:t>
      </w:r>
      <w:r w:rsidRPr="0021550A">
        <w:lastRenderedPageBreak/>
        <w:t xml:space="preserve">texts such as the </w:t>
      </w:r>
      <w:r w:rsidRPr="0021550A">
        <w:rPr>
          <w:i/>
        </w:rPr>
        <w:t>Golden Legend</w:t>
      </w:r>
      <w:r w:rsidRPr="0021550A">
        <w:t xml:space="preserve"> or the </w:t>
      </w:r>
      <w:r w:rsidRPr="0021550A">
        <w:rPr>
          <w:i/>
        </w:rPr>
        <w:t>Polychronicon</w:t>
      </w:r>
      <w:r w:rsidRPr="0021550A">
        <w:t xml:space="preserve"> are filled with mostly positive values. Shorter texts such as </w:t>
      </w:r>
      <w:r w:rsidRPr="0021550A">
        <w:rPr>
          <w:i/>
        </w:rPr>
        <w:t>Paris and Vienne</w:t>
      </w:r>
      <w:r w:rsidRPr="0021550A">
        <w:t xml:space="preserve"> do not contain as many distinct words, and the row that represents </w:t>
      </w:r>
      <w:r w:rsidRPr="0021550A">
        <w:rPr>
          <w:i/>
        </w:rPr>
        <w:t>Paris and Vienne</w:t>
      </w:r>
      <w:r w:rsidRPr="0021550A">
        <w:t xml:space="preserve"> contains far fewer positive values and far more zero values. Other short texts such as </w:t>
      </w:r>
      <w:r w:rsidRPr="0021550A">
        <w:rPr>
          <w:i/>
        </w:rPr>
        <w:t>Reynard the Fox</w:t>
      </w:r>
      <w:r w:rsidRPr="0021550A">
        <w:t xml:space="preserve"> and the </w:t>
      </w:r>
      <w:r w:rsidRPr="0021550A">
        <w:rPr>
          <w:i/>
        </w:rPr>
        <w:t>Description of Britain</w:t>
      </w:r>
      <w:r w:rsidRPr="0021550A">
        <w:t xml:space="preserve"> also contain mostly zero-value cells, because the large number of distinct words that appear in the </w:t>
      </w:r>
      <w:r w:rsidRPr="0021550A">
        <w:rPr>
          <w:i/>
        </w:rPr>
        <w:t>Golden Legend</w:t>
      </w:r>
      <w:r w:rsidRPr="0021550A">
        <w:t xml:space="preserve"> and the </w:t>
      </w:r>
      <w:r w:rsidRPr="0021550A">
        <w:rPr>
          <w:i/>
        </w:rPr>
        <w:t>Polychronicon</w:t>
      </w:r>
      <w:r w:rsidRPr="0021550A">
        <w:t xml:space="preserve"> are not used in these shorter texts. </w:t>
      </w:r>
    </w:p>
    <w:p w14:paraId="57528E09" w14:textId="561EB670" w:rsidR="006D3E44" w:rsidRPr="0021550A" w:rsidRDefault="006D3E44" w:rsidP="000737CB">
      <w:r w:rsidRPr="0021550A">
        <w:t xml:space="preserve">What we want the clustering algorithm to do is to decide which of the texts use lots of the same spelling variants, and group those similar texts together. In terms of the matrix used as input, the clustering algorithm will group texts together that have similar values across each column, where each column represents a different spelling variant. However, problems arise when lots of texts have mostly zero values across rows, because the texts do not include the word in question. We can see an example of what this looks like </w:t>
      </w:r>
      <w:r w:rsidR="001D14BA">
        <w:t xml:space="preserve">in </w:t>
      </w:r>
      <w:r w:rsidR="00FC68DC">
        <w:t>Table 5.10.</w:t>
      </w:r>
    </w:p>
    <w:p w14:paraId="151FD819" w14:textId="6FE1A769" w:rsidR="006D3E44" w:rsidRPr="0021550A" w:rsidRDefault="00FC68DC" w:rsidP="000737CB">
      <w:r>
        <w:t xml:space="preserve">Table 5.10 </w:t>
      </w:r>
      <w:r w:rsidR="001D14BA" w:rsidRPr="0021550A">
        <w:t xml:space="preserve">shows the ratios in each of the full texts for the words </w:t>
      </w:r>
      <w:r w:rsidR="001D14BA" w:rsidRPr="0021550A">
        <w:rPr>
          <w:smallCaps/>
        </w:rPr>
        <w:t>abandoned</w:t>
      </w:r>
      <w:r w:rsidR="001D14BA" w:rsidRPr="0021550A">
        <w:t xml:space="preserve"> and </w:t>
      </w:r>
      <w:r w:rsidR="001D14BA" w:rsidRPr="0021550A">
        <w:rPr>
          <w:smallCaps/>
        </w:rPr>
        <w:t>abashed</w:t>
      </w:r>
      <w:r w:rsidR="001D14BA" w:rsidRPr="0021550A">
        <w:t xml:space="preserve">. Most of the cells in the matrix have a value of zero, except for the rows for the </w:t>
      </w:r>
      <w:r w:rsidR="001D14BA" w:rsidRPr="0021550A">
        <w:rPr>
          <w:i/>
        </w:rPr>
        <w:t>Golden Legend</w:t>
      </w:r>
      <w:r w:rsidR="001D14BA" w:rsidRPr="0021550A">
        <w:t xml:space="preserve">. For the texts that have zero values for all the spelling variants that map onto a word, then those texts do not use that word at all. For example, none of the spelling variants for </w:t>
      </w:r>
      <w:r w:rsidR="001D14BA" w:rsidRPr="0021550A">
        <w:rPr>
          <w:smallCaps/>
        </w:rPr>
        <w:t>abandoned</w:t>
      </w:r>
      <w:r w:rsidR="001D14BA" w:rsidRPr="0021550A">
        <w:t xml:space="preserve"> is used in the </w:t>
      </w:r>
      <w:r w:rsidR="001D14BA" w:rsidRPr="0021550A">
        <w:rPr>
          <w:i/>
        </w:rPr>
        <w:t>Canterbury Tales</w:t>
      </w:r>
      <w:r w:rsidR="001D14BA" w:rsidRPr="0021550A">
        <w:t xml:space="preserve"> which means that the word </w:t>
      </w:r>
      <w:r w:rsidR="001D14BA" w:rsidRPr="0021550A">
        <w:rPr>
          <w:smallCaps/>
        </w:rPr>
        <w:t>abandoned</w:t>
      </w:r>
      <w:r w:rsidR="001D14BA" w:rsidRPr="0021550A">
        <w:t xml:space="preserve"> is not used in the </w:t>
      </w:r>
      <w:r w:rsidR="001D14BA" w:rsidRPr="0021550A">
        <w:rPr>
          <w:i/>
        </w:rPr>
        <w:t>Canterbury Tales</w:t>
      </w:r>
      <w:r w:rsidR="001D14BA">
        <w:rPr>
          <w:i/>
        </w:rPr>
        <w:t>.</w:t>
      </w:r>
      <w:r w:rsidR="001D14BA" w:rsidRPr="005C54CE">
        <w:rPr>
          <w:rStyle w:val="FootnoteReference"/>
        </w:rPr>
        <w:footnoteReference w:id="14"/>
      </w:r>
      <w:r w:rsidR="001D14BA" w:rsidRPr="0021550A">
        <w:t xml:space="preserve"> The clustering algorithm does not know that zero values across a word for any text means that that word is not in the text; the algorithm only knows that rows with similar values should be grouped together.</w:t>
      </w:r>
    </w:p>
    <w:p w14:paraId="01B1EEFC" w14:textId="77777777" w:rsidR="006D3E44" w:rsidRDefault="006D3E44" w:rsidP="000737CB"/>
    <w:p w14:paraId="12F32144" w14:textId="16D406CB" w:rsidR="00CB32E1" w:rsidRDefault="00CB32E1" w:rsidP="000737CB"/>
    <w:p w14:paraId="156D2292" w14:textId="77777777" w:rsidR="00CB32E1" w:rsidRPr="0021550A" w:rsidRDefault="00CB32E1" w:rsidP="000737CB">
      <w:pPr>
        <w:sectPr w:rsidR="00CB32E1" w:rsidRPr="0021550A" w:rsidSect="00BB5184">
          <w:footerReference w:type="default" r:id="rId56"/>
          <w:pgSz w:w="11900" w:h="16840"/>
          <w:pgMar w:top="1440" w:right="1440" w:bottom="1440" w:left="1440" w:header="720" w:footer="1008" w:gutter="1152"/>
          <w:cols w:space="720"/>
          <w:docGrid w:linePitch="360"/>
        </w:sectPr>
      </w:pPr>
    </w:p>
    <w:p w14:paraId="65DD62E4" w14:textId="56CE3A0D" w:rsidR="00CB32E1" w:rsidRDefault="00CB32E1" w:rsidP="000737CB">
      <w:pPr>
        <w:pStyle w:val="Caption"/>
      </w:pPr>
      <w:bookmarkStart w:id="158" w:name="_Ref490202717"/>
    </w:p>
    <w:p w14:paraId="5388BE9A" w14:textId="77777777" w:rsidR="00A3799B" w:rsidRPr="00A3799B" w:rsidRDefault="00A3799B" w:rsidP="00A3799B"/>
    <w:p w14:paraId="5E05DA85" w14:textId="77777777" w:rsidR="00A3799B" w:rsidRDefault="00A3799B" w:rsidP="00A3799B">
      <w:pPr>
        <w:ind w:firstLine="0"/>
      </w:pPr>
    </w:p>
    <w:tbl>
      <w:tblPr>
        <w:tblStyle w:val="GridTable1Light"/>
        <w:tblW w:w="4929" w:type="pct"/>
        <w:tblLook w:val="04A0" w:firstRow="1" w:lastRow="0" w:firstColumn="1" w:lastColumn="0" w:noHBand="0" w:noVBand="1"/>
      </w:tblPr>
      <w:tblGrid>
        <w:gridCol w:w="2644"/>
        <w:gridCol w:w="1386"/>
        <w:gridCol w:w="1430"/>
        <w:gridCol w:w="1430"/>
        <w:gridCol w:w="1304"/>
        <w:gridCol w:w="1386"/>
        <w:gridCol w:w="1392"/>
        <w:gridCol w:w="1386"/>
        <w:gridCol w:w="1394"/>
      </w:tblGrid>
      <w:tr w:rsidR="00D0045A" w:rsidRPr="0021550A" w14:paraId="321FE7F0" w14:textId="77777777" w:rsidTr="00A3799B">
        <w:trPr>
          <w:cnfStyle w:val="100000000000" w:firstRow="1" w:lastRow="0" w:firstColumn="0" w:lastColumn="0" w:oddVBand="0" w:evenVBand="0" w:oddHBand="0"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961" w:type="pct"/>
            <w:tcBorders>
              <w:bottom w:val="single" w:sz="6" w:space="0" w:color="808080" w:themeColor="background1" w:themeShade="80"/>
            </w:tcBorders>
            <w:noWrap/>
            <w:hideMark/>
          </w:tcPr>
          <w:p w14:paraId="5B699BAE" w14:textId="77777777" w:rsidR="00D0045A" w:rsidRPr="0021550A" w:rsidRDefault="00D0045A" w:rsidP="00A3799B">
            <w:pPr>
              <w:ind w:firstLine="0"/>
              <w:jc w:val="center"/>
            </w:pPr>
          </w:p>
        </w:tc>
        <w:tc>
          <w:tcPr>
            <w:tcW w:w="1544" w:type="pct"/>
            <w:gridSpan w:val="3"/>
            <w:tcBorders>
              <w:bottom w:val="single" w:sz="6" w:space="0" w:color="808080" w:themeColor="background1" w:themeShade="80"/>
            </w:tcBorders>
            <w:noWrap/>
            <w:hideMark/>
          </w:tcPr>
          <w:p w14:paraId="7D865213" w14:textId="77777777" w:rsidR="00D0045A" w:rsidRPr="0021550A" w:rsidRDefault="00D0045A" w:rsidP="00A3799B">
            <w:pPr>
              <w:ind w:firstLine="0"/>
              <w:jc w:val="center"/>
              <w:cnfStyle w:val="100000000000" w:firstRow="1" w:lastRow="0" w:firstColumn="0" w:lastColumn="0" w:oddVBand="0" w:evenVBand="0" w:oddHBand="0" w:evenHBand="0" w:firstRowFirstColumn="0" w:firstRowLastColumn="0" w:lastRowFirstColumn="0" w:lastRowLastColumn="0"/>
            </w:pPr>
            <w:r w:rsidRPr="0021550A">
              <w:t>abandoned</w:t>
            </w:r>
          </w:p>
        </w:tc>
        <w:tc>
          <w:tcPr>
            <w:tcW w:w="2495" w:type="pct"/>
            <w:gridSpan w:val="5"/>
            <w:tcBorders>
              <w:bottom w:val="single" w:sz="6" w:space="0" w:color="808080" w:themeColor="background1" w:themeShade="80"/>
            </w:tcBorders>
          </w:tcPr>
          <w:p w14:paraId="2507AA60" w14:textId="77777777" w:rsidR="00D0045A" w:rsidRPr="0021550A" w:rsidRDefault="00D0045A" w:rsidP="00A3799B">
            <w:pPr>
              <w:ind w:firstLine="0"/>
              <w:jc w:val="center"/>
              <w:cnfStyle w:val="100000000000" w:firstRow="1" w:lastRow="0" w:firstColumn="0" w:lastColumn="0" w:oddVBand="0" w:evenVBand="0" w:oddHBand="0" w:evenHBand="0" w:firstRowFirstColumn="0" w:firstRowLastColumn="0" w:lastRowFirstColumn="0" w:lastRowLastColumn="0"/>
            </w:pPr>
            <w:r w:rsidRPr="0021550A">
              <w:t>abashed</w:t>
            </w:r>
          </w:p>
        </w:tc>
      </w:tr>
      <w:tr w:rsidR="00D0045A" w:rsidRPr="0021550A" w14:paraId="4B38C707" w14:textId="77777777" w:rsidTr="00A3799B">
        <w:trPr>
          <w:trHeight w:val="407"/>
        </w:trPr>
        <w:tc>
          <w:tcPr>
            <w:cnfStyle w:val="001000000000" w:firstRow="0" w:lastRow="0" w:firstColumn="1" w:lastColumn="0" w:oddVBand="0" w:evenVBand="0" w:oddHBand="0" w:evenHBand="0" w:firstRowFirstColumn="0" w:firstRowLastColumn="0" w:lastRowFirstColumn="0" w:lastRowLastColumn="0"/>
            <w:tcW w:w="961" w:type="pct"/>
            <w:tcBorders>
              <w:top w:val="single" w:sz="6" w:space="0" w:color="808080" w:themeColor="background1" w:themeShade="80"/>
              <w:bottom w:val="single" w:sz="12" w:space="0" w:color="808080" w:themeColor="background1" w:themeShade="80"/>
            </w:tcBorders>
            <w:noWrap/>
          </w:tcPr>
          <w:p w14:paraId="0D11AB79" w14:textId="77777777" w:rsidR="00D0045A" w:rsidRPr="0021550A" w:rsidRDefault="00D0045A" w:rsidP="00A3799B">
            <w:pPr>
              <w:ind w:firstLine="0"/>
              <w:jc w:val="center"/>
            </w:pPr>
          </w:p>
        </w:tc>
        <w:tc>
          <w:tcPr>
            <w:tcW w:w="504" w:type="pct"/>
            <w:tcBorders>
              <w:top w:val="single" w:sz="6" w:space="0" w:color="808080" w:themeColor="background1" w:themeShade="80"/>
              <w:bottom w:val="single" w:sz="12" w:space="0" w:color="808080" w:themeColor="background1" w:themeShade="80"/>
            </w:tcBorders>
            <w:noWrap/>
          </w:tcPr>
          <w:p w14:paraId="79EBE6CB" w14:textId="77777777" w:rsidR="00D0045A" w:rsidRPr="00BE6145" w:rsidRDefault="00D0045A" w:rsidP="00A3799B">
            <w:pPr>
              <w:ind w:firstLine="0"/>
              <w:jc w:val="center"/>
              <w:cnfStyle w:val="000000000000" w:firstRow="0" w:lastRow="0" w:firstColumn="0" w:lastColumn="0" w:oddVBand="0" w:evenVBand="0" w:oddHBand="0" w:evenHBand="0" w:firstRowFirstColumn="0" w:firstRowLastColumn="0" w:lastRowFirstColumn="0" w:lastRowLastColumn="0"/>
              <w:rPr>
                <w:i/>
              </w:rPr>
            </w:pPr>
            <w:r w:rsidRPr="00BE6145">
              <w:rPr>
                <w:i/>
              </w:rPr>
              <w:t>abandoned</w:t>
            </w:r>
          </w:p>
        </w:tc>
        <w:tc>
          <w:tcPr>
            <w:tcW w:w="520" w:type="pct"/>
            <w:tcBorders>
              <w:top w:val="single" w:sz="6" w:space="0" w:color="808080" w:themeColor="background1" w:themeShade="80"/>
              <w:bottom w:val="single" w:sz="12" w:space="0" w:color="808080" w:themeColor="background1" w:themeShade="80"/>
            </w:tcBorders>
            <w:noWrap/>
          </w:tcPr>
          <w:p w14:paraId="6A01EF88" w14:textId="77777777" w:rsidR="00D0045A" w:rsidRPr="00BE6145" w:rsidRDefault="00D0045A" w:rsidP="00A3799B">
            <w:pPr>
              <w:ind w:firstLine="0"/>
              <w:jc w:val="center"/>
              <w:cnfStyle w:val="000000000000" w:firstRow="0" w:lastRow="0" w:firstColumn="0" w:lastColumn="0" w:oddVBand="0" w:evenVBand="0" w:oddHBand="0" w:evenHBand="0" w:firstRowFirstColumn="0" w:firstRowLastColumn="0" w:lastRowFirstColumn="0" w:lastRowLastColumn="0"/>
              <w:rPr>
                <w:i/>
              </w:rPr>
            </w:pPr>
            <w:r w:rsidRPr="00BE6145">
              <w:rPr>
                <w:i/>
              </w:rPr>
              <w:t>abandonned</w:t>
            </w:r>
          </w:p>
        </w:tc>
        <w:tc>
          <w:tcPr>
            <w:tcW w:w="520" w:type="pct"/>
            <w:tcBorders>
              <w:top w:val="single" w:sz="6" w:space="0" w:color="808080" w:themeColor="background1" w:themeShade="80"/>
              <w:bottom w:val="single" w:sz="12" w:space="0" w:color="808080" w:themeColor="background1" w:themeShade="80"/>
            </w:tcBorders>
            <w:noWrap/>
          </w:tcPr>
          <w:p w14:paraId="674F22EC" w14:textId="77777777" w:rsidR="00D0045A" w:rsidRPr="00BE6145" w:rsidRDefault="00D0045A" w:rsidP="00A3799B">
            <w:pPr>
              <w:ind w:firstLine="0"/>
              <w:jc w:val="center"/>
              <w:cnfStyle w:val="000000000000" w:firstRow="0" w:lastRow="0" w:firstColumn="0" w:lastColumn="0" w:oddVBand="0" w:evenVBand="0" w:oddHBand="0" w:evenHBand="0" w:firstRowFirstColumn="0" w:firstRowLastColumn="0" w:lastRowFirstColumn="0" w:lastRowLastColumn="0"/>
              <w:rPr>
                <w:i/>
              </w:rPr>
            </w:pPr>
            <w:r w:rsidRPr="00BE6145">
              <w:rPr>
                <w:i/>
              </w:rPr>
              <w:t>abandouned</w:t>
            </w:r>
          </w:p>
        </w:tc>
        <w:tc>
          <w:tcPr>
            <w:tcW w:w="474" w:type="pct"/>
            <w:tcBorders>
              <w:top w:val="single" w:sz="6" w:space="0" w:color="808080" w:themeColor="background1" w:themeShade="80"/>
              <w:bottom w:val="single" w:sz="12" w:space="0" w:color="808080" w:themeColor="background1" w:themeShade="80"/>
            </w:tcBorders>
          </w:tcPr>
          <w:p w14:paraId="61FBB4DD" w14:textId="77777777" w:rsidR="00D0045A" w:rsidRPr="00BE6145" w:rsidRDefault="00D0045A" w:rsidP="00A3799B">
            <w:pPr>
              <w:ind w:firstLine="0"/>
              <w:jc w:val="center"/>
              <w:cnfStyle w:val="000000000000" w:firstRow="0" w:lastRow="0" w:firstColumn="0" w:lastColumn="0" w:oddVBand="0" w:evenVBand="0" w:oddHBand="0" w:evenHBand="0" w:firstRowFirstColumn="0" w:firstRowLastColumn="0" w:lastRowFirstColumn="0" w:lastRowLastColumn="0"/>
              <w:rPr>
                <w:i/>
              </w:rPr>
            </w:pPr>
            <w:r w:rsidRPr="00BE6145">
              <w:rPr>
                <w:i/>
              </w:rPr>
              <w:t>abasshed</w:t>
            </w:r>
          </w:p>
        </w:tc>
        <w:tc>
          <w:tcPr>
            <w:tcW w:w="504" w:type="pct"/>
            <w:tcBorders>
              <w:top w:val="single" w:sz="6" w:space="0" w:color="808080" w:themeColor="background1" w:themeShade="80"/>
              <w:bottom w:val="single" w:sz="12" w:space="0" w:color="808080" w:themeColor="background1" w:themeShade="80"/>
            </w:tcBorders>
            <w:noWrap/>
          </w:tcPr>
          <w:p w14:paraId="1056692A" w14:textId="77777777" w:rsidR="00D0045A" w:rsidRPr="00BE6145" w:rsidRDefault="00D0045A" w:rsidP="00A3799B">
            <w:pPr>
              <w:ind w:firstLine="0"/>
              <w:jc w:val="center"/>
              <w:cnfStyle w:val="000000000000" w:firstRow="0" w:lastRow="0" w:firstColumn="0" w:lastColumn="0" w:oddVBand="0" w:evenVBand="0" w:oddHBand="0" w:evenHBand="0" w:firstRowFirstColumn="0" w:firstRowLastColumn="0" w:lastRowFirstColumn="0" w:lastRowLastColumn="0"/>
              <w:rPr>
                <w:i/>
              </w:rPr>
            </w:pPr>
            <w:r w:rsidRPr="00BE6145">
              <w:rPr>
                <w:i/>
              </w:rPr>
              <w:t>abasshede</w:t>
            </w:r>
          </w:p>
        </w:tc>
        <w:tc>
          <w:tcPr>
            <w:tcW w:w="506" w:type="pct"/>
            <w:tcBorders>
              <w:top w:val="single" w:sz="6" w:space="0" w:color="808080" w:themeColor="background1" w:themeShade="80"/>
              <w:bottom w:val="single" w:sz="12" w:space="0" w:color="808080" w:themeColor="background1" w:themeShade="80"/>
            </w:tcBorders>
            <w:noWrap/>
          </w:tcPr>
          <w:p w14:paraId="5E0D32CB" w14:textId="77777777" w:rsidR="00D0045A" w:rsidRPr="00BE6145" w:rsidRDefault="00D0045A" w:rsidP="00A3799B">
            <w:pPr>
              <w:ind w:firstLine="0"/>
              <w:jc w:val="center"/>
              <w:cnfStyle w:val="000000000000" w:firstRow="0" w:lastRow="0" w:firstColumn="0" w:lastColumn="0" w:oddVBand="0" w:evenVBand="0" w:oddHBand="0" w:evenHBand="0" w:firstRowFirstColumn="0" w:firstRowLastColumn="0" w:lastRowFirstColumn="0" w:lastRowLastColumn="0"/>
              <w:rPr>
                <w:i/>
              </w:rPr>
            </w:pPr>
            <w:r w:rsidRPr="00BE6145">
              <w:rPr>
                <w:i/>
              </w:rPr>
              <w:t>abasshid</w:t>
            </w:r>
          </w:p>
        </w:tc>
        <w:tc>
          <w:tcPr>
            <w:tcW w:w="504" w:type="pct"/>
            <w:tcBorders>
              <w:top w:val="single" w:sz="6" w:space="0" w:color="808080" w:themeColor="background1" w:themeShade="80"/>
              <w:bottom w:val="single" w:sz="12" w:space="0" w:color="808080" w:themeColor="background1" w:themeShade="80"/>
            </w:tcBorders>
            <w:noWrap/>
          </w:tcPr>
          <w:p w14:paraId="3B627AFA" w14:textId="77777777" w:rsidR="00D0045A" w:rsidRPr="00BE6145" w:rsidRDefault="00D0045A" w:rsidP="00A3799B">
            <w:pPr>
              <w:ind w:firstLine="0"/>
              <w:jc w:val="center"/>
              <w:cnfStyle w:val="000000000000" w:firstRow="0" w:lastRow="0" w:firstColumn="0" w:lastColumn="0" w:oddVBand="0" w:evenVBand="0" w:oddHBand="0" w:evenHBand="0" w:firstRowFirstColumn="0" w:firstRowLastColumn="0" w:lastRowFirstColumn="0" w:lastRowLastColumn="0"/>
              <w:rPr>
                <w:i/>
              </w:rPr>
            </w:pPr>
            <w:r w:rsidRPr="00BE6145">
              <w:rPr>
                <w:i/>
              </w:rPr>
              <w:t>abasshyd</w:t>
            </w:r>
          </w:p>
        </w:tc>
        <w:tc>
          <w:tcPr>
            <w:tcW w:w="507" w:type="pct"/>
            <w:tcBorders>
              <w:top w:val="single" w:sz="6" w:space="0" w:color="808080" w:themeColor="background1" w:themeShade="80"/>
              <w:bottom w:val="single" w:sz="12" w:space="0" w:color="808080" w:themeColor="background1" w:themeShade="80"/>
            </w:tcBorders>
            <w:noWrap/>
          </w:tcPr>
          <w:p w14:paraId="4C148B82" w14:textId="77777777" w:rsidR="00D0045A" w:rsidRPr="00BE6145" w:rsidRDefault="00D0045A" w:rsidP="00A3799B">
            <w:pPr>
              <w:ind w:firstLine="0"/>
              <w:jc w:val="center"/>
              <w:cnfStyle w:val="000000000000" w:firstRow="0" w:lastRow="0" w:firstColumn="0" w:lastColumn="0" w:oddVBand="0" w:evenVBand="0" w:oddHBand="0" w:evenHBand="0" w:firstRowFirstColumn="0" w:firstRowLastColumn="0" w:lastRowFirstColumn="0" w:lastRowLastColumn="0"/>
              <w:rPr>
                <w:i/>
              </w:rPr>
            </w:pPr>
            <w:r w:rsidRPr="00BE6145">
              <w:rPr>
                <w:i/>
              </w:rPr>
              <w:t>abesshed</w:t>
            </w:r>
          </w:p>
        </w:tc>
      </w:tr>
      <w:tr w:rsidR="00D0045A" w:rsidRPr="0021550A" w14:paraId="0DE5BA55" w14:textId="77777777" w:rsidTr="00A3799B">
        <w:trPr>
          <w:trHeight w:val="425"/>
        </w:trPr>
        <w:tc>
          <w:tcPr>
            <w:cnfStyle w:val="001000000000" w:firstRow="0" w:lastRow="0" w:firstColumn="1" w:lastColumn="0" w:oddVBand="0" w:evenVBand="0" w:oddHBand="0" w:evenHBand="0" w:firstRowFirstColumn="0" w:firstRowLastColumn="0" w:lastRowFirstColumn="0" w:lastRowLastColumn="0"/>
            <w:tcW w:w="961" w:type="pct"/>
            <w:tcBorders>
              <w:top w:val="single" w:sz="12" w:space="0" w:color="808080" w:themeColor="background1" w:themeShade="80"/>
            </w:tcBorders>
            <w:noWrap/>
            <w:hideMark/>
          </w:tcPr>
          <w:p w14:paraId="5C383859" w14:textId="77777777" w:rsidR="00D0045A" w:rsidRPr="00D0045A" w:rsidRDefault="00D0045A" w:rsidP="00A3799B">
            <w:pPr>
              <w:ind w:firstLine="0"/>
              <w:jc w:val="center"/>
              <w:rPr>
                <w:b w:val="0"/>
              </w:rPr>
            </w:pPr>
            <w:r w:rsidRPr="00D0045A">
              <w:rPr>
                <w:b w:val="0"/>
              </w:rPr>
              <w:t>Boethius</w:t>
            </w:r>
          </w:p>
        </w:tc>
        <w:tc>
          <w:tcPr>
            <w:tcW w:w="504" w:type="pct"/>
            <w:tcBorders>
              <w:top w:val="single" w:sz="12" w:space="0" w:color="808080" w:themeColor="background1" w:themeShade="80"/>
            </w:tcBorders>
            <w:noWrap/>
            <w:hideMark/>
          </w:tcPr>
          <w:p w14:paraId="73D6A23E" w14:textId="77777777" w:rsidR="00D0045A" w:rsidRPr="0021550A" w:rsidRDefault="00D0045A" w:rsidP="00A3799B">
            <w:pPr>
              <w:ind w:firstLine="0"/>
              <w:jc w:val="center"/>
              <w:cnfStyle w:val="000000000000" w:firstRow="0" w:lastRow="0" w:firstColumn="0" w:lastColumn="0" w:oddVBand="0" w:evenVBand="0" w:oddHBand="0" w:evenHBand="0" w:firstRowFirstColumn="0" w:firstRowLastColumn="0" w:lastRowFirstColumn="0" w:lastRowLastColumn="0"/>
            </w:pPr>
            <w:r w:rsidRPr="0021550A">
              <w:t>0</w:t>
            </w:r>
          </w:p>
        </w:tc>
        <w:tc>
          <w:tcPr>
            <w:tcW w:w="520" w:type="pct"/>
            <w:tcBorders>
              <w:top w:val="single" w:sz="12" w:space="0" w:color="808080" w:themeColor="background1" w:themeShade="80"/>
            </w:tcBorders>
            <w:noWrap/>
            <w:hideMark/>
          </w:tcPr>
          <w:p w14:paraId="0C1B24A8" w14:textId="77777777" w:rsidR="00D0045A" w:rsidRPr="0021550A" w:rsidRDefault="00D0045A" w:rsidP="00A3799B">
            <w:pPr>
              <w:ind w:firstLine="0"/>
              <w:jc w:val="center"/>
              <w:cnfStyle w:val="000000000000" w:firstRow="0" w:lastRow="0" w:firstColumn="0" w:lastColumn="0" w:oddVBand="0" w:evenVBand="0" w:oddHBand="0" w:evenHBand="0" w:firstRowFirstColumn="0" w:firstRowLastColumn="0" w:lastRowFirstColumn="0" w:lastRowLastColumn="0"/>
            </w:pPr>
            <w:r w:rsidRPr="0021550A">
              <w:t>0</w:t>
            </w:r>
          </w:p>
        </w:tc>
        <w:tc>
          <w:tcPr>
            <w:tcW w:w="520" w:type="pct"/>
            <w:tcBorders>
              <w:top w:val="single" w:sz="12" w:space="0" w:color="808080" w:themeColor="background1" w:themeShade="80"/>
            </w:tcBorders>
            <w:noWrap/>
            <w:hideMark/>
          </w:tcPr>
          <w:p w14:paraId="0859E586" w14:textId="77777777" w:rsidR="00D0045A" w:rsidRPr="0021550A" w:rsidRDefault="00D0045A" w:rsidP="00A3799B">
            <w:pPr>
              <w:ind w:firstLine="0"/>
              <w:jc w:val="center"/>
              <w:cnfStyle w:val="000000000000" w:firstRow="0" w:lastRow="0" w:firstColumn="0" w:lastColumn="0" w:oddVBand="0" w:evenVBand="0" w:oddHBand="0" w:evenHBand="0" w:firstRowFirstColumn="0" w:firstRowLastColumn="0" w:lastRowFirstColumn="0" w:lastRowLastColumn="0"/>
            </w:pPr>
            <w:r w:rsidRPr="0021550A">
              <w:t>0</w:t>
            </w:r>
          </w:p>
        </w:tc>
        <w:tc>
          <w:tcPr>
            <w:tcW w:w="474" w:type="pct"/>
            <w:tcBorders>
              <w:top w:val="single" w:sz="12" w:space="0" w:color="808080" w:themeColor="background1" w:themeShade="80"/>
            </w:tcBorders>
          </w:tcPr>
          <w:p w14:paraId="7BC70AC3" w14:textId="77777777" w:rsidR="00D0045A" w:rsidRPr="0021550A" w:rsidRDefault="00D0045A" w:rsidP="00A3799B">
            <w:pPr>
              <w:ind w:firstLine="0"/>
              <w:jc w:val="center"/>
              <w:cnfStyle w:val="000000000000" w:firstRow="0" w:lastRow="0" w:firstColumn="0" w:lastColumn="0" w:oddVBand="0" w:evenVBand="0" w:oddHBand="0" w:evenHBand="0" w:firstRowFirstColumn="0" w:firstRowLastColumn="0" w:lastRowFirstColumn="0" w:lastRowLastColumn="0"/>
            </w:pPr>
            <w:r w:rsidRPr="0021550A">
              <w:t>0</w:t>
            </w:r>
          </w:p>
        </w:tc>
        <w:tc>
          <w:tcPr>
            <w:tcW w:w="504" w:type="pct"/>
            <w:tcBorders>
              <w:top w:val="single" w:sz="12" w:space="0" w:color="808080" w:themeColor="background1" w:themeShade="80"/>
            </w:tcBorders>
            <w:noWrap/>
            <w:hideMark/>
          </w:tcPr>
          <w:p w14:paraId="1DF4C6D0" w14:textId="77777777" w:rsidR="00D0045A" w:rsidRPr="0021550A" w:rsidRDefault="00D0045A" w:rsidP="00A3799B">
            <w:pPr>
              <w:ind w:firstLine="0"/>
              <w:jc w:val="center"/>
              <w:cnfStyle w:val="000000000000" w:firstRow="0" w:lastRow="0" w:firstColumn="0" w:lastColumn="0" w:oddVBand="0" w:evenVBand="0" w:oddHBand="0" w:evenHBand="0" w:firstRowFirstColumn="0" w:firstRowLastColumn="0" w:lastRowFirstColumn="0" w:lastRowLastColumn="0"/>
            </w:pPr>
            <w:r w:rsidRPr="0021550A">
              <w:t>0</w:t>
            </w:r>
          </w:p>
        </w:tc>
        <w:tc>
          <w:tcPr>
            <w:tcW w:w="506" w:type="pct"/>
            <w:tcBorders>
              <w:top w:val="single" w:sz="12" w:space="0" w:color="808080" w:themeColor="background1" w:themeShade="80"/>
            </w:tcBorders>
            <w:noWrap/>
            <w:hideMark/>
          </w:tcPr>
          <w:p w14:paraId="527BE9A9" w14:textId="77777777" w:rsidR="00D0045A" w:rsidRPr="0021550A" w:rsidRDefault="00D0045A" w:rsidP="00A3799B">
            <w:pPr>
              <w:ind w:firstLine="0"/>
              <w:jc w:val="center"/>
              <w:cnfStyle w:val="000000000000" w:firstRow="0" w:lastRow="0" w:firstColumn="0" w:lastColumn="0" w:oddVBand="0" w:evenVBand="0" w:oddHBand="0" w:evenHBand="0" w:firstRowFirstColumn="0" w:firstRowLastColumn="0" w:lastRowFirstColumn="0" w:lastRowLastColumn="0"/>
            </w:pPr>
            <w:r w:rsidRPr="0021550A">
              <w:t>0</w:t>
            </w:r>
          </w:p>
        </w:tc>
        <w:tc>
          <w:tcPr>
            <w:tcW w:w="504" w:type="pct"/>
            <w:tcBorders>
              <w:top w:val="single" w:sz="12" w:space="0" w:color="808080" w:themeColor="background1" w:themeShade="80"/>
            </w:tcBorders>
            <w:noWrap/>
            <w:hideMark/>
          </w:tcPr>
          <w:p w14:paraId="76BFD8E6" w14:textId="77777777" w:rsidR="00D0045A" w:rsidRPr="0021550A" w:rsidRDefault="00D0045A" w:rsidP="00A3799B">
            <w:pPr>
              <w:ind w:firstLine="0"/>
              <w:jc w:val="center"/>
              <w:cnfStyle w:val="000000000000" w:firstRow="0" w:lastRow="0" w:firstColumn="0" w:lastColumn="0" w:oddVBand="0" w:evenVBand="0" w:oddHBand="0" w:evenHBand="0" w:firstRowFirstColumn="0" w:firstRowLastColumn="0" w:lastRowFirstColumn="0" w:lastRowLastColumn="0"/>
            </w:pPr>
            <w:r w:rsidRPr="0021550A">
              <w:t>0</w:t>
            </w:r>
          </w:p>
        </w:tc>
        <w:tc>
          <w:tcPr>
            <w:tcW w:w="507" w:type="pct"/>
            <w:tcBorders>
              <w:top w:val="single" w:sz="12" w:space="0" w:color="808080" w:themeColor="background1" w:themeShade="80"/>
            </w:tcBorders>
            <w:noWrap/>
            <w:hideMark/>
          </w:tcPr>
          <w:p w14:paraId="38F0EDF6" w14:textId="77777777" w:rsidR="00D0045A" w:rsidRPr="0021550A" w:rsidRDefault="00D0045A" w:rsidP="00A3799B">
            <w:pPr>
              <w:ind w:firstLine="0"/>
              <w:jc w:val="center"/>
              <w:cnfStyle w:val="000000000000" w:firstRow="0" w:lastRow="0" w:firstColumn="0" w:lastColumn="0" w:oddVBand="0" w:evenVBand="0" w:oddHBand="0" w:evenHBand="0" w:firstRowFirstColumn="0" w:firstRowLastColumn="0" w:lastRowFirstColumn="0" w:lastRowLastColumn="0"/>
            </w:pPr>
            <w:r w:rsidRPr="0021550A">
              <w:t>0</w:t>
            </w:r>
          </w:p>
        </w:tc>
      </w:tr>
      <w:tr w:rsidR="00D0045A" w:rsidRPr="0021550A" w14:paraId="59B18D94" w14:textId="77777777" w:rsidTr="00A3799B">
        <w:trPr>
          <w:trHeight w:val="407"/>
        </w:trPr>
        <w:tc>
          <w:tcPr>
            <w:cnfStyle w:val="001000000000" w:firstRow="0" w:lastRow="0" w:firstColumn="1" w:lastColumn="0" w:oddVBand="0" w:evenVBand="0" w:oddHBand="0" w:evenHBand="0" w:firstRowFirstColumn="0" w:firstRowLastColumn="0" w:lastRowFirstColumn="0" w:lastRowLastColumn="0"/>
            <w:tcW w:w="961" w:type="pct"/>
            <w:noWrap/>
            <w:hideMark/>
          </w:tcPr>
          <w:p w14:paraId="4129F8B0" w14:textId="77777777" w:rsidR="00D0045A" w:rsidRPr="00D0045A" w:rsidRDefault="00D0045A" w:rsidP="00A3799B">
            <w:pPr>
              <w:ind w:firstLine="0"/>
              <w:jc w:val="center"/>
              <w:rPr>
                <w:b w:val="0"/>
              </w:rPr>
            </w:pPr>
            <w:r w:rsidRPr="00D0045A">
              <w:rPr>
                <w:b w:val="0"/>
              </w:rPr>
              <w:t>Chronicles of England</w:t>
            </w:r>
          </w:p>
        </w:tc>
        <w:tc>
          <w:tcPr>
            <w:tcW w:w="504" w:type="pct"/>
            <w:noWrap/>
            <w:hideMark/>
          </w:tcPr>
          <w:p w14:paraId="02365F6B" w14:textId="77777777" w:rsidR="00D0045A" w:rsidRPr="0021550A" w:rsidRDefault="00D0045A" w:rsidP="00A3799B">
            <w:pPr>
              <w:ind w:firstLine="0"/>
              <w:jc w:val="center"/>
              <w:cnfStyle w:val="000000000000" w:firstRow="0" w:lastRow="0" w:firstColumn="0" w:lastColumn="0" w:oddVBand="0" w:evenVBand="0" w:oddHBand="0" w:evenHBand="0" w:firstRowFirstColumn="0" w:firstRowLastColumn="0" w:lastRowFirstColumn="0" w:lastRowLastColumn="0"/>
            </w:pPr>
            <w:r w:rsidRPr="0021550A">
              <w:t>0</w:t>
            </w:r>
          </w:p>
        </w:tc>
        <w:tc>
          <w:tcPr>
            <w:tcW w:w="520" w:type="pct"/>
            <w:noWrap/>
            <w:hideMark/>
          </w:tcPr>
          <w:p w14:paraId="7AF7396D" w14:textId="77777777" w:rsidR="00D0045A" w:rsidRPr="0021550A" w:rsidRDefault="00D0045A" w:rsidP="00A3799B">
            <w:pPr>
              <w:ind w:firstLine="0"/>
              <w:jc w:val="center"/>
              <w:cnfStyle w:val="000000000000" w:firstRow="0" w:lastRow="0" w:firstColumn="0" w:lastColumn="0" w:oddVBand="0" w:evenVBand="0" w:oddHBand="0" w:evenHBand="0" w:firstRowFirstColumn="0" w:firstRowLastColumn="0" w:lastRowFirstColumn="0" w:lastRowLastColumn="0"/>
            </w:pPr>
            <w:r w:rsidRPr="0021550A">
              <w:t>0</w:t>
            </w:r>
          </w:p>
        </w:tc>
        <w:tc>
          <w:tcPr>
            <w:tcW w:w="520" w:type="pct"/>
            <w:noWrap/>
            <w:hideMark/>
          </w:tcPr>
          <w:p w14:paraId="7962F538" w14:textId="77777777" w:rsidR="00D0045A" w:rsidRPr="0021550A" w:rsidRDefault="00D0045A" w:rsidP="00A3799B">
            <w:pPr>
              <w:ind w:firstLine="0"/>
              <w:jc w:val="center"/>
              <w:cnfStyle w:val="000000000000" w:firstRow="0" w:lastRow="0" w:firstColumn="0" w:lastColumn="0" w:oddVBand="0" w:evenVBand="0" w:oddHBand="0" w:evenHBand="0" w:firstRowFirstColumn="0" w:firstRowLastColumn="0" w:lastRowFirstColumn="0" w:lastRowLastColumn="0"/>
            </w:pPr>
            <w:r w:rsidRPr="0021550A">
              <w:t>0</w:t>
            </w:r>
          </w:p>
        </w:tc>
        <w:tc>
          <w:tcPr>
            <w:tcW w:w="474" w:type="pct"/>
          </w:tcPr>
          <w:p w14:paraId="64666864" w14:textId="77777777" w:rsidR="00D0045A" w:rsidRPr="0021550A" w:rsidRDefault="00D0045A" w:rsidP="00A3799B">
            <w:pPr>
              <w:ind w:firstLine="0"/>
              <w:jc w:val="center"/>
              <w:cnfStyle w:val="000000000000" w:firstRow="0" w:lastRow="0" w:firstColumn="0" w:lastColumn="0" w:oddVBand="0" w:evenVBand="0" w:oddHBand="0" w:evenHBand="0" w:firstRowFirstColumn="0" w:firstRowLastColumn="0" w:lastRowFirstColumn="0" w:lastRowLastColumn="0"/>
            </w:pPr>
            <w:r w:rsidRPr="0021550A">
              <w:t>0</w:t>
            </w:r>
          </w:p>
        </w:tc>
        <w:tc>
          <w:tcPr>
            <w:tcW w:w="504" w:type="pct"/>
            <w:noWrap/>
            <w:hideMark/>
          </w:tcPr>
          <w:p w14:paraId="47BFB8B1" w14:textId="77777777" w:rsidR="00D0045A" w:rsidRPr="0021550A" w:rsidRDefault="00D0045A" w:rsidP="00A3799B">
            <w:pPr>
              <w:ind w:firstLine="0"/>
              <w:jc w:val="center"/>
              <w:cnfStyle w:val="000000000000" w:firstRow="0" w:lastRow="0" w:firstColumn="0" w:lastColumn="0" w:oddVBand="0" w:evenVBand="0" w:oddHBand="0" w:evenHBand="0" w:firstRowFirstColumn="0" w:firstRowLastColumn="0" w:lastRowFirstColumn="0" w:lastRowLastColumn="0"/>
            </w:pPr>
            <w:r w:rsidRPr="0021550A">
              <w:t>0</w:t>
            </w:r>
          </w:p>
        </w:tc>
        <w:tc>
          <w:tcPr>
            <w:tcW w:w="506" w:type="pct"/>
            <w:noWrap/>
            <w:hideMark/>
          </w:tcPr>
          <w:p w14:paraId="211D3B84" w14:textId="77777777" w:rsidR="00D0045A" w:rsidRPr="0021550A" w:rsidRDefault="00D0045A" w:rsidP="00A3799B">
            <w:pPr>
              <w:ind w:firstLine="0"/>
              <w:jc w:val="center"/>
              <w:cnfStyle w:val="000000000000" w:firstRow="0" w:lastRow="0" w:firstColumn="0" w:lastColumn="0" w:oddVBand="0" w:evenVBand="0" w:oddHBand="0" w:evenHBand="0" w:firstRowFirstColumn="0" w:firstRowLastColumn="0" w:lastRowFirstColumn="0" w:lastRowLastColumn="0"/>
            </w:pPr>
            <w:r w:rsidRPr="0021550A">
              <w:t>0</w:t>
            </w:r>
          </w:p>
        </w:tc>
        <w:tc>
          <w:tcPr>
            <w:tcW w:w="504" w:type="pct"/>
            <w:noWrap/>
            <w:hideMark/>
          </w:tcPr>
          <w:p w14:paraId="7980E8ED" w14:textId="77777777" w:rsidR="00D0045A" w:rsidRPr="0021550A" w:rsidRDefault="00D0045A" w:rsidP="00A3799B">
            <w:pPr>
              <w:ind w:firstLine="0"/>
              <w:jc w:val="center"/>
              <w:cnfStyle w:val="000000000000" w:firstRow="0" w:lastRow="0" w:firstColumn="0" w:lastColumn="0" w:oddVBand="0" w:evenVBand="0" w:oddHBand="0" w:evenHBand="0" w:firstRowFirstColumn="0" w:firstRowLastColumn="0" w:lastRowFirstColumn="0" w:lastRowLastColumn="0"/>
            </w:pPr>
            <w:r w:rsidRPr="0021550A">
              <w:t>0</w:t>
            </w:r>
          </w:p>
        </w:tc>
        <w:tc>
          <w:tcPr>
            <w:tcW w:w="507" w:type="pct"/>
            <w:noWrap/>
            <w:hideMark/>
          </w:tcPr>
          <w:p w14:paraId="6174D238" w14:textId="77777777" w:rsidR="00D0045A" w:rsidRPr="0021550A" w:rsidRDefault="00D0045A" w:rsidP="00A3799B">
            <w:pPr>
              <w:ind w:firstLine="0"/>
              <w:jc w:val="center"/>
              <w:cnfStyle w:val="000000000000" w:firstRow="0" w:lastRow="0" w:firstColumn="0" w:lastColumn="0" w:oddVBand="0" w:evenVBand="0" w:oddHBand="0" w:evenHBand="0" w:firstRowFirstColumn="0" w:firstRowLastColumn="0" w:lastRowFirstColumn="0" w:lastRowLastColumn="0"/>
            </w:pPr>
            <w:r w:rsidRPr="0021550A">
              <w:t>0</w:t>
            </w:r>
          </w:p>
        </w:tc>
      </w:tr>
      <w:tr w:rsidR="00D0045A" w:rsidRPr="0021550A" w14:paraId="2611CB8F" w14:textId="77777777" w:rsidTr="00A3799B">
        <w:trPr>
          <w:trHeight w:val="407"/>
        </w:trPr>
        <w:tc>
          <w:tcPr>
            <w:cnfStyle w:val="001000000000" w:firstRow="0" w:lastRow="0" w:firstColumn="1" w:lastColumn="0" w:oddVBand="0" w:evenVBand="0" w:oddHBand="0" w:evenHBand="0" w:firstRowFirstColumn="0" w:firstRowLastColumn="0" w:lastRowFirstColumn="0" w:lastRowLastColumn="0"/>
            <w:tcW w:w="961" w:type="pct"/>
            <w:noWrap/>
            <w:hideMark/>
          </w:tcPr>
          <w:p w14:paraId="0B913B70" w14:textId="77777777" w:rsidR="00D0045A" w:rsidRPr="00D0045A" w:rsidRDefault="00D0045A" w:rsidP="00A3799B">
            <w:pPr>
              <w:ind w:firstLine="0"/>
              <w:jc w:val="center"/>
              <w:rPr>
                <w:b w:val="0"/>
              </w:rPr>
            </w:pPr>
            <w:r w:rsidRPr="00D0045A">
              <w:rPr>
                <w:b w:val="0"/>
              </w:rPr>
              <w:t>Description of Britain</w:t>
            </w:r>
          </w:p>
        </w:tc>
        <w:tc>
          <w:tcPr>
            <w:tcW w:w="504" w:type="pct"/>
            <w:noWrap/>
            <w:hideMark/>
          </w:tcPr>
          <w:p w14:paraId="5DA1F4E7" w14:textId="77777777" w:rsidR="00D0045A" w:rsidRPr="0021550A" w:rsidRDefault="00D0045A" w:rsidP="00A3799B">
            <w:pPr>
              <w:ind w:firstLine="0"/>
              <w:jc w:val="center"/>
              <w:cnfStyle w:val="000000000000" w:firstRow="0" w:lastRow="0" w:firstColumn="0" w:lastColumn="0" w:oddVBand="0" w:evenVBand="0" w:oddHBand="0" w:evenHBand="0" w:firstRowFirstColumn="0" w:firstRowLastColumn="0" w:lastRowFirstColumn="0" w:lastRowLastColumn="0"/>
            </w:pPr>
            <w:r w:rsidRPr="0021550A">
              <w:t>0</w:t>
            </w:r>
          </w:p>
        </w:tc>
        <w:tc>
          <w:tcPr>
            <w:tcW w:w="520" w:type="pct"/>
            <w:noWrap/>
            <w:hideMark/>
          </w:tcPr>
          <w:p w14:paraId="293D2B1E" w14:textId="77777777" w:rsidR="00D0045A" w:rsidRPr="0021550A" w:rsidRDefault="00D0045A" w:rsidP="00A3799B">
            <w:pPr>
              <w:ind w:firstLine="0"/>
              <w:jc w:val="center"/>
              <w:cnfStyle w:val="000000000000" w:firstRow="0" w:lastRow="0" w:firstColumn="0" w:lastColumn="0" w:oddVBand="0" w:evenVBand="0" w:oddHBand="0" w:evenHBand="0" w:firstRowFirstColumn="0" w:firstRowLastColumn="0" w:lastRowFirstColumn="0" w:lastRowLastColumn="0"/>
            </w:pPr>
            <w:r w:rsidRPr="0021550A">
              <w:t>0</w:t>
            </w:r>
          </w:p>
        </w:tc>
        <w:tc>
          <w:tcPr>
            <w:tcW w:w="520" w:type="pct"/>
            <w:noWrap/>
            <w:hideMark/>
          </w:tcPr>
          <w:p w14:paraId="2AABF8A3" w14:textId="77777777" w:rsidR="00D0045A" w:rsidRPr="0021550A" w:rsidRDefault="00D0045A" w:rsidP="00A3799B">
            <w:pPr>
              <w:ind w:firstLine="0"/>
              <w:jc w:val="center"/>
              <w:cnfStyle w:val="000000000000" w:firstRow="0" w:lastRow="0" w:firstColumn="0" w:lastColumn="0" w:oddVBand="0" w:evenVBand="0" w:oddHBand="0" w:evenHBand="0" w:firstRowFirstColumn="0" w:firstRowLastColumn="0" w:lastRowFirstColumn="0" w:lastRowLastColumn="0"/>
            </w:pPr>
            <w:r w:rsidRPr="0021550A">
              <w:t>0</w:t>
            </w:r>
          </w:p>
        </w:tc>
        <w:tc>
          <w:tcPr>
            <w:tcW w:w="474" w:type="pct"/>
          </w:tcPr>
          <w:p w14:paraId="226E5DC8" w14:textId="77777777" w:rsidR="00D0045A" w:rsidRPr="0021550A" w:rsidRDefault="00D0045A" w:rsidP="00A3799B">
            <w:pPr>
              <w:ind w:firstLine="0"/>
              <w:jc w:val="center"/>
              <w:cnfStyle w:val="000000000000" w:firstRow="0" w:lastRow="0" w:firstColumn="0" w:lastColumn="0" w:oddVBand="0" w:evenVBand="0" w:oddHBand="0" w:evenHBand="0" w:firstRowFirstColumn="0" w:firstRowLastColumn="0" w:lastRowFirstColumn="0" w:lastRowLastColumn="0"/>
            </w:pPr>
            <w:r w:rsidRPr="0021550A">
              <w:t>0</w:t>
            </w:r>
          </w:p>
        </w:tc>
        <w:tc>
          <w:tcPr>
            <w:tcW w:w="504" w:type="pct"/>
            <w:noWrap/>
            <w:hideMark/>
          </w:tcPr>
          <w:p w14:paraId="7F108FF4" w14:textId="77777777" w:rsidR="00D0045A" w:rsidRPr="0021550A" w:rsidRDefault="00D0045A" w:rsidP="00A3799B">
            <w:pPr>
              <w:ind w:firstLine="0"/>
              <w:jc w:val="center"/>
              <w:cnfStyle w:val="000000000000" w:firstRow="0" w:lastRow="0" w:firstColumn="0" w:lastColumn="0" w:oddVBand="0" w:evenVBand="0" w:oddHBand="0" w:evenHBand="0" w:firstRowFirstColumn="0" w:firstRowLastColumn="0" w:lastRowFirstColumn="0" w:lastRowLastColumn="0"/>
            </w:pPr>
            <w:r w:rsidRPr="0021550A">
              <w:t>0</w:t>
            </w:r>
          </w:p>
        </w:tc>
        <w:tc>
          <w:tcPr>
            <w:tcW w:w="506" w:type="pct"/>
            <w:noWrap/>
            <w:hideMark/>
          </w:tcPr>
          <w:p w14:paraId="396F7CBA" w14:textId="77777777" w:rsidR="00D0045A" w:rsidRPr="0021550A" w:rsidRDefault="00D0045A" w:rsidP="00A3799B">
            <w:pPr>
              <w:ind w:firstLine="0"/>
              <w:jc w:val="center"/>
              <w:cnfStyle w:val="000000000000" w:firstRow="0" w:lastRow="0" w:firstColumn="0" w:lastColumn="0" w:oddVBand="0" w:evenVBand="0" w:oddHBand="0" w:evenHBand="0" w:firstRowFirstColumn="0" w:firstRowLastColumn="0" w:lastRowFirstColumn="0" w:lastRowLastColumn="0"/>
            </w:pPr>
            <w:r w:rsidRPr="0021550A">
              <w:t>0</w:t>
            </w:r>
          </w:p>
        </w:tc>
        <w:tc>
          <w:tcPr>
            <w:tcW w:w="504" w:type="pct"/>
            <w:noWrap/>
            <w:hideMark/>
          </w:tcPr>
          <w:p w14:paraId="0510B36E" w14:textId="77777777" w:rsidR="00D0045A" w:rsidRPr="0021550A" w:rsidRDefault="00D0045A" w:rsidP="00A3799B">
            <w:pPr>
              <w:ind w:firstLine="0"/>
              <w:jc w:val="center"/>
              <w:cnfStyle w:val="000000000000" w:firstRow="0" w:lastRow="0" w:firstColumn="0" w:lastColumn="0" w:oddVBand="0" w:evenVBand="0" w:oddHBand="0" w:evenHBand="0" w:firstRowFirstColumn="0" w:firstRowLastColumn="0" w:lastRowFirstColumn="0" w:lastRowLastColumn="0"/>
            </w:pPr>
            <w:r w:rsidRPr="0021550A">
              <w:t>0</w:t>
            </w:r>
          </w:p>
        </w:tc>
        <w:tc>
          <w:tcPr>
            <w:tcW w:w="507" w:type="pct"/>
            <w:noWrap/>
            <w:hideMark/>
          </w:tcPr>
          <w:p w14:paraId="6CC03DDA" w14:textId="77777777" w:rsidR="00D0045A" w:rsidRPr="0021550A" w:rsidRDefault="00D0045A" w:rsidP="00A3799B">
            <w:pPr>
              <w:ind w:firstLine="0"/>
              <w:jc w:val="center"/>
              <w:cnfStyle w:val="000000000000" w:firstRow="0" w:lastRow="0" w:firstColumn="0" w:lastColumn="0" w:oddVBand="0" w:evenVBand="0" w:oddHBand="0" w:evenHBand="0" w:firstRowFirstColumn="0" w:firstRowLastColumn="0" w:lastRowFirstColumn="0" w:lastRowLastColumn="0"/>
            </w:pPr>
            <w:r w:rsidRPr="0021550A">
              <w:t>0</w:t>
            </w:r>
          </w:p>
        </w:tc>
      </w:tr>
      <w:tr w:rsidR="00D0045A" w:rsidRPr="0021550A" w14:paraId="7F51006B" w14:textId="77777777" w:rsidTr="00A3799B">
        <w:trPr>
          <w:trHeight w:val="425"/>
        </w:trPr>
        <w:tc>
          <w:tcPr>
            <w:cnfStyle w:val="001000000000" w:firstRow="0" w:lastRow="0" w:firstColumn="1" w:lastColumn="0" w:oddVBand="0" w:evenVBand="0" w:oddHBand="0" w:evenHBand="0" w:firstRowFirstColumn="0" w:firstRowLastColumn="0" w:lastRowFirstColumn="0" w:lastRowLastColumn="0"/>
            <w:tcW w:w="961" w:type="pct"/>
            <w:noWrap/>
            <w:hideMark/>
          </w:tcPr>
          <w:p w14:paraId="13BAEE11" w14:textId="77777777" w:rsidR="00D0045A" w:rsidRPr="00D0045A" w:rsidRDefault="00D0045A" w:rsidP="00A3799B">
            <w:pPr>
              <w:ind w:firstLine="0"/>
              <w:jc w:val="center"/>
              <w:rPr>
                <w:b w:val="0"/>
              </w:rPr>
            </w:pPr>
            <w:r w:rsidRPr="00D0045A">
              <w:rPr>
                <w:b w:val="0"/>
              </w:rPr>
              <w:t>Life of our Lady</w:t>
            </w:r>
          </w:p>
        </w:tc>
        <w:tc>
          <w:tcPr>
            <w:tcW w:w="504" w:type="pct"/>
            <w:noWrap/>
            <w:hideMark/>
          </w:tcPr>
          <w:p w14:paraId="054BAFBC" w14:textId="77777777" w:rsidR="00D0045A" w:rsidRPr="0021550A" w:rsidRDefault="00D0045A" w:rsidP="00A3799B">
            <w:pPr>
              <w:ind w:firstLine="0"/>
              <w:jc w:val="center"/>
              <w:cnfStyle w:val="000000000000" w:firstRow="0" w:lastRow="0" w:firstColumn="0" w:lastColumn="0" w:oddVBand="0" w:evenVBand="0" w:oddHBand="0" w:evenHBand="0" w:firstRowFirstColumn="0" w:firstRowLastColumn="0" w:lastRowFirstColumn="0" w:lastRowLastColumn="0"/>
            </w:pPr>
            <w:r w:rsidRPr="0021550A">
              <w:t>0</w:t>
            </w:r>
          </w:p>
        </w:tc>
        <w:tc>
          <w:tcPr>
            <w:tcW w:w="520" w:type="pct"/>
            <w:noWrap/>
            <w:hideMark/>
          </w:tcPr>
          <w:p w14:paraId="43A1838F" w14:textId="77777777" w:rsidR="00D0045A" w:rsidRPr="0021550A" w:rsidRDefault="00D0045A" w:rsidP="00A3799B">
            <w:pPr>
              <w:ind w:firstLine="0"/>
              <w:jc w:val="center"/>
              <w:cnfStyle w:val="000000000000" w:firstRow="0" w:lastRow="0" w:firstColumn="0" w:lastColumn="0" w:oddVBand="0" w:evenVBand="0" w:oddHBand="0" w:evenHBand="0" w:firstRowFirstColumn="0" w:firstRowLastColumn="0" w:lastRowFirstColumn="0" w:lastRowLastColumn="0"/>
            </w:pPr>
            <w:r w:rsidRPr="0021550A">
              <w:t>0</w:t>
            </w:r>
          </w:p>
        </w:tc>
        <w:tc>
          <w:tcPr>
            <w:tcW w:w="520" w:type="pct"/>
            <w:noWrap/>
            <w:hideMark/>
          </w:tcPr>
          <w:p w14:paraId="2640CAA2" w14:textId="77777777" w:rsidR="00D0045A" w:rsidRPr="0021550A" w:rsidRDefault="00D0045A" w:rsidP="00A3799B">
            <w:pPr>
              <w:ind w:firstLine="0"/>
              <w:jc w:val="center"/>
              <w:cnfStyle w:val="000000000000" w:firstRow="0" w:lastRow="0" w:firstColumn="0" w:lastColumn="0" w:oddVBand="0" w:evenVBand="0" w:oddHBand="0" w:evenHBand="0" w:firstRowFirstColumn="0" w:firstRowLastColumn="0" w:lastRowFirstColumn="0" w:lastRowLastColumn="0"/>
            </w:pPr>
            <w:r w:rsidRPr="0021550A">
              <w:t>0</w:t>
            </w:r>
          </w:p>
        </w:tc>
        <w:tc>
          <w:tcPr>
            <w:tcW w:w="474" w:type="pct"/>
          </w:tcPr>
          <w:p w14:paraId="1EAA7FD8" w14:textId="77777777" w:rsidR="00D0045A" w:rsidRPr="0021550A" w:rsidRDefault="00D0045A" w:rsidP="00A3799B">
            <w:pPr>
              <w:ind w:firstLine="0"/>
              <w:jc w:val="center"/>
              <w:cnfStyle w:val="000000000000" w:firstRow="0" w:lastRow="0" w:firstColumn="0" w:lastColumn="0" w:oddVBand="0" w:evenVBand="0" w:oddHBand="0" w:evenHBand="0" w:firstRowFirstColumn="0" w:firstRowLastColumn="0" w:lastRowFirstColumn="0" w:lastRowLastColumn="0"/>
            </w:pPr>
            <w:r w:rsidRPr="0021550A">
              <w:t>0</w:t>
            </w:r>
          </w:p>
        </w:tc>
        <w:tc>
          <w:tcPr>
            <w:tcW w:w="504" w:type="pct"/>
            <w:noWrap/>
            <w:hideMark/>
          </w:tcPr>
          <w:p w14:paraId="0DF756E4" w14:textId="77777777" w:rsidR="00D0045A" w:rsidRPr="0021550A" w:rsidRDefault="00D0045A" w:rsidP="00A3799B">
            <w:pPr>
              <w:ind w:firstLine="0"/>
              <w:jc w:val="center"/>
              <w:cnfStyle w:val="000000000000" w:firstRow="0" w:lastRow="0" w:firstColumn="0" w:lastColumn="0" w:oddVBand="0" w:evenVBand="0" w:oddHBand="0" w:evenHBand="0" w:firstRowFirstColumn="0" w:firstRowLastColumn="0" w:lastRowFirstColumn="0" w:lastRowLastColumn="0"/>
            </w:pPr>
            <w:r w:rsidRPr="0021550A">
              <w:t>0</w:t>
            </w:r>
          </w:p>
        </w:tc>
        <w:tc>
          <w:tcPr>
            <w:tcW w:w="506" w:type="pct"/>
            <w:noWrap/>
            <w:hideMark/>
          </w:tcPr>
          <w:p w14:paraId="64CD1F00" w14:textId="77777777" w:rsidR="00D0045A" w:rsidRPr="0021550A" w:rsidRDefault="00D0045A" w:rsidP="00A3799B">
            <w:pPr>
              <w:ind w:firstLine="0"/>
              <w:jc w:val="center"/>
              <w:cnfStyle w:val="000000000000" w:firstRow="0" w:lastRow="0" w:firstColumn="0" w:lastColumn="0" w:oddVBand="0" w:evenVBand="0" w:oddHBand="0" w:evenHBand="0" w:firstRowFirstColumn="0" w:firstRowLastColumn="0" w:lastRowFirstColumn="0" w:lastRowLastColumn="0"/>
            </w:pPr>
            <w:r w:rsidRPr="0021550A">
              <w:t>0</w:t>
            </w:r>
          </w:p>
        </w:tc>
        <w:tc>
          <w:tcPr>
            <w:tcW w:w="504" w:type="pct"/>
            <w:noWrap/>
            <w:hideMark/>
          </w:tcPr>
          <w:p w14:paraId="2C2B295B" w14:textId="77777777" w:rsidR="00D0045A" w:rsidRPr="0021550A" w:rsidRDefault="00D0045A" w:rsidP="00A3799B">
            <w:pPr>
              <w:ind w:firstLine="0"/>
              <w:jc w:val="center"/>
              <w:cnfStyle w:val="000000000000" w:firstRow="0" w:lastRow="0" w:firstColumn="0" w:lastColumn="0" w:oddVBand="0" w:evenVBand="0" w:oddHBand="0" w:evenHBand="0" w:firstRowFirstColumn="0" w:firstRowLastColumn="0" w:lastRowFirstColumn="0" w:lastRowLastColumn="0"/>
            </w:pPr>
            <w:r w:rsidRPr="0021550A">
              <w:t>0</w:t>
            </w:r>
          </w:p>
        </w:tc>
        <w:tc>
          <w:tcPr>
            <w:tcW w:w="507" w:type="pct"/>
            <w:noWrap/>
            <w:hideMark/>
          </w:tcPr>
          <w:p w14:paraId="0EDE402F" w14:textId="77777777" w:rsidR="00D0045A" w:rsidRPr="0021550A" w:rsidRDefault="00D0045A" w:rsidP="00A3799B">
            <w:pPr>
              <w:ind w:firstLine="0"/>
              <w:jc w:val="center"/>
              <w:cnfStyle w:val="000000000000" w:firstRow="0" w:lastRow="0" w:firstColumn="0" w:lastColumn="0" w:oddVBand="0" w:evenVBand="0" w:oddHBand="0" w:evenHBand="0" w:firstRowFirstColumn="0" w:firstRowLastColumn="0" w:lastRowFirstColumn="0" w:lastRowLastColumn="0"/>
            </w:pPr>
            <w:r w:rsidRPr="0021550A">
              <w:t>0</w:t>
            </w:r>
          </w:p>
        </w:tc>
      </w:tr>
      <w:tr w:rsidR="00D0045A" w:rsidRPr="0021550A" w14:paraId="5194209F" w14:textId="77777777" w:rsidTr="00A3799B">
        <w:trPr>
          <w:trHeight w:val="407"/>
        </w:trPr>
        <w:tc>
          <w:tcPr>
            <w:cnfStyle w:val="001000000000" w:firstRow="0" w:lastRow="0" w:firstColumn="1" w:lastColumn="0" w:oddVBand="0" w:evenVBand="0" w:oddHBand="0" w:evenHBand="0" w:firstRowFirstColumn="0" w:firstRowLastColumn="0" w:lastRowFirstColumn="0" w:lastRowLastColumn="0"/>
            <w:tcW w:w="961" w:type="pct"/>
            <w:noWrap/>
            <w:hideMark/>
          </w:tcPr>
          <w:p w14:paraId="618A15A9" w14:textId="77777777" w:rsidR="00D0045A" w:rsidRPr="00D0045A" w:rsidRDefault="00D0045A" w:rsidP="00A3799B">
            <w:pPr>
              <w:ind w:firstLine="0"/>
              <w:jc w:val="center"/>
              <w:rPr>
                <w:b w:val="0"/>
              </w:rPr>
            </w:pPr>
            <w:r w:rsidRPr="00D0045A">
              <w:rPr>
                <w:b w:val="0"/>
              </w:rPr>
              <w:t>Game of Chess</w:t>
            </w:r>
          </w:p>
        </w:tc>
        <w:tc>
          <w:tcPr>
            <w:tcW w:w="504" w:type="pct"/>
            <w:noWrap/>
            <w:hideMark/>
          </w:tcPr>
          <w:p w14:paraId="096DD9ED" w14:textId="77777777" w:rsidR="00D0045A" w:rsidRPr="0021550A" w:rsidRDefault="00D0045A" w:rsidP="00A3799B">
            <w:pPr>
              <w:ind w:firstLine="0"/>
              <w:jc w:val="center"/>
              <w:cnfStyle w:val="000000000000" w:firstRow="0" w:lastRow="0" w:firstColumn="0" w:lastColumn="0" w:oddVBand="0" w:evenVBand="0" w:oddHBand="0" w:evenHBand="0" w:firstRowFirstColumn="0" w:firstRowLastColumn="0" w:lastRowFirstColumn="0" w:lastRowLastColumn="0"/>
            </w:pPr>
            <w:r w:rsidRPr="0021550A">
              <w:t>0</w:t>
            </w:r>
          </w:p>
        </w:tc>
        <w:tc>
          <w:tcPr>
            <w:tcW w:w="520" w:type="pct"/>
            <w:noWrap/>
            <w:hideMark/>
          </w:tcPr>
          <w:p w14:paraId="564E114B" w14:textId="77777777" w:rsidR="00D0045A" w:rsidRPr="0021550A" w:rsidRDefault="00D0045A" w:rsidP="00A3799B">
            <w:pPr>
              <w:ind w:firstLine="0"/>
              <w:jc w:val="center"/>
              <w:cnfStyle w:val="000000000000" w:firstRow="0" w:lastRow="0" w:firstColumn="0" w:lastColumn="0" w:oddVBand="0" w:evenVBand="0" w:oddHBand="0" w:evenHBand="0" w:firstRowFirstColumn="0" w:firstRowLastColumn="0" w:lastRowFirstColumn="0" w:lastRowLastColumn="0"/>
            </w:pPr>
            <w:r w:rsidRPr="0021550A">
              <w:t>0</w:t>
            </w:r>
          </w:p>
        </w:tc>
        <w:tc>
          <w:tcPr>
            <w:tcW w:w="520" w:type="pct"/>
            <w:noWrap/>
            <w:hideMark/>
          </w:tcPr>
          <w:p w14:paraId="0BFA4CEE" w14:textId="77777777" w:rsidR="00D0045A" w:rsidRPr="0021550A" w:rsidRDefault="00D0045A" w:rsidP="00A3799B">
            <w:pPr>
              <w:ind w:firstLine="0"/>
              <w:jc w:val="center"/>
              <w:cnfStyle w:val="000000000000" w:firstRow="0" w:lastRow="0" w:firstColumn="0" w:lastColumn="0" w:oddVBand="0" w:evenVBand="0" w:oddHBand="0" w:evenHBand="0" w:firstRowFirstColumn="0" w:firstRowLastColumn="0" w:lastRowFirstColumn="0" w:lastRowLastColumn="0"/>
            </w:pPr>
            <w:r w:rsidRPr="0021550A">
              <w:t>0</w:t>
            </w:r>
          </w:p>
        </w:tc>
        <w:tc>
          <w:tcPr>
            <w:tcW w:w="474" w:type="pct"/>
          </w:tcPr>
          <w:p w14:paraId="1C660268" w14:textId="77777777" w:rsidR="00D0045A" w:rsidRPr="0021550A" w:rsidRDefault="00D0045A" w:rsidP="00A3799B">
            <w:pPr>
              <w:ind w:firstLine="0"/>
              <w:jc w:val="center"/>
              <w:cnfStyle w:val="000000000000" w:firstRow="0" w:lastRow="0" w:firstColumn="0" w:lastColumn="0" w:oddVBand="0" w:evenVBand="0" w:oddHBand="0" w:evenHBand="0" w:firstRowFirstColumn="0" w:firstRowLastColumn="0" w:lastRowFirstColumn="0" w:lastRowLastColumn="0"/>
            </w:pPr>
            <w:r w:rsidRPr="0021550A">
              <w:t>0</w:t>
            </w:r>
          </w:p>
        </w:tc>
        <w:tc>
          <w:tcPr>
            <w:tcW w:w="504" w:type="pct"/>
            <w:noWrap/>
            <w:hideMark/>
          </w:tcPr>
          <w:p w14:paraId="10770F40" w14:textId="77777777" w:rsidR="00D0045A" w:rsidRPr="0021550A" w:rsidRDefault="00D0045A" w:rsidP="00A3799B">
            <w:pPr>
              <w:ind w:firstLine="0"/>
              <w:jc w:val="center"/>
              <w:cnfStyle w:val="000000000000" w:firstRow="0" w:lastRow="0" w:firstColumn="0" w:lastColumn="0" w:oddVBand="0" w:evenVBand="0" w:oddHBand="0" w:evenHBand="0" w:firstRowFirstColumn="0" w:firstRowLastColumn="0" w:lastRowFirstColumn="0" w:lastRowLastColumn="0"/>
            </w:pPr>
            <w:r w:rsidRPr="0021550A">
              <w:t>0</w:t>
            </w:r>
          </w:p>
        </w:tc>
        <w:tc>
          <w:tcPr>
            <w:tcW w:w="506" w:type="pct"/>
            <w:shd w:val="clear" w:color="auto" w:fill="FFF2CC" w:themeFill="accent4" w:themeFillTint="33"/>
            <w:noWrap/>
            <w:hideMark/>
          </w:tcPr>
          <w:p w14:paraId="4290B7F5" w14:textId="77777777" w:rsidR="00D0045A" w:rsidRPr="0021550A" w:rsidRDefault="00D0045A" w:rsidP="00A3799B">
            <w:pPr>
              <w:ind w:firstLine="0"/>
              <w:jc w:val="center"/>
              <w:cnfStyle w:val="000000000000" w:firstRow="0" w:lastRow="0" w:firstColumn="0" w:lastColumn="0" w:oddVBand="0" w:evenVBand="0" w:oddHBand="0" w:evenHBand="0" w:firstRowFirstColumn="0" w:firstRowLastColumn="0" w:lastRowFirstColumn="0" w:lastRowLastColumn="0"/>
            </w:pPr>
            <w:r w:rsidRPr="0021550A">
              <w:t>0.83</w:t>
            </w:r>
          </w:p>
        </w:tc>
        <w:tc>
          <w:tcPr>
            <w:tcW w:w="504" w:type="pct"/>
            <w:shd w:val="clear" w:color="auto" w:fill="FFF2CC" w:themeFill="accent4" w:themeFillTint="33"/>
            <w:noWrap/>
            <w:hideMark/>
          </w:tcPr>
          <w:p w14:paraId="44EE0433" w14:textId="77777777" w:rsidR="00D0045A" w:rsidRPr="0021550A" w:rsidRDefault="00D0045A" w:rsidP="00A3799B">
            <w:pPr>
              <w:ind w:firstLine="0"/>
              <w:jc w:val="center"/>
              <w:cnfStyle w:val="000000000000" w:firstRow="0" w:lastRow="0" w:firstColumn="0" w:lastColumn="0" w:oddVBand="0" w:evenVBand="0" w:oddHBand="0" w:evenHBand="0" w:firstRowFirstColumn="0" w:firstRowLastColumn="0" w:lastRowFirstColumn="0" w:lastRowLastColumn="0"/>
            </w:pPr>
            <w:r w:rsidRPr="0021550A">
              <w:t>0.17</w:t>
            </w:r>
          </w:p>
        </w:tc>
        <w:tc>
          <w:tcPr>
            <w:tcW w:w="507" w:type="pct"/>
            <w:noWrap/>
            <w:hideMark/>
          </w:tcPr>
          <w:p w14:paraId="7A23FC54" w14:textId="77777777" w:rsidR="00D0045A" w:rsidRPr="0021550A" w:rsidRDefault="00D0045A" w:rsidP="00A3799B">
            <w:pPr>
              <w:ind w:firstLine="0"/>
              <w:jc w:val="center"/>
              <w:cnfStyle w:val="000000000000" w:firstRow="0" w:lastRow="0" w:firstColumn="0" w:lastColumn="0" w:oddVBand="0" w:evenVBand="0" w:oddHBand="0" w:evenHBand="0" w:firstRowFirstColumn="0" w:firstRowLastColumn="0" w:lastRowFirstColumn="0" w:lastRowLastColumn="0"/>
            </w:pPr>
            <w:r w:rsidRPr="0021550A">
              <w:t>0</w:t>
            </w:r>
          </w:p>
        </w:tc>
      </w:tr>
      <w:tr w:rsidR="00D0045A" w:rsidRPr="0021550A" w14:paraId="5D1EAA7F" w14:textId="77777777" w:rsidTr="00A3799B">
        <w:trPr>
          <w:trHeight w:val="407"/>
        </w:trPr>
        <w:tc>
          <w:tcPr>
            <w:cnfStyle w:val="001000000000" w:firstRow="0" w:lastRow="0" w:firstColumn="1" w:lastColumn="0" w:oddVBand="0" w:evenVBand="0" w:oddHBand="0" w:evenHBand="0" w:firstRowFirstColumn="0" w:firstRowLastColumn="0" w:lastRowFirstColumn="0" w:lastRowLastColumn="0"/>
            <w:tcW w:w="961" w:type="pct"/>
            <w:noWrap/>
            <w:hideMark/>
          </w:tcPr>
          <w:p w14:paraId="3AB44236" w14:textId="77777777" w:rsidR="00D0045A" w:rsidRPr="00D0045A" w:rsidRDefault="00D0045A" w:rsidP="00A3799B">
            <w:pPr>
              <w:ind w:firstLine="0"/>
              <w:jc w:val="center"/>
              <w:rPr>
                <w:b w:val="0"/>
              </w:rPr>
            </w:pPr>
            <w:r w:rsidRPr="00D0045A">
              <w:rPr>
                <w:b w:val="0"/>
              </w:rPr>
              <w:t>Polychronicon</w:t>
            </w:r>
          </w:p>
        </w:tc>
        <w:tc>
          <w:tcPr>
            <w:tcW w:w="504" w:type="pct"/>
            <w:noWrap/>
            <w:hideMark/>
          </w:tcPr>
          <w:p w14:paraId="305CF247" w14:textId="77777777" w:rsidR="00D0045A" w:rsidRPr="0021550A" w:rsidRDefault="00D0045A" w:rsidP="00A3799B">
            <w:pPr>
              <w:ind w:firstLine="0"/>
              <w:jc w:val="center"/>
              <w:cnfStyle w:val="000000000000" w:firstRow="0" w:lastRow="0" w:firstColumn="0" w:lastColumn="0" w:oddVBand="0" w:evenVBand="0" w:oddHBand="0" w:evenHBand="0" w:firstRowFirstColumn="0" w:firstRowLastColumn="0" w:lastRowFirstColumn="0" w:lastRowLastColumn="0"/>
            </w:pPr>
            <w:r w:rsidRPr="0021550A">
              <w:t>0</w:t>
            </w:r>
          </w:p>
        </w:tc>
        <w:tc>
          <w:tcPr>
            <w:tcW w:w="520" w:type="pct"/>
            <w:noWrap/>
            <w:hideMark/>
          </w:tcPr>
          <w:p w14:paraId="78C74D67" w14:textId="77777777" w:rsidR="00D0045A" w:rsidRPr="0021550A" w:rsidRDefault="00D0045A" w:rsidP="00A3799B">
            <w:pPr>
              <w:ind w:firstLine="0"/>
              <w:jc w:val="center"/>
              <w:cnfStyle w:val="000000000000" w:firstRow="0" w:lastRow="0" w:firstColumn="0" w:lastColumn="0" w:oddVBand="0" w:evenVBand="0" w:oddHBand="0" w:evenHBand="0" w:firstRowFirstColumn="0" w:firstRowLastColumn="0" w:lastRowFirstColumn="0" w:lastRowLastColumn="0"/>
            </w:pPr>
            <w:r w:rsidRPr="0021550A">
              <w:t>0</w:t>
            </w:r>
          </w:p>
        </w:tc>
        <w:tc>
          <w:tcPr>
            <w:tcW w:w="520" w:type="pct"/>
            <w:noWrap/>
            <w:hideMark/>
          </w:tcPr>
          <w:p w14:paraId="10F170CA" w14:textId="77777777" w:rsidR="00D0045A" w:rsidRPr="0021550A" w:rsidRDefault="00D0045A" w:rsidP="00A3799B">
            <w:pPr>
              <w:ind w:firstLine="0"/>
              <w:jc w:val="center"/>
              <w:cnfStyle w:val="000000000000" w:firstRow="0" w:lastRow="0" w:firstColumn="0" w:lastColumn="0" w:oddVBand="0" w:evenVBand="0" w:oddHBand="0" w:evenHBand="0" w:firstRowFirstColumn="0" w:firstRowLastColumn="0" w:lastRowFirstColumn="0" w:lastRowLastColumn="0"/>
            </w:pPr>
            <w:r w:rsidRPr="0021550A">
              <w:t>0</w:t>
            </w:r>
          </w:p>
        </w:tc>
        <w:tc>
          <w:tcPr>
            <w:tcW w:w="474" w:type="pct"/>
            <w:shd w:val="clear" w:color="auto" w:fill="FFF2CC" w:themeFill="accent4" w:themeFillTint="33"/>
          </w:tcPr>
          <w:p w14:paraId="1980BF57" w14:textId="77777777" w:rsidR="00D0045A" w:rsidRPr="0021550A" w:rsidRDefault="00D0045A" w:rsidP="00A3799B">
            <w:pPr>
              <w:ind w:firstLine="0"/>
              <w:jc w:val="center"/>
              <w:cnfStyle w:val="000000000000" w:firstRow="0" w:lastRow="0" w:firstColumn="0" w:lastColumn="0" w:oddVBand="0" w:evenVBand="0" w:oddHBand="0" w:evenHBand="0" w:firstRowFirstColumn="0" w:firstRowLastColumn="0" w:lastRowFirstColumn="0" w:lastRowLastColumn="0"/>
            </w:pPr>
            <w:r w:rsidRPr="0021550A">
              <w:t>0.83</w:t>
            </w:r>
          </w:p>
        </w:tc>
        <w:tc>
          <w:tcPr>
            <w:tcW w:w="504" w:type="pct"/>
            <w:noWrap/>
            <w:hideMark/>
          </w:tcPr>
          <w:p w14:paraId="7B392ACB" w14:textId="77777777" w:rsidR="00D0045A" w:rsidRPr="0021550A" w:rsidRDefault="00D0045A" w:rsidP="00A3799B">
            <w:pPr>
              <w:ind w:firstLine="0"/>
              <w:jc w:val="center"/>
              <w:cnfStyle w:val="000000000000" w:firstRow="0" w:lastRow="0" w:firstColumn="0" w:lastColumn="0" w:oddVBand="0" w:evenVBand="0" w:oddHBand="0" w:evenHBand="0" w:firstRowFirstColumn="0" w:firstRowLastColumn="0" w:lastRowFirstColumn="0" w:lastRowLastColumn="0"/>
            </w:pPr>
            <w:r w:rsidRPr="0021550A">
              <w:t>0</w:t>
            </w:r>
          </w:p>
        </w:tc>
        <w:tc>
          <w:tcPr>
            <w:tcW w:w="506" w:type="pct"/>
            <w:noWrap/>
            <w:hideMark/>
          </w:tcPr>
          <w:p w14:paraId="5B2BA4CE" w14:textId="77777777" w:rsidR="00D0045A" w:rsidRPr="0021550A" w:rsidRDefault="00D0045A" w:rsidP="00A3799B">
            <w:pPr>
              <w:ind w:firstLine="0"/>
              <w:jc w:val="center"/>
              <w:cnfStyle w:val="000000000000" w:firstRow="0" w:lastRow="0" w:firstColumn="0" w:lastColumn="0" w:oddVBand="0" w:evenVBand="0" w:oddHBand="0" w:evenHBand="0" w:firstRowFirstColumn="0" w:firstRowLastColumn="0" w:lastRowFirstColumn="0" w:lastRowLastColumn="0"/>
            </w:pPr>
            <w:r w:rsidRPr="0021550A">
              <w:t>0</w:t>
            </w:r>
          </w:p>
        </w:tc>
        <w:tc>
          <w:tcPr>
            <w:tcW w:w="504" w:type="pct"/>
            <w:shd w:val="clear" w:color="auto" w:fill="FFF2CC" w:themeFill="accent4" w:themeFillTint="33"/>
            <w:noWrap/>
            <w:hideMark/>
          </w:tcPr>
          <w:p w14:paraId="345E64CE" w14:textId="77777777" w:rsidR="00D0045A" w:rsidRPr="0021550A" w:rsidRDefault="00D0045A" w:rsidP="00A3799B">
            <w:pPr>
              <w:ind w:firstLine="0"/>
              <w:jc w:val="center"/>
              <w:cnfStyle w:val="000000000000" w:firstRow="0" w:lastRow="0" w:firstColumn="0" w:lastColumn="0" w:oddVBand="0" w:evenVBand="0" w:oddHBand="0" w:evenHBand="0" w:firstRowFirstColumn="0" w:firstRowLastColumn="0" w:lastRowFirstColumn="0" w:lastRowLastColumn="0"/>
            </w:pPr>
            <w:r w:rsidRPr="0021550A">
              <w:t>0.17</w:t>
            </w:r>
          </w:p>
        </w:tc>
        <w:tc>
          <w:tcPr>
            <w:tcW w:w="507" w:type="pct"/>
            <w:noWrap/>
            <w:hideMark/>
          </w:tcPr>
          <w:p w14:paraId="244DF0E1" w14:textId="77777777" w:rsidR="00D0045A" w:rsidRPr="0021550A" w:rsidRDefault="00D0045A" w:rsidP="00A3799B">
            <w:pPr>
              <w:ind w:firstLine="0"/>
              <w:jc w:val="center"/>
              <w:cnfStyle w:val="000000000000" w:firstRow="0" w:lastRow="0" w:firstColumn="0" w:lastColumn="0" w:oddVBand="0" w:evenVBand="0" w:oddHBand="0" w:evenHBand="0" w:firstRowFirstColumn="0" w:firstRowLastColumn="0" w:lastRowFirstColumn="0" w:lastRowLastColumn="0"/>
            </w:pPr>
            <w:r w:rsidRPr="0021550A">
              <w:t>0</w:t>
            </w:r>
          </w:p>
        </w:tc>
      </w:tr>
      <w:tr w:rsidR="00D0045A" w:rsidRPr="0021550A" w14:paraId="1D28C393" w14:textId="77777777" w:rsidTr="00A3799B">
        <w:trPr>
          <w:trHeight w:val="407"/>
        </w:trPr>
        <w:tc>
          <w:tcPr>
            <w:cnfStyle w:val="001000000000" w:firstRow="0" w:lastRow="0" w:firstColumn="1" w:lastColumn="0" w:oddVBand="0" w:evenVBand="0" w:oddHBand="0" w:evenHBand="0" w:firstRowFirstColumn="0" w:firstRowLastColumn="0" w:lastRowFirstColumn="0" w:lastRowLastColumn="0"/>
            <w:tcW w:w="961" w:type="pct"/>
            <w:noWrap/>
            <w:hideMark/>
          </w:tcPr>
          <w:p w14:paraId="7C7FC444" w14:textId="77777777" w:rsidR="00D0045A" w:rsidRPr="00D0045A" w:rsidRDefault="00D0045A" w:rsidP="00A3799B">
            <w:pPr>
              <w:ind w:firstLine="0"/>
              <w:jc w:val="center"/>
              <w:rPr>
                <w:b w:val="0"/>
              </w:rPr>
            </w:pPr>
            <w:r w:rsidRPr="00D0045A">
              <w:rPr>
                <w:b w:val="0"/>
              </w:rPr>
              <w:t>Golden Legend</w:t>
            </w:r>
          </w:p>
        </w:tc>
        <w:tc>
          <w:tcPr>
            <w:tcW w:w="504" w:type="pct"/>
            <w:shd w:val="clear" w:color="auto" w:fill="FFF2CC" w:themeFill="accent4" w:themeFillTint="33"/>
            <w:noWrap/>
            <w:hideMark/>
          </w:tcPr>
          <w:p w14:paraId="4C9967C1" w14:textId="77777777" w:rsidR="00D0045A" w:rsidRPr="0021550A" w:rsidRDefault="00D0045A" w:rsidP="00A3799B">
            <w:pPr>
              <w:ind w:firstLine="0"/>
              <w:jc w:val="center"/>
              <w:cnfStyle w:val="000000000000" w:firstRow="0" w:lastRow="0" w:firstColumn="0" w:lastColumn="0" w:oddVBand="0" w:evenVBand="0" w:oddHBand="0" w:evenHBand="0" w:firstRowFirstColumn="0" w:firstRowLastColumn="0" w:lastRowFirstColumn="0" w:lastRowLastColumn="0"/>
            </w:pPr>
            <w:r w:rsidRPr="0021550A">
              <w:t>0.14</w:t>
            </w:r>
          </w:p>
        </w:tc>
        <w:tc>
          <w:tcPr>
            <w:tcW w:w="520" w:type="pct"/>
            <w:shd w:val="clear" w:color="auto" w:fill="FFF2CC" w:themeFill="accent4" w:themeFillTint="33"/>
            <w:noWrap/>
            <w:hideMark/>
          </w:tcPr>
          <w:p w14:paraId="342E251D" w14:textId="77777777" w:rsidR="00D0045A" w:rsidRPr="0021550A" w:rsidRDefault="00D0045A" w:rsidP="00A3799B">
            <w:pPr>
              <w:ind w:firstLine="0"/>
              <w:jc w:val="center"/>
              <w:cnfStyle w:val="000000000000" w:firstRow="0" w:lastRow="0" w:firstColumn="0" w:lastColumn="0" w:oddVBand="0" w:evenVBand="0" w:oddHBand="0" w:evenHBand="0" w:firstRowFirstColumn="0" w:firstRowLastColumn="0" w:lastRowFirstColumn="0" w:lastRowLastColumn="0"/>
            </w:pPr>
            <w:r w:rsidRPr="0021550A">
              <w:t>0.71</w:t>
            </w:r>
          </w:p>
        </w:tc>
        <w:tc>
          <w:tcPr>
            <w:tcW w:w="520" w:type="pct"/>
            <w:shd w:val="clear" w:color="auto" w:fill="FFF2CC" w:themeFill="accent4" w:themeFillTint="33"/>
            <w:noWrap/>
            <w:hideMark/>
          </w:tcPr>
          <w:p w14:paraId="6952A6BE" w14:textId="77777777" w:rsidR="00D0045A" w:rsidRPr="0021550A" w:rsidRDefault="00D0045A" w:rsidP="00A3799B">
            <w:pPr>
              <w:ind w:firstLine="0"/>
              <w:jc w:val="center"/>
              <w:cnfStyle w:val="000000000000" w:firstRow="0" w:lastRow="0" w:firstColumn="0" w:lastColumn="0" w:oddVBand="0" w:evenVBand="0" w:oddHBand="0" w:evenHBand="0" w:firstRowFirstColumn="0" w:firstRowLastColumn="0" w:lastRowFirstColumn="0" w:lastRowLastColumn="0"/>
            </w:pPr>
            <w:r w:rsidRPr="0021550A">
              <w:t>0.15</w:t>
            </w:r>
          </w:p>
        </w:tc>
        <w:tc>
          <w:tcPr>
            <w:tcW w:w="474" w:type="pct"/>
            <w:shd w:val="clear" w:color="auto" w:fill="FFF2CC" w:themeFill="accent4" w:themeFillTint="33"/>
          </w:tcPr>
          <w:p w14:paraId="22D3C5BB" w14:textId="77777777" w:rsidR="00D0045A" w:rsidRPr="0021550A" w:rsidRDefault="00D0045A" w:rsidP="00A3799B">
            <w:pPr>
              <w:ind w:firstLine="0"/>
              <w:jc w:val="center"/>
              <w:cnfStyle w:val="000000000000" w:firstRow="0" w:lastRow="0" w:firstColumn="0" w:lastColumn="0" w:oddVBand="0" w:evenVBand="0" w:oddHBand="0" w:evenHBand="0" w:firstRowFirstColumn="0" w:firstRowLastColumn="0" w:lastRowFirstColumn="0" w:lastRowLastColumn="0"/>
            </w:pPr>
            <w:r w:rsidRPr="0021550A">
              <w:t>0.74</w:t>
            </w:r>
          </w:p>
        </w:tc>
        <w:tc>
          <w:tcPr>
            <w:tcW w:w="504" w:type="pct"/>
            <w:noWrap/>
            <w:hideMark/>
          </w:tcPr>
          <w:p w14:paraId="31555054" w14:textId="77777777" w:rsidR="00D0045A" w:rsidRPr="0021550A" w:rsidRDefault="00D0045A" w:rsidP="00A3799B">
            <w:pPr>
              <w:ind w:firstLine="0"/>
              <w:jc w:val="center"/>
              <w:cnfStyle w:val="000000000000" w:firstRow="0" w:lastRow="0" w:firstColumn="0" w:lastColumn="0" w:oddVBand="0" w:evenVBand="0" w:oddHBand="0" w:evenHBand="0" w:firstRowFirstColumn="0" w:firstRowLastColumn="0" w:lastRowFirstColumn="0" w:lastRowLastColumn="0"/>
            </w:pPr>
            <w:r w:rsidRPr="0021550A">
              <w:t>0</w:t>
            </w:r>
          </w:p>
        </w:tc>
        <w:tc>
          <w:tcPr>
            <w:tcW w:w="506" w:type="pct"/>
            <w:shd w:val="clear" w:color="auto" w:fill="FFF2CC" w:themeFill="accent4" w:themeFillTint="33"/>
            <w:noWrap/>
            <w:hideMark/>
          </w:tcPr>
          <w:p w14:paraId="30F7859A" w14:textId="77777777" w:rsidR="00D0045A" w:rsidRPr="0021550A" w:rsidRDefault="00D0045A" w:rsidP="00A3799B">
            <w:pPr>
              <w:ind w:firstLine="0"/>
              <w:jc w:val="center"/>
              <w:cnfStyle w:val="000000000000" w:firstRow="0" w:lastRow="0" w:firstColumn="0" w:lastColumn="0" w:oddVBand="0" w:evenVBand="0" w:oddHBand="0" w:evenHBand="0" w:firstRowFirstColumn="0" w:firstRowLastColumn="0" w:lastRowFirstColumn="0" w:lastRowLastColumn="0"/>
            </w:pPr>
            <w:r w:rsidRPr="0021550A">
              <w:t>0.06</w:t>
            </w:r>
          </w:p>
        </w:tc>
        <w:tc>
          <w:tcPr>
            <w:tcW w:w="504" w:type="pct"/>
            <w:shd w:val="clear" w:color="auto" w:fill="FFF2CC" w:themeFill="accent4" w:themeFillTint="33"/>
            <w:noWrap/>
            <w:hideMark/>
          </w:tcPr>
          <w:p w14:paraId="22CD2BAE" w14:textId="77777777" w:rsidR="00D0045A" w:rsidRPr="0021550A" w:rsidRDefault="00D0045A" w:rsidP="00A3799B">
            <w:pPr>
              <w:ind w:firstLine="0"/>
              <w:jc w:val="center"/>
              <w:cnfStyle w:val="000000000000" w:firstRow="0" w:lastRow="0" w:firstColumn="0" w:lastColumn="0" w:oddVBand="0" w:evenVBand="0" w:oddHBand="0" w:evenHBand="0" w:firstRowFirstColumn="0" w:firstRowLastColumn="0" w:lastRowFirstColumn="0" w:lastRowLastColumn="0"/>
            </w:pPr>
            <w:r w:rsidRPr="0021550A">
              <w:t>0.20</w:t>
            </w:r>
          </w:p>
        </w:tc>
        <w:tc>
          <w:tcPr>
            <w:tcW w:w="507" w:type="pct"/>
            <w:noWrap/>
            <w:hideMark/>
          </w:tcPr>
          <w:p w14:paraId="341177AC" w14:textId="77777777" w:rsidR="00D0045A" w:rsidRPr="0021550A" w:rsidRDefault="00D0045A" w:rsidP="00A3799B">
            <w:pPr>
              <w:ind w:firstLine="0"/>
              <w:jc w:val="center"/>
              <w:cnfStyle w:val="000000000000" w:firstRow="0" w:lastRow="0" w:firstColumn="0" w:lastColumn="0" w:oddVBand="0" w:evenVBand="0" w:oddHBand="0" w:evenHBand="0" w:firstRowFirstColumn="0" w:firstRowLastColumn="0" w:lastRowFirstColumn="0" w:lastRowLastColumn="0"/>
            </w:pPr>
            <w:r w:rsidRPr="0021550A">
              <w:t>0</w:t>
            </w:r>
          </w:p>
        </w:tc>
      </w:tr>
      <w:tr w:rsidR="00D0045A" w:rsidRPr="0021550A" w14:paraId="1E47D1EF" w14:textId="77777777" w:rsidTr="00A3799B">
        <w:trPr>
          <w:trHeight w:val="407"/>
        </w:trPr>
        <w:tc>
          <w:tcPr>
            <w:cnfStyle w:val="001000000000" w:firstRow="0" w:lastRow="0" w:firstColumn="1" w:lastColumn="0" w:oddVBand="0" w:evenVBand="0" w:oddHBand="0" w:evenHBand="0" w:firstRowFirstColumn="0" w:firstRowLastColumn="0" w:lastRowFirstColumn="0" w:lastRowLastColumn="0"/>
            <w:tcW w:w="961" w:type="pct"/>
            <w:noWrap/>
            <w:hideMark/>
          </w:tcPr>
          <w:p w14:paraId="3FE399D2" w14:textId="77777777" w:rsidR="00D0045A" w:rsidRPr="00D0045A" w:rsidRDefault="00D0045A" w:rsidP="00A3799B">
            <w:pPr>
              <w:ind w:firstLine="0"/>
              <w:jc w:val="center"/>
              <w:rPr>
                <w:b w:val="0"/>
              </w:rPr>
            </w:pPr>
            <w:r w:rsidRPr="00D0045A">
              <w:rPr>
                <w:b w:val="0"/>
              </w:rPr>
              <w:t>Troilus and Criseyde</w:t>
            </w:r>
          </w:p>
        </w:tc>
        <w:tc>
          <w:tcPr>
            <w:tcW w:w="504" w:type="pct"/>
            <w:noWrap/>
            <w:hideMark/>
          </w:tcPr>
          <w:p w14:paraId="1990E8B4" w14:textId="77777777" w:rsidR="00D0045A" w:rsidRPr="0021550A" w:rsidRDefault="00D0045A" w:rsidP="00A3799B">
            <w:pPr>
              <w:ind w:firstLine="0"/>
              <w:jc w:val="center"/>
              <w:cnfStyle w:val="000000000000" w:firstRow="0" w:lastRow="0" w:firstColumn="0" w:lastColumn="0" w:oddVBand="0" w:evenVBand="0" w:oddHBand="0" w:evenHBand="0" w:firstRowFirstColumn="0" w:firstRowLastColumn="0" w:lastRowFirstColumn="0" w:lastRowLastColumn="0"/>
            </w:pPr>
            <w:r w:rsidRPr="0021550A">
              <w:t>0</w:t>
            </w:r>
          </w:p>
        </w:tc>
        <w:tc>
          <w:tcPr>
            <w:tcW w:w="520" w:type="pct"/>
            <w:noWrap/>
            <w:hideMark/>
          </w:tcPr>
          <w:p w14:paraId="673C0BF1" w14:textId="77777777" w:rsidR="00D0045A" w:rsidRPr="0021550A" w:rsidRDefault="00D0045A" w:rsidP="00A3799B">
            <w:pPr>
              <w:ind w:firstLine="0"/>
              <w:jc w:val="center"/>
              <w:cnfStyle w:val="000000000000" w:firstRow="0" w:lastRow="0" w:firstColumn="0" w:lastColumn="0" w:oddVBand="0" w:evenVBand="0" w:oddHBand="0" w:evenHBand="0" w:firstRowFirstColumn="0" w:firstRowLastColumn="0" w:lastRowFirstColumn="0" w:lastRowLastColumn="0"/>
            </w:pPr>
            <w:r w:rsidRPr="0021550A">
              <w:t>0</w:t>
            </w:r>
          </w:p>
        </w:tc>
        <w:tc>
          <w:tcPr>
            <w:tcW w:w="520" w:type="pct"/>
            <w:noWrap/>
            <w:hideMark/>
          </w:tcPr>
          <w:p w14:paraId="05A3127E" w14:textId="77777777" w:rsidR="00D0045A" w:rsidRPr="0021550A" w:rsidRDefault="00D0045A" w:rsidP="00A3799B">
            <w:pPr>
              <w:ind w:firstLine="0"/>
              <w:jc w:val="center"/>
              <w:cnfStyle w:val="000000000000" w:firstRow="0" w:lastRow="0" w:firstColumn="0" w:lastColumn="0" w:oddVBand="0" w:evenVBand="0" w:oddHBand="0" w:evenHBand="0" w:firstRowFirstColumn="0" w:firstRowLastColumn="0" w:lastRowFirstColumn="0" w:lastRowLastColumn="0"/>
            </w:pPr>
            <w:r w:rsidRPr="0021550A">
              <w:t>0</w:t>
            </w:r>
          </w:p>
        </w:tc>
        <w:tc>
          <w:tcPr>
            <w:tcW w:w="474" w:type="pct"/>
          </w:tcPr>
          <w:p w14:paraId="5C091B80" w14:textId="77777777" w:rsidR="00D0045A" w:rsidRPr="0021550A" w:rsidRDefault="00D0045A" w:rsidP="00A3799B">
            <w:pPr>
              <w:ind w:firstLine="0"/>
              <w:jc w:val="center"/>
              <w:cnfStyle w:val="000000000000" w:firstRow="0" w:lastRow="0" w:firstColumn="0" w:lastColumn="0" w:oddVBand="0" w:evenVBand="0" w:oddHBand="0" w:evenHBand="0" w:firstRowFirstColumn="0" w:firstRowLastColumn="0" w:lastRowFirstColumn="0" w:lastRowLastColumn="0"/>
            </w:pPr>
            <w:r w:rsidRPr="0021550A">
              <w:t>0</w:t>
            </w:r>
          </w:p>
        </w:tc>
        <w:tc>
          <w:tcPr>
            <w:tcW w:w="504" w:type="pct"/>
            <w:noWrap/>
            <w:hideMark/>
          </w:tcPr>
          <w:p w14:paraId="6470F263" w14:textId="77777777" w:rsidR="00D0045A" w:rsidRPr="0021550A" w:rsidRDefault="00D0045A" w:rsidP="00A3799B">
            <w:pPr>
              <w:ind w:firstLine="0"/>
              <w:jc w:val="center"/>
              <w:cnfStyle w:val="000000000000" w:firstRow="0" w:lastRow="0" w:firstColumn="0" w:lastColumn="0" w:oddVBand="0" w:evenVBand="0" w:oddHBand="0" w:evenHBand="0" w:firstRowFirstColumn="0" w:firstRowLastColumn="0" w:lastRowFirstColumn="0" w:lastRowLastColumn="0"/>
            </w:pPr>
            <w:r w:rsidRPr="0021550A">
              <w:t>0</w:t>
            </w:r>
          </w:p>
        </w:tc>
        <w:tc>
          <w:tcPr>
            <w:tcW w:w="506" w:type="pct"/>
            <w:noWrap/>
            <w:hideMark/>
          </w:tcPr>
          <w:p w14:paraId="5C0FA797" w14:textId="77777777" w:rsidR="00D0045A" w:rsidRPr="0021550A" w:rsidRDefault="00D0045A" w:rsidP="00A3799B">
            <w:pPr>
              <w:ind w:firstLine="0"/>
              <w:jc w:val="center"/>
              <w:cnfStyle w:val="000000000000" w:firstRow="0" w:lastRow="0" w:firstColumn="0" w:lastColumn="0" w:oddVBand="0" w:evenVBand="0" w:oddHBand="0" w:evenHBand="0" w:firstRowFirstColumn="0" w:firstRowLastColumn="0" w:lastRowFirstColumn="0" w:lastRowLastColumn="0"/>
            </w:pPr>
            <w:r w:rsidRPr="0021550A">
              <w:t>0</w:t>
            </w:r>
          </w:p>
        </w:tc>
        <w:tc>
          <w:tcPr>
            <w:tcW w:w="504" w:type="pct"/>
            <w:noWrap/>
            <w:hideMark/>
          </w:tcPr>
          <w:p w14:paraId="5F9D2DB6" w14:textId="77777777" w:rsidR="00D0045A" w:rsidRPr="0021550A" w:rsidRDefault="00D0045A" w:rsidP="00A3799B">
            <w:pPr>
              <w:ind w:firstLine="0"/>
              <w:jc w:val="center"/>
              <w:cnfStyle w:val="000000000000" w:firstRow="0" w:lastRow="0" w:firstColumn="0" w:lastColumn="0" w:oddVBand="0" w:evenVBand="0" w:oddHBand="0" w:evenHBand="0" w:firstRowFirstColumn="0" w:firstRowLastColumn="0" w:lastRowFirstColumn="0" w:lastRowLastColumn="0"/>
            </w:pPr>
            <w:r w:rsidRPr="0021550A">
              <w:t>0</w:t>
            </w:r>
          </w:p>
        </w:tc>
        <w:tc>
          <w:tcPr>
            <w:tcW w:w="507" w:type="pct"/>
            <w:noWrap/>
            <w:hideMark/>
          </w:tcPr>
          <w:p w14:paraId="2BEF8180" w14:textId="77777777" w:rsidR="00D0045A" w:rsidRPr="0021550A" w:rsidRDefault="00D0045A" w:rsidP="00A3799B">
            <w:pPr>
              <w:ind w:firstLine="0"/>
              <w:jc w:val="center"/>
              <w:cnfStyle w:val="000000000000" w:firstRow="0" w:lastRow="0" w:firstColumn="0" w:lastColumn="0" w:oddVBand="0" w:evenVBand="0" w:oddHBand="0" w:evenHBand="0" w:firstRowFirstColumn="0" w:firstRowLastColumn="0" w:lastRowFirstColumn="0" w:lastRowLastColumn="0"/>
            </w:pPr>
            <w:r w:rsidRPr="0021550A">
              <w:t>0</w:t>
            </w:r>
          </w:p>
        </w:tc>
      </w:tr>
      <w:tr w:rsidR="00D0045A" w:rsidRPr="0021550A" w14:paraId="272E5E2E" w14:textId="77777777" w:rsidTr="00A3799B">
        <w:trPr>
          <w:trHeight w:val="407"/>
        </w:trPr>
        <w:tc>
          <w:tcPr>
            <w:cnfStyle w:val="001000000000" w:firstRow="0" w:lastRow="0" w:firstColumn="1" w:lastColumn="0" w:oddVBand="0" w:evenVBand="0" w:oddHBand="0" w:evenHBand="0" w:firstRowFirstColumn="0" w:firstRowLastColumn="0" w:lastRowFirstColumn="0" w:lastRowLastColumn="0"/>
            <w:tcW w:w="961" w:type="pct"/>
            <w:noWrap/>
            <w:hideMark/>
          </w:tcPr>
          <w:p w14:paraId="444D8DC6" w14:textId="77777777" w:rsidR="00D0045A" w:rsidRPr="00D0045A" w:rsidRDefault="00D0045A" w:rsidP="00A3799B">
            <w:pPr>
              <w:ind w:firstLine="0"/>
              <w:jc w:val="center"/>
              <w:rPr>
                <w:b w:val="0"/>
              </w:rPr>
            </w:pPr>
            <w:r w:rsidRPr="00D0045A">
              <w:rPr>
                <w:b w:val="0"/>
              </w:rPr>
              <w:t>Reynard the Fox</w:t>
            </w:r>
          </w:p>
        </w:tc>
        <w:tc>
          <w:tcPr>
            <w:tcW w:w="504" w:type="pct"/>
            <w:noWrap/>
            <w:hideMark/>
          </w:tcPr>
          <w:p w14:paraId="6E44B780" w14:textId="77777777" w:rsidR="00D0045A" w:rsidRPr="0021550A" w:rsidRDefault="00D0045A" w:rsidP="00A3799B">
            <w:pPr>
              <w:ind w:firstLine="0"/>
              <w:jc w:val="center"/>
              <w:cnfStyle w:val="000000000000" w:firstRow="0" w:lastRow="0" w:firstColumn="0" w:lastColumn="0" w:oddVBand="0" w:evenVBand="0" w:oddHBand="0" w:evenHBand="0" w:firstRowFirstColumn="0" w:firstRowLastColumn="0" w:lastRowFirstColumn="0" w:lastRowLastColumn="0"/>
            </w:pPr>
            <w:r w:rsidRPr="0021550A">
              <w:t>0</w:t>
            </w:r>
          </w:p>
        </w:tc>
        <w:tc>
          <w:tcPr>
            <w:tcW w:w="520" w:type="pct"/>
            <w:noWrap/>
            <w:hideMark/>
          </w:tcPr>
          <w:p w14:paraId="5D4089C8" w14:textId="77777777" w:rsidR="00D0045A" w:rsidRPr="0021550A" w:rsidRDefault="00D0045A" w:rsidP="00A3799B">
            <w:pPr>
              <w:ind w:firstLine="0"/>
              <w:jc w:val="center"/>
              <w:cnfStyle w:val="000000000000" w:firstRow="0" w:lastRow="0" w:firstColumn="0" w:lastColumn="0" w:oddVBand="0" w:evenVBand="0" w:oddHBand="0" w:evenHBand="0" w:firstRowFirstColumn="0" w:firstRowLastColumn="0" w:lastRowFirstColumn="0" w:lastRowLastColumn="0"/>
            </w:pPr>
            <w:r w:rsidRPr="0021550A">
              <w:t>0</w:t>
            </w:r>
          </w:p>
        </w:tc>
        <w:tc>
          <w:tcPr>
            <w:tcW w:w="520" w:type="pct"/>
            <w:noWrap/>
            <w:hideMark/>
          </w:tcPr>
          <w:p w14:paraId="0FF2A73C" w14:textId="77777777" w:rsidR="00D0045A" w:rsidRPr="0021550A" w:rsidRDefault="00D0045A" w:rsidP="00A3799B">
            <w:pPr>
              <w:ind w:firstLine="0"/>
              <w:jc w:val="center"/>
              <w:cnfStyle w:val="000000000000" w:firstRow="0" w:lastRow="0" w:firstColumn="0" w:lastColumn="0" w:oddVBand="0" w:evenVBand="0" w:oddHBand="0" w:evenHBand="0" w:firstRowFirstColumn="0" w:firstRowLastColumn="0" w:lastRowFirstColumn="0" w:lastRowLastColumn="0"/>
            </w:pPr>
            <w:r w:rsidRPr="0021550A">
              <w:t>0</w:t>
            </w:r>
          </w:p>
        </w:tc>
        <w:tc>
          <w:tcPr>
            <w:tcW w:w="474" w:type="pct"/>
          </w:tcPr>
          <w:p w14:paraId="6B0659A6" w14:textId="77777777" w:rsidR="00D0045A" w:rsidRPr="0021550A" w:rsidRDefault="00D0045A" w:rsidP="00A3799B">
            <w:pPr>
              <w:ind w:firstLine="0"/>
              <w:jc w:val="center"/>
              <w:cnfStyle w:val="000000000000" w:firstRow="0" w:lastRow="0" w:firstColumn="0" w:lastColumn="0" w:oddVBand="0" w:evenVBand="0" w:oddHBand="0" w:evenHBand="0" w:firstRowFirstColumn="0" w:firstRowLastColumn="0" w:lastRowFirstColumn="0" w:lastRowLastColumn="0"/>
            </w:pPr>
            <w:r w:rsidRPr="0021550A">
              <w:t>0</w:t>
            </w:r>
          </w:p>
        </w:tc>
        <w:tc>
          <w:tcPr>
            <w:tcW w:w="504" w:type="pct"/>
            <w:noWrap/>
            <w:hideMark/>
          </w:tcPr>
          <w:p w14:paraId="6DAA1FA0" w14:textId="77777777" w:rsidR="00D0045A" w:rsidRPr="0021550A" w:rsidRDefault="00D0045A" w:rsidP="00A3799B">
            <w:pPr>
              <w:ind w:firstLine="0"/>
              <w:jc w:val="center"/>
              <w:cnfStyle w:val="000000000000" w:firstRow="0" w:lastRow="0" w:firstColumn="0" w:lastColumn="0" w:oddVBand="0" w:evenVBand="0" w:oddHBand="0" w:evenHBand="0" w:firstRowFirstColumn="0" w:firstRowLastColumn="0" w:lastRowFirstColumn="0" w:lastRowLastColumn="0"/>
            </w:pPr>
            <w:r w:rsidRPr="0021550A">
              <w:t>0</w:t>
            </w:r>
          </w:p>
        </w:tc>
        <w:tc>
          <w:tcPr>
            <w:tcW w:w="506" w:type="pct"/>
            <w:noWrap/>
            <w:hideMark/>
          </w:tcPr>
          <w:p w14:paraId="328C33BD" w14:textId="77777777" w:rsidR="00D0045A" w:rsidRPr="0021550A" w:rsidRDefault="00D0045A" w:rsidP="00A3799B">
            <w:pPr>
              <w:ind w:firstLine="0"/>
              <w:jc w:val="center"/>
              <w:cnfStyle w:val="000000000000" w:firstRow="0" w:lastRow="0" w:firstColumn="0" w:lastColumn="0" w:oddVBand="0" w:evenVBand="0" w:oddHBand="0" w:evenHBand="0" w:firstRowFirstColumn="0" w:firstRowLastColumn="0" w:lastRowFirstColumn="0" w:lastRowLastColumn="0"/>
            </w:pPr>
            <w:r w:rsidRPr="0021550A">
              <w:t>0</w:t>
            </w:r>
          </w:p>
        </w:tc>
        <w:tc>
          <w:tcPr>
            <w:tcW w:w="504" w:type="pct"/>
            <w:noWrap/>
            <w:hideMark/>
          </w:tcPr>
          <w:p w14:paraId="47A9A1D1" w14:textId="77777777" w:rsidR="00D0045A" w:rsidRPr="0021550A" w:rsidRDefault="00D0045A" w:rsidP="00A3799B">
            <w:pPr>
              <w:ind w:firstLine="0"/>
              <w:jc w:val="center"/>
              <w:cnfStyle w:val="000000000000" w:firstRow="0" w:lastRow="0" w:firstColumn="0" w:lastColumn="0" w:oddVBand="0" w:evenVBand="0" w:oddHBand="0" w:evenHBand="0" w:firstRowFirstColumn="0" w:firstRowLastColumn="0" w:lastRowFirstColumn="0" w:lastRowLastColumn="0"/>
            </w:pPr>
            <w:r w:rsidRPr="0021550A">
              <w:t>0</w:t>
            </w:r>
          </w:p>
        </w:tc>
        <w:tc>
          <w:tcPr>
            <w:tcW w:w="507" w:type="pct"/>
            <w:noWrap/>
            <w:hideMark/>
          </w:tcPr>
          <w:p w14:paraId="51B1A5B1" w14:textId="77777777" w:rsidR="00D0045A" w:rsidRPr="0021550A" w:rsidRDefault="00D0045A" w:rsidP="00A3799B">
            <w:pPr>
              <w:ind w:firstLine="0"/>
              <w:jc w:val="center"/>
              <w:cnfStyle w:val="000000000000" w:firstRow="0" w:lastRow="0" w:firstColumn="0" w:lastColumn="0" w:oddVBand="0" w:evenVBand="0" w:oddHBand="0" w:evenHBand="0" w:firstRowFirstColumn="0" w:firstRowLastColumn="0" w:lastRowFirstColumn="0" w:lastRowLastColumn="0"/>
            </w:pPr>
            <w:r w:rsidRPr="0021550A">
              <w:t>0</w:t>
            </w:r>
          </w:p>
        </w:tc>
      </w:tr>
      <w:tr w:rsidR="00D0045A" w:rsidRPr="0021550A" w14:paraId="6A17BDFA" w14:textId="77777777" w:rsidTr="00A3799B">
        <w:trPr>
          <w:trHeight w:val="407"/>
        </w:trPr>
        <w:tc>
          <w:tcPr>
            <w:cnfStyle w:val="001000000000" w:firstRow="0" w:lastRow="0" w:firstColumn="1" w:lastColumn="0" w:oddVBand="0" w:evenVBand="0" w:oddHBand="0" w:evenHBand="0" w:firstRowFirstColumn="0" w:firstRowLastColumn="0" w:lastRowFirstColumn="0" w:lastRowLastColumn="0"/>
            <w:tcW w:w="961" w:type="pct"/>
            <w:noWrap/>
            <w:hideMark/>
          </w:tcPr>
          <w:p w14:paraId="38DFCD3F" w14:textId="77777777" w:rsidR="00D0045A" w:rsidRPr="00D0045A" w:rsidRDefault="00D0045A" w:rsidP="00A3799B">
            <w:pPr>
              <w:ind w:firstLine="0"/>
              <w:jc w:val="center"/>
              <w:rPr>
                <w:b w:val="0"/>
              </w:rPr>
            </w:pPr>
            <w:r w:rsidRPr="00D0045A">
              <w:rPr>
                <w:b w:val="0"/>
              </w:rPr>
              <w:t>Paris and Vienne</w:t>
            </w:r>
          </w:p>
        </w:tc>
        <w:tc>
          <w:tcPr>
            <w:tcW w:w="504" w:type="pct"/>
            <w:noWrap/>
            <w:hideMark/>
          </w:tcPr>
          <w:p w14:paraId="7CD1CF1D" w14:textId="77777777" w:rsidR="00D0045A" w:rsidRPr="0021550A" w:rsidRDefault="00D0045A" w:rsidP="00A3799B">
            <w:pPr>
              <w:ind w:firstLine="0"/>
              <w:jc w:val="center"/>
              <w:cnfStyle w:val="000000000000" w:firstRow="0" w:lastRow="0" w:firstColumn="0" w:lastColumn="0" w:oddVBand="0" w:evenVBand="0" w:oddHBand="0" w:evenHBand="0" w:firstRowFirstColumn="0" w:firstRowLastColumn="0" w:lastRowFirstColumn="0" w:lastRowLastColumn="0"/>
            </w:pPr>
            <w:r w:rsidRPr="0021550A">
              <w:t>0</w:t>
            </w:r>
          </w:p>
        </w:tc>
        <w:tc>
          <w:tcPr>
            <w:tcW w:w="520" w:type="pct"/>
            <w:noWrap/>
            <w:hideMark/>
          </w:tcPr>
          <w:p w14:paraId="18037496" w14:textId="77777777" w:rsidR="00D0045A" w:rsidRPr="0021550A" w:rsidRDefault="00D0045A" w:rsidP="00A3799B">
            <w:pPr>
              <w:ind w:firstLine="0"/>
              <w:jc w:val="center"/>
              <w:cnfStyle w:val="000000000000" w:firstRow="0" w:lastRow="0" w:firstColumn="0" w:lastColumn="0" w:oddVBand="0" w:evenVBand="0" w:oddHBand="0" w:evenHBand="0" w:firstRowFirstColumn="0" w:firstRowLastColumn="0" w:lastRowFirstColumn="0" w:lastRowLastColumn="0"/>
            </w:pPr>
            <w:r w:rsidRPr="0021550A">
              <w:t>0</w:t>
            </w:r>
          </w:p>
        </w:tc>
        <w:tc>
          <w:tcPr>
            <w:tcW w:w="520" w:type="pct"/>
            <w:noWrap/>
            <w:hideMark/>
          </w:tcPr>
          <w:p w14:paraId="579C6B71" w14:textId="77777777" w:rsidR="00D0045A" w:rsidRPr="0021550A" w:rsidRDefault="00D0045A" w:rsidP="00A3799B">
            <w:pPr>
              <w:ind w:firstLine="0"/>
              <w:jc w:val="center"/>
              <w:cnfStyle w:val="000000000000" w:firstRow="0" w:lastRow="0" w:firstColumn="0" w:lastColumn="0" w:oddVBand="0" w:evenVBand="0" w:oddHBand="0" w:evenHBand="0" w:firstRowFirstColumn="0" w:firstRowLastColumn="0" w:lastRowFirstColumn="0" w:lastRowLastColumn="0"/>
            </w:pPr>
            <w:r w:rsidRPr="0021550A">
              <w:t>0</w:t>
            </w:r>
          </w:p>
        </w:tc>
        <w:tc>
          <w:tcPr>
            <w:tcW w:w="474" w:type="pct"/>
            <w:shd w:val="clear" w:color="auto" w:fill="FFF2CC" w:themeFill="accent4" w:themeFillTint="33"/>
          </w:tcPr>
          <w:p w14:paraId="26D2BCCC" w14:textId="77777777" w:rsidR="00D0045A" w:rsidRPr="0021550A" w:rsidRDefault="00D0045A" w:rsidP="00A3799B">
            <w:pPr>
              <w:ind w:firstLine="0"/>
              <w:jc w:val="center"/>
              <w:cnfStyle w:val="000000000000" w:firstRow="0" w:lastRow="0" w:firstColumn="0" w:lastColumn="0" w:oddVBand="0" w:evenVBand="0" w:oddHBand="0" w:evenHBand="0" w:firstRowFirstColumn="0" w:firstRowLastColumn="0" w:lastRowFirstColumn="0" w:lastRowLastColumn="0"/>
            </w:pPr>
            <w:r w:rsidRPr="0021550A">
              <w:t>1</w:t>
            </w:r>
          </w:p>
        </w:tc>
        <w:tc>
          <w:tcPr>
            <w:tcW w:w="504" w:type="pct"/>
            <w:noWrap/>
            <w:hideMark/>
          </w:tcPr>
          <w:p w14:paraId="7DA1A36A" w14:textId="77777777" w:rsidR="00D0045A" w:rsidRPr="0021550A" w:rsidRDefault="00D0045A" w:rsidP="00A3799B">
            <w:pPr>
              <w:ind w:firstLine="0"/>
              <w:jc w:val="center"/>
              <w:cnfStyle w:val="000000000000" w:firstRow="0" w:lastRow="0" w:firstColumn="0" w:lastColumn="0" w:oddVBand="0" w:evenVBand="0" w:oddHBand="0" w:evenHBand="0" w:firstRowFirstColumn="0" w:firstRowLastColumn="0" w:lastRowFirstColumn="0" w:lastRowLastColumn="0"/>
            </w:pPr>
            <w:r w:rsidRPr="0021550A">
              <w:t>0</w:t>
            </w:r>
          </w:p>
        </w:tc>
        <w:tc>
          <w:tcPr>
            <w:tcW w:w="506" w:type="pct"/>
            <w:noWrap/>
            <w:hideMark/>
          </w:tcPr>
          <w:p w14:paraId="3D071A63" w14:textId="77777777" w:rsidR="00D0045A" w:rsidRPr="0021550A" w:rsidRDefault="00D0045A" w:rsidP="00A3799B">
            <w:pPr>
              <w:ind w:firstLine="0"/>
              <w:jc w:val="center"/>
              <w:cnfStyle w:val="000000000000" w:firstRow="0" w:lastRow="0" w:firstColumn="0" w:lastColumn="0" w:oddVBand="0" w:evenVBand="0" w:oddHBand="0" w:evenHBand="0" w:firstRowFirstColumn="0" w:firstRowLastColumn="0" w:lastRowFirstColumn="0" w:lastRowLastColumn="0"/>
            </w:pPr>
            <w:r w:rsidRPr="0021550A">
              <w:t>0</w:t>
            </w:r>
          </w:p>
        </w:tc>
        <w:tc>
          <w:tcPr>
            <w:tcW w:w="504" w:type="pct"/>
            <w:noWrap/>
            <w:hideMark/>
          </w:tcPr>
          <w:p w14:paraId="548C0BA0" w14:textId="77777777" w:rsidR="00D0045A" w:rsidRPr="0021550A" w:rsidRDefault="00D0045A" w:rsidP="00A3799B">
            <w:pPr>
              <w:ind w:firstLine="0"/>
              <w:jc w:val="center"/>
              <w:cnfStyle w:val="000000000000" w:firstRow="0" w:lastRow="0" w:firstColumn="0" w:lastColumn="0" w:oddVBand="0" w:evenVBand="0" w:oddHBand="0" w:evenHBand="0" w:firstRowFirstColumn="0" w:firstRowLastColumn="0" w:lastRowFirstColumn="0" w:lastRowLastColumn="0"/>
            </w:pPr>
            <w:r w:rsidRPr="0021550A">
              <w:t>0</w:t>
            </w:r>
          </w:p>
        </w:tc>
        <w:tc>
          <w:tcPr>
            <w:tcW w:w="507" w:type="pct"/>
            <w:noWrap/>
            <w:hideMark/>
          </w:tcPr>
          <w:p w14:paraId="1BA6D3CA" w14:textId="77777777" w:rsidR="00D0045A" w:rsidRPr="0021550A" w:rsidRDefault="00D0045A" w:rsidP="00A3799B">
            <w:pPr>
              <w:ind w:firstLine="0"/>
              <w:jc w:val="center"/>
              <w:cnfStyle w:val="000000000000" w:firstRow="0" w:lastRow="0" w:firstColumn="0" w:lastColumn="0" w:oddVBand="0" w:evenVBand="0" w:oddHBand="0" w:evenHBand="0" w:firstRowFirstColumn="0" w:firstRowLastColumn="0" w:lastRowFirstColumn="0" w:lastRowLastColumn="0"/>
            </w:pPr>
            <w:r w:rsidRPr="0021550A">
              <w:t>0</w:t>
            </w:r>
          </w:p>
        </w:tc>
      </w:tr>
      <w:tr w:rsidR="00D0045A" w:rsidRPr="0021550A" w14:paraId="0A53748B" w14:textId="77777777" w:rsidTr="00A3799B">
        <w:trPr>
          <w:trHeight w:val="407"/>
        </w:trPr>
        <w:tc>
          <w:tcPr>
            <w:cnfStyle w:val="001000000000" w:firstRow="0" w:lastRow="0" w:firstColumn="1" w:lastColumn="0" w:oddVBand="0" w:evenVBand="0" w:oddHBand="0" w:evenHBand="0" w:firstRowFirstColumn="0" w:firstRowLastColumn="0" w:lastRowFirstColumn="0" w:lastRowLastColumn="0"/>
            <w:tcW w:w="961" w:type="pct"/>
            <w:noWrap/>
            <w:hideMark/>
          </w:tcPr>
          <w:p w14:paraId="2BE0189B" w14:textId="77777777" w:rsidR="00D0045A" w:rsidRPr="00D0045A" w:rsidRDefault="00D0045A" w:rsidP="00A3799B">
            <w:pPr>
              <w:ind w:firstLine="0"/>
              <w:jc w:val="center"/>
              <w:rPr>
                <w:b w:val="0"/>
              </w:rPr>
            </w:pPr>
            <w:r w:rsidRPr="00D0045A">
              <w:rPr>
                <w:b w:val="0"/>
              </w:rPr>
              <w:t>Book of Good Manners</w:t>
            </w:r>
          </w:p>
        </w:tc>
        <w:tc>
          <w:tcPr>
            <w:tcW w:w="504" w:type="pct"/>
            <w:noWrap/>
            <w:hideMark/>
          </w:tcPr>
          <w:p w14:paraId="4F1CC4A7" w14:textId="77777777" w:rsidR="00D0045A" w:rsidRPr="0021550A" w:rsidRDefault="00D0045A" w:rsidP="00A3799B">
            <w:pPr>
              <w:ind w:firstLine="0"/>
              <w:jc w:val="center"/>
              <w:cnfStyle w:val="000000000000" w:firstRow="0" w:lastRow="0" w:firstColumn="0" w:lastColumn="0" w:oddVBand="0" w:evenVBand="0" w:oddHBand="0" w:evenHBand="0" w:firstRowFirstColumn="0" w:firstRowLastColumn="0" w:lastRowFirstColumn="0" w:lastRowLastColumn="0"/>
            </w:pPr>
            <w:r w:rsidRPr="0021550A">
              <w:t>0</w:t>
            </w:r>
          </w:p>
        </w:tc>
        <w:tc>
          <w:tcPr>
            <w:tcW w:w="520" w:type="pct"/>
            <w:noWrap/>
            <w:hideMark/>
          </w:tcPr>
          <w:p w14:paraId="1DB12C69" w14:textId="77777777" w:rsidR="00D0045A" w:rsidRPr="0021550A" w:rsidRDefault="00D0045A" w:rsidP="00A3799B">
            <w:pPr>
              <w:ind w:firstLine="0"/>
              <w:jc w:val="center"/>
              <w:cnfStyle w:val="000000000000" w:firstRow="0" w:lastRow="0" w:firstColumn="0" w:lastColumn="0" w:oddVBand="0" w:evenVBand="0" w:oddHBand="0" w:evenHBand="0" w:firstRowFirstColumn="0" w:firstRowLastColumn="0" w:lastRowFirstColumn="0" w:lastRowLastColumn="0"/>
            </w:pPr>
            <w:r w:rsidRPr="0021550A">
              <w:t>0</w:t>
            </w:r>
          </w:p>
        </w:tc>
        <w:tc>
          <w:tcPr>
            <w:tcW w:w="520" w:type="pct"/>
            <w:noWrap/>
            <w:hideMark/>
          </w:tcPr>
          <w:p w14:paraId="310187A5" w14:textId="77777777" w:rsidR="00D0045A" w:rsidRPr="0021550A" w:rsidRDefault="00D0045A" w:rsidP="00A3799B">
            <w:pPr>
              <w:ind w:firstLine="0"/>
              <w:jc w:val="center"/>
              <w:cnfStyle w:val="000000000000" w:firstRow="0" w:lastRow="0" w:firstColumn="0" w:lastColumn="0" w:oddVBand="0" w:evenVBand="0" w:oddHBand="0" w:evenHBand="0" w:firstRowFirstColumn="0" w:firstRowLastColumn="0" w:lastRowFirstColumn="0" w:lastRowLastColumn="0"/>
            </w:pPr>
            <w:r w:rsidRPr="0021550A">
              <w:t>0</w:t>
            </w:r>
          </w:p>
        </w:tc>
        <w:tc>
          <w:tcPr>
            <w:tcW w:w="474" w:type="pct"/>
          </w:tcPr>
          <w:p w14:paraId="22BD9411" w14:textId="77777777" w:rsidR="00D0045A" w:rsidRPr="0021550A" w:rsidRDefault="00D0045A" w:rsidP="00A3799B">
            <w:pPr>
              <w:ind w:firstLine="0"/>
              <w:jc w:val="center"/>
              <w:cnfStyle w:val="000000000000" w:firstRow="0" w:lastRow="0" w:firstColumn="0" w:lastColumn="0" w:oddVBand="0" w:evenVBand="0" w:oddHBand="0" w:evenHBand="0" w:firstRowFirstColumn="0" w:firstRowLastColumn="0" w:lastRowFirstColumn="0" w:lastRowLastColumn="0"/>
            </w:pPr>
            <w:r w:rsidRPr="0021550A">
              <w:t>0</w:t>
            </w:r>
          </w:p>
        </w:tc>
        <w:tc>
          <w:tcPr>
            <w:tcW w:w="504" w:type="pct"/>
            <w:noWrap/>
            <w:hideMark/>
          </w:tcPr>
          <w:p w14:paraId="5DE622D2" w14:textId="77777777" w:rsidR="00D0045A" w:rsidRPr="0021550A" w:rsidRDefault="00D0045A" w:rsidP="00A3799B">
            <w:pPr>
              <w:ind w:firstLine="0"/>
              <w:jc w:val="center"/>
              <w:cnfStyle w:val="000000000000" w:firstRow="0" w:lastRow="0" w:firstColumn="0" w:lastColumn="0" w:oddVBand="0" w:evenVBand="0" w:oddHBand="0" w:evenHBand="0" w:firstRowFirstColumn="0" w:firstRowLastColumn="0" w:lastRowFirstColumn="0" w:lastRowLastColumn="0"/>
            </w:pPr>
            <w:r w:rsidRPr="0021550A">
              <w:t>0</w:t>
            </w:r>
          </w:p>
        </w:tc>
        <w:tc>
          <w:tcPr>
            <w:tcW w:w="506" w:type="pct"/>
            <w:noWrap/>
            <w:hideMark/>
          </w:tcPr>
          <w:p w14:paraId="60D2B98A" w14:textId="77777777" w:rsidR="00D0045A" w:rsidRPr="0021550A" w:rsidRDefault="00D0045A" w:rsidP="00A3799B">
            <w:pPr>
              <w:ind w:firstLine="0"/>
              <w:jc w:val="center"/>
              <w:cnfStyle w:val="000000000000" w:firstRow="0" w:lastRow="0" w:firstColumn="0" w:lastColumn="0" w:oddVBand="0" w:evenVBand="0" w:oddHBand="0" w:evenHBand="0" w:firstRowFirstColumn="0" w:firstRowLastColumn="0" w:lastRowFirstColumn="0" w:lastRowLastColumn="0"/>
            </w:pPr>
            <w:r w:rsidRPr="0021550A">
              <w:t>0</w:t>
            </w:r>
          </w:p>
        </w:tc>
        <w:tc>
          <w:tcPr>
            <w:tcW w:w="504" w:type="pct"/>
            <w:noWrap/>
            <w:hideMark/>
          </w:tcPr>
          <w:p w14:paraId="0F24C884" w14:textId="77777777" w:rsidR="00D0045A" w:rsidRPr="0021550A" w:rsidRDefault="00D0045A" w:rsidP="00A3799B">
            <w:pPr>
              <w:ind w:firstLine="0"/>
              <w:jc w:val="center"/>
              <w:cnfStyle w:val="000000000000" w:firstRow="0" w:lastRow="0" w:firstColumn="0" w:lastColumn="0" w:oddVBand="0" w:evenVBand="0" w:oddHBand="0" w:evenHBand="0" w:firstRowFirstColumn="0" w:firstRowLastColumn="0" w:lastRowFirstColumn="0" w:lastRowLastColumn="0"/>
            </w:pPr>
            <w:r w:rsidRPr="0021550A">
              <w:t>0</w:t>
            </w:r>
          </w:p>
        </w:tc>
        <w:tc>
          <w:tcPr>
            <w:tcW w:w="507" w:type="pct"/>
            <w:noWrap/>
            <w:hideMark/>
          </w:tcPr>
          <w:p w14:paraId="112D1A37" w14:textId="77777777" w:rsidR="00D0045A" w:rsidRPr="0021550A" w:rsidRDefault="00D0045A" w:rsidP="00A3799B">
            <w:pPr>
              <w:ind w:firstLine="0"/>
              <w:jc w:val="center"/>
              <w:cnfStyle w:val="000000000000" w:firstRow="0" w:lastRow="0" w:firstColumn="0" w:lastColumn="0" w:oddVBand="0" w:evenVBand="0" w:oddHBand="0" w:evenHBand="0" w:firstRowFirstColumn="0" w:firstRowLastColumn="0" w:lastRowFirstColumn="0" w:lastRowLastColumn="0"/>
            </w:pPr>
            <w:r w:rsidRPr="0021550A">
              <w:t>0</w:t>
            </w:r>
          </w:p>
        </w:tc>
      </w:tr>
      <w:tr w:rsidR="00D0045A" w:rsidRPr="0021550A" w14:paraId="4C052451" w14:textId="77777777" w:rsidTr="00A3799B">
        <w:trPr>
          <w:trHeight w:val="407"/>
        </w:trPr>
        <w:tc>
          <w:tcPr>
            <w:cnfStyle w:val="001000000000" w:firstRow="0" w:lastRow="0" w:firstColumn="1" w:lastColumn="0" w:oddVBand="0" w:evenVBand="0" w:oddHBand="0" w:evenHBand="0" w:firstRowFirstColumn="0" w:firstRowLastColumn="0" w:lastRowFirstColumn="0" w:lastRowLastColumn="0"/>
            <w:tcW w:w="961" w:type="pct"/>
            <w:noWrap/>
            <w:hideMark/>
          </w:tcPr>
          <w:p w14:paraId="3EAAB3B1" w14:textId="77777777" w:rsidR="00D0045A" w:rsidRPr="00D0045A" w:rsidRDefault="00D0045A" w:rsidP="00A3799B">
            <w:pPr>
              <w:ind w:firstLine="0"/>
              <w:jc w:val="center"/>
              <w:rPr>
                <w:b w:val="0"/>
              </w:rPr>
            </w:pPr>
            <w:r w:rsidRPr="00D0045A">
              <w:rPr>
                <w:b w:val="0"/>
              </w:rPr>
              <w:t>Confessio Amantis</w:t>
            </w:r>
          </w:p>
        </w:tc>
        <w:tc>
          <w:tcPr>
            <w:tcW w:w="504" w:type="pct"/>
            <w:shd w:val="clear" w:color="auto" w:fill="FFF2CC" w:themeFill="accent4" w:themeFillTint="33"/>
            <w:noWrap/>
            <w:hideMark/>
          </w:tcPr>
          <w:p w14:paraId="35BC53CF" w14:textId="77777777" w:rsidR="00D0045A" w:rsidRPr="0021550A" w:rsidRDefault="00D0045A" w:rsidP="00A3799B">
            <w:pPr>
              <w:ind w:firstLine="0"/>
              <w:jc w:val="center"/>
              <w:cnfStyle w:val="000000000000" w:firstRow="0" w:lastRow="0" w:firstColumn="0" w:lastColumn="0" w:oddVBand="0" w:evenVBand="0" w:oddHBand="0" w:evenHBand="0" w:firstRowFirstColumn="0" w:firstRowLastColumn="0" w:lastRowFirstColumn="0" w:lastRowLastColumn="0"/>
            </w:pPr>
            <w:r w:rsidRPr="0021550A">
              <w:t>0.60</w:t>
            </w:r>
          </w:p>
        </w:tc>
        <w:tc>
          <w:tcPr>
            <w:tcW w:w="520" w:type="pct"/>
            <w:noWrap/>
            <w:hideMark/>
          </w:tcPr>
          <w:p w14:paraId="14E8031E" w14:textId="77777777" w:rsidR="00D0045A" w:rsidRPr="0021550A" w:rsidRDefault="00D0045A" w:rsidP="00A3799B">
            <w:pPr>
              <w:ind w:firstLine="0"/>
              <w:jc w:val="center"/>
              <w:cnfStyle w:val="000000000000" w:firstRow="0" w:lastRow="0" w:firstColumn="0" w:lastColumn="0" w:oddVBand="0" w:evenVBand="0" w:oddHBand="0" w:evenHBand="0" w:firstRowFirstColumn="0" w:firstRowLastColumn="0" w:lastRowFirstColumn="0" w:lastRowLastColumn="0"/>
            </w:pPr>
            <w:r w:rsidRPr="0021550A">
              <w:t>0</w:t>
            </w:r>
          </w:p>
        </w:tc>
        <w:tc>
          <w:tcPr>
            <w:tcW w:w="520" w:type="pct"/>
            <w:shd w:val="clear" w:color="auto" w:fill="FFF2CC" w:themeFill="accent4" w:themeFillTint="33"/>
            <w:noWrap/>
            <w:hideMark/>
          </w:tcPr>
          <w:p w14:paraId="23CC645A" w14:textId="77777777" w:rsidR="00D0045A" w:rsidRPr="0021550A" w:rsidRDefault="00D0045A" w:rsidP="00A3799B">
            <w:pPr>
              <w:ind w:firstLine="0"/>
              <w:jc w:val="center"/>
              <w:cnfStyle w:val="000000000000" w:firstRow="0" w:lastRow="0" w:firstColumn="0" w:lastColumn="0" w:oddVBand="0" w:evenVBand="0" w:oddHBand="0" w:evenHBand="0" w:firstRowFirstColumn="0" w:firstRowLastColumn="0" w:lastRowFirstColumn="0" w:lastRowLastColumn="0"/>
            </w:pPr>
            <w:r w:rsidRPr="0021550A">
              <w:t>0.40</w:t>
            </w:r>
          </w:p>
        </w:tc>
        <w:tc>
          <w:tcPr>
            <w:tcW w:w="474" w:type="pct"/>
          </w:tcPr>
          <w:p w14:paraId="73328AFD" w14:textId="77777777" w:rsidR="00D0045A" w:rsidRPr="0021550A" w:rsidRDefault="00D0045A" w:rsidP="00A3799B">
            <w:pPr>
              <w:ind w:firstLine="0"/>
              <w:jc w:val="center"/>
              <w:cnfStyle w:val="000000000000" w:firstRow="0" w:lastRow="0" w:firstColumn="0" w:lastColumn="0" w:oddVBand="0" w:evenVBand="0" w:oddHBand="0" w:evenHBand="0" w:firstRowFirstColumn="0" w:firstRowLastColumn="0" w:lastRowFirstColumn="0" w:lastRowLastColumn="0"/>
            </w:pPr>
            <w:r w:rsidRPr="0021550A">
              <w:t>0</w:t>
            </w:r>
          </w:p>
        </w:tc>
        <w:tc>
          <w:tcPr>
            <w:tcW w:w="504" w:type="pct"/>
            <w:noWrap/>
            <w:hideMark/>
          </w:tcPr>
          <w:p w14:paraId="750AF1E2" w14:textId="77777777" w:rsidR="00D0045A" w:rsidRPr="0021550A" w:rsidRDefault="00D0045A" w:rsidP="00A3799B">
            <w:pPr>
              <w:ind w:firstLine="0"/>
              <w:jc w:val="center"/>
              <w:cnfStyle w:val="000000000000" w:firstRow="0" w:lastRow="0" w:firstColumn="0" w:lastColumn="0" w:oddVBand="0" w:evenVBand="0" w:oddHBand="0" w:evenHBand="0" w:firstRowFirstColumn="0" w:firstRowLastColumn="0" w:lastRowFirstColumn="0" w:lastRowLastColumn="0"/>
            </w:pPr>
            <w:r w:rsidRPr="0021550A">
              <w:t>0</w:t>
            </w:r>
          </w:p>
        </w:tc>
        <w:tc>
          <w:tcPr>
            <w:tcW w:w="506" w:type="pct"/>
            <w:noWrap/>
            <w:hideMark/>
          </w:tcPr>
          <w:p w14:paraId="3FEE738C" w14:textId="77777777" w:rsidR="00D0045A" w:rsidRPr="0021550A" w:rsidRDefault="00D0045A" w:rsidP="00A3799B">
            <w:pPr>
              <w:ind w:firstLine="0"/>
              <w:jc w:val="center"/>
              <w:cnfStyle w:val="000000000000" w:firstRow="0" w:lastRow="0" w:firstColumn="0" w:lastColumn="0" w:oddVBand="0" w:evenVBand="0" w:oddHBand="0" w:evenHBand="0" w:firstRowFirstColumn="0" w:firstRowLastColumn="0" w:lastRowFirstColumn="0" w:lastRowLastColumn="0"/>
            </w:pPr>
            <w:r w:rsidRPr="0021550A">
              <w:t>0</w:t>
            </w:r>
          </w:p>
        </w:tc>
        <w:tc>
          <w:tcPr>
            <w:tcW w:w="504" w:type="pct"/>
            <w:noWrap/>
            <w:hideMark/>
          </w:tcPr>
          <w:p w14:paraId="39D392DC" w14:textId="77777777" w:rsidR="00D0045A" w:rsidRPr="0021550A" w:rsidRDefault="00D0045A" w:rsidP="00A3799B">
            <w:pPr>
              <w:ind w:firstLine="0"/>
              <w:jc w:val="center"/>
              <w:cnfStyle w:val="000000000000" w:firstRow="0" w:lastRow="0" w:firstColumn="0" w:lastColumn="0" w:oddVBand="0" w:evenVBand="0" w:oddHBand="0" w:evenHBand="0" w:firstRowFirstColumn="0" w:firstRowLastColumn="0" w:lastRowFirstColumn="0" w:lastRowLastColumn="0"/>
            </w:pPr>
            <w:r w:rsidRPr="0021550A">
              <w:t>0</w:t>
            </w:r>
          </w:p>
        </w:tc>
        <w:tc>
          <w:tcPr>
            <w:tcW w:w="507" w:type="pct"/>
            <w:noWrap/>
            <w:hideMark/>
          </w:tcPr>
          <w:p w14:paraId="04B5C2F7" w14:textId="77777777" w:rsidR="00D0045A" w:rsidRPr="0021550A" w:rsidRDefault="00D0045A" w:rsidP="00A3799B">
            <w:pPr>
              <w:ind w:firstLine="0"/>
              <w:jc w:val="center"/>
              <w:cnfStyle w:val="000000000000" w:firstRow="0" w:lastRow="0" w:firstColumn="0" w:lastColumn="0" w:oddVBand="0" w:evenVBand="0" w:oddHBand="0" w:evenHBand="0" w:firstRowFirstColumn="0" w:firstRowLastColumn="0" w:lastRowFirstColumn="0" w:lastRowLastColumn="0"/>
            </w:pPr>
            <w:r w:rsidRPr="0021550A">
              <w:t>0</w:t>
            </w:r>
          </w:p>
        </w:tc>
      </w:tr>
      <w:tr w:rsidR="00D0045A" w:rsidRPr="0021550A" w14:paraId="75C81254" w14:textId="77777777" w:rsidTr="00A3799B">
        <w:trPr>
          <w:trHeight w:val="407"/>
        </w:trPr>
        <w:tc>
          <w:tcPr>
            <w:cnfStyle w:val="001000000000" w:firstRow="0" w:lastRow="0" w:firstColumn="1" w:lastColumn="0" w:oddVBand="0" w:evenVBand="0" w:oddHBand="0" w:evenHBand="0" w:firstRowFirstColumn="0" w:firstRowLastColumn="0" w:lastRowFirstColumn="0" w:lastRowLastColumn="0"/>
            <w:tcW w:w="961" w:type="pct"/>
            <w:noWrap/>
            <w:hideMark/>
          </w:tcPr>
          <w:p w14:paraId="7C4F262B" w14:textId="77777777" w:rsidR="00D0045A" w:rsidRPr="00D0045A" w:rsidRDefault="00D0045A" w:rsidP="00A3799B">
            <w:pPr>
              <w:ind w:firstLine="0"/>
              <w:jc w:val="center"/>
              <w:rPr>
                <w:b w:val="0"/>
              </w:rPr>
            </w:pPr>
            <w:r w:rsidRPr="00D0045A">
              <w:rPr>
                <w:b w:val="0"/>
              </w:rPr>
              <w:t>Canterbury Tales</w:t>
            </w:r>
          </w:p>
        </w:tc>
        <w:tc>
          <w:tcPr>
            <w:tcW w:w="504" w:type="pct"/>
            <w:noWrap/>
            <w:hideMark/>
          </w:tcPr>
          <w:p w14:paraId="03782B4C" w14:textId="77777777" w:rsidR="00D0045A" w:rsidRPr="0021550A" w:rsidRDefault="00D0045A" w:rsidP="00A3799B">
            <w:pPr>
              <w:ind w:firstLine="0"/>
              <w:jc w:val="center"/>
              <w:cnfStyle w:val="000000000000" w:firstRow="0" w:lastRow="0" w:firstColumn="0" w:lastColumn="0" w:oddVBand="0" w:evenVBand="0" w:oddHBand="0" w:evenHBand="0" w:firstRowFirstColumn="0" w:firstRowLastColumn="0" w:lastRowFirstColumn="0" w:lastRowLastColumn="0"/>
            </w:pPr>
            <w:r w:rsidRPr="0021550A">
              <w:t>0</w:t>
            </w:r>
          </w:p>
        </w:tc>
        <w:tc>
          <w:tcPr>
            <w:tcW w:w="520" w:type="pct"/>
            <w:noWrap/>
            <w:hideMark/>
          </w:tcPr>
          <w:p w14:paraId="3421B6D6" w14:textId="77777777" w:rsidR="00D0045A" w:rsidRPr="0021550A" w:rsidRDefault="00D0045A" w:rsidP="00A3799B">
            <w:pPr>
              <w:ind w:firstLine="0"/>
              <w:jc w:val="center"/>
              <w:cnfStyle w:val="000000000000" w:firstRow="0" w:lastRow="0" w:firstColumn="0" w:lastColumn="0" w:oddVBand="0" w:evenVBand="0" w:oddHBand="0" w:evenHBand="0" w:firstRowFirstColumn="0" w:firstRowLastColumn="0" w:lastRowFirstColumn="0" w:lastRowLastColumn="0"/>
            </w:pPr>
            <w:r w:rsidRPr="0021550A">
              <w:t>0</w:t>
            </w:r>
          </w:p>
        </w:tc>
        <w:tc>
          <w:tcPr>
            <w:tcW w:w="520" w:type="pct"/>
            <w:noWrap/>
            <w:hideMark/>
          </w:tcPr>
          <w:p w14:paraId="0C6FFA60" w14:textId="77777777" w:rsidR="00D0045A" w:rsidRPr="0021550A" w:rsidRDefault="00D0045A" w:rsidP="00A3799B">
            <w:pPr>
              <w:ind w:firstLine="0"/>
              <w:jc w:val="center"/>
              <w:cnfStyle w:val="000000000000" w:firstRow="0" w:lastRow="0" w:firstColumn="0" w:lastColumn="0" w:oddVBand="0" w:evenVBand="0" w:oddHBand="0" w:evenHBand="0" w:firstRowFirstColumn="0" w:firstRowLastColumn="0" w:lastRowFirstColumn="0" w:lastRowLastColumn="0"/>
            </w:pPr>
            <w:r w:rsidRPr="0021550A">
              <w:t>0</w:t>
            </w:r>
          </w:p>
        </w:tc>
        <w:tc>
          <w:tcPr>
            <w:tcW w:w="474" w:type="pct"/>
          </w:tcPr>
          <w:p w14:paraId="3EE4E50E" w14:textId="77777777" w:rsidR="00D0045A" w:rsidRPr="0021550A" w:rsidRDefault="00D0045A" w:rsidP="00A3799B">
            <w:pPr>
              <w:ind w:firstLine="0"/>
              <w:jc w:val="center"/>
              <w:cnfStyle w:val="000000000000" w:firstRow="0" w:lastRow="0" w:firstColumn="0" w:lastColumn="0" w:oddVBand="0" w:evenVBand="0" w:oddHBand="0" w:evenHBand="0" w:firstRowFirstColumn="0" w:firstRowLastColumn="0" w:lastRowFirstColumn="0" w:lastRowLastColumn="0"/>
            </w:pPr>
            <w:r w:rsidRPr="0021550A">
              <w:t>0</w:t>
            </w:r>
          </w:p>
        </w:tc>
        <w:tc>
          <w:tcPr>
            <w:tcW w:w="504" w:type="pct"/>
            <w:noWrap/>
            <w:hideMark/>
          </w:tcPr>
          <w:p w14:paraId="6E341C0E" w14:textId="77777777" w:rsidR="00D0045A" w:rsidRPr="0021550A" w:rsidRDefault="00D0045A" w:rsidP="00A3799B">
            <w:pPr>
              <w:ind w:firstLine="0"/>
              <w:jc w:val="center"/>
              <w:cnfStyle w:val="000000000000" w:firstRow="0" w:lastRow="0" w:firstColumn="0" w:lastColumn="0" w:oddVBand="0" w:evenVBand="0" w:oddHBand="0" w:evenHBand="0" w:firstRowFirstColumn="0" w:firstRowLastColumn="0" w:lastRowFirstColumn="0" w:lastRowLastColumn="0"/>
            </w:pPr>
            <w:r w:rsidRPr="0021550A">
              <w:t>0</w:t>
            </w:r>
          </w:p>
        </w:tc>
        <w:tc>
          <w:tcPr>
            <w:tcW w:w="506" w:type="pct"/>
            <w:noWrap/>
            <w:hideMark/>
          </w:tcPr>
          <w:p w14:paraId="60253A59" w14:textId="77777777" w:rsidR="00D0045A" w:rsidRPr="0021550A" w:rsidRDefault="00D0045A" w:rsidP="00A3799B">
            <w:pPr>
              <w:ind w:firstLine="0"/>
              <w:jc w:val="center"/>
              <w:cnfStyle w:val="000000000000" w:firstRow="0" w:lastRow="0" w:firstColumn="0" w:lastColumn="0" w:oddVBand="0" w:evenVBand="0" w:oddHBand="0" w:evenHBand="0" w:firstRowFirstColumn="0" w:firstRowLastColumn="0" w:lastRowFirstColumn="0" w:lastRowLastColumn="0"/>
            </w:pPr>
            <w:r w:rsidRPr="0021550A">
              <w:t>0</w:t>
            </w:r>
          </w:p>
        </w:tc>
        <w:tc>
          <w:tcPr>
            <w:tcW w:w="504" w:type="pct"/>
            <w:noWrap/>
            <w:hideMark/>
          </w:tcPr>
          <w:p w14:paraId="0F3C4C84" w14:textId="77777777" w:rsidR="00D0045A" w:rsidRPr="0021550A" w:rsidRDefault="00D0045A" w:rsidP="00A3799B">
            <w:pPr>
              <w:ind w:firstLine="0"/>
              <w:jc w:val="center"/>
              <w:cnfStyle w:val="000000000000" w:firstRow="0" w:lastRow="0" w:firstColumn="0" w:lastColumn="0" w:oddVBand="0" w:evenVBand="0" w:oddHBand="0" w:evenHBand="0" w:firstRowFirstColumn="0" w:firstRowLastColumn="0" w:lastRowFirstColumn="0" w:lastRowLastColumn="0"/>
            </w:pPr>
            <w:r w:rsidRPr="0021550A">
              <w:t>0</w:t>
            </w:r>
          </w:p>
        </w:tc>
        <w:tc>
          <w:tcPr>
            <w:tcW w:w="507" w:type="pct"/>
            <w:noWrap/>
            <w:hideMark/>
          </w:tcPr>
          <w:p w14:paraId="175011D0" w14:textId="77777777" w:rsidR="00D0045A" w:rsidRPr="0021550A" w:rsidRDefault="00D0045A" w:rsidP="00A3799B">
            <w:pPr>
              <w:ind w:firstLine="0"/>
              <w:jc w:val="center"/>
              <w:cnfStyle w:val="000000000000" w:firstRow="0" w:lastRow="0" w:firstColumn="0" w:lastColumn="0" w:oddVBand="0" w:evenVBand="0" w:oddHBand="0" w:evenHBand="0" w:firstRowFirstColumn="0" w:firstRowLastColumn="0" w:lastRowFirstColumn="0" w:lastRowLastColumn="0"/>
            </w:pPr>
            <w:r w:rsidRPr="0021550A">
              <w:t>0</w:t>
            </w:r>
          </w:p>
        </w:tc>
      </w:tr>
    </w:tbl>
    <w:p w14:paraId="4AC725E2" w14:textId="34D77356" w:rsidR="006D3E44" w:rsidRPr="0021550A" w:rsidRDefault="00453776" w:rsidP="00A3799B">
      <w:pPr>
        <w:pStyle w:val="Caption"/>
        <w:sectPr w:rsidR="006D3E44" w:rsidRPr="0021550A" w:rsidSect="00DD0828">
          <w:footerReference w:type="default" r:id="rId57"/>
          <w:pgSz w:w="16840" w:h="11900" w:orient="landscape"/>
          <w:pgMar w:top="1440" w:right="1440" w:bottom="1440" w:left="1440" w:header="720" w:footer="720" w:gutter="1152"/>
          <w:cols w:space="720"/>
          <w:docGrid w:linePitch="360"/>
        </w:sectPr>
      </w:pPr>
      <w:bookmarkStart w:id="159" w:name="_Toc499753484"/>
      <w:bookmarkEnd w:id="158"/>
      <w:r>
        <w:t>Table 5.10:</w:t>
      </w:r>
      <w:r w:rsidR="006D3E44" w:rsidRPr="0021550A">
        <w:t xml:space="preserve"> </w:t>
      </w:r>
      <w:r w:rsidR="006D3E44" w:rsidRPr="0021550A">
        <w:rPr>
          <w:smallCaps/>
        </w:rPr>
        <w:t>abandoned</w:t>
      </w:r>
      <w:r w:rsidR="006D3E44" w:rsidRPr="0021550A">
        <w:t xml:space="preserve"> and </w:t>
      </w:r>
      <w:r w:rsidR="006D3E44" w:rsidRPr="0021550A">
        <w:rPr>
          <w:smallCaps/>
        </w:rPr>
        <w:t>abashed</w:t>
      </w:r>
      <w:r w:rsidR="006D3E44" w:rsidRPr="0021550A">
        <w:t xml:space="preserve"> ratios in the Caxton dataset</w:t>
      </w:r>
      <w:bookmarkEnd w:id="159"/>
    </w:p>
    <w:p w14:paraId="5D169BDF" w14:textId="13D55397" w:rsidR="004249DB" w:rsidRPr="0021550A" w:rsidRDefault="004249DB" w:rsidP="004249DB">
      <w:r w:rsidRPr="0021550A">
        <w:lastRenderedPageBreak/>
        <w:t xml:space="preserve">The many zero-value cells in </w:t>
      </w:r>
      <w:r w:rsidR="00FC68DC">
        <w:t>Table 5.10</w:t>
      </w:r>
      <w:r>
        <w:t xml:space="preserve"> </w:t>
      </w:r>
      <w:r w:rsidRPr="0021550A">
        <w:t>is a problem, because the algorithm understands the rows with many zero values to be similar and then groups the corresponding texts together. As a result, when the input includes words used in more than one of the texts, the clustering algorithm groups together texts that include fewest distinct words, instead of grouping together texts that use similar spellings. I have made minor al</w:t>
      </w:r>
      <w:r>
        <w:t xml:space="preserve">terations to the method developed earlier in this chapter </w:t>
      </w:r>
      <w:r w:rsidRPr="0021550A">
        <w:t xml:space="preserve">to prevent these problems that arose during pilot testing. </w:t>
      </w:r>
    </w:p>
    <w:p w14:paraId="5BF84451" w14:textId="1B068DE3" w:rsidR="006D3E44" w:rsidRPr="0021550A" w:rsidRDefault="006D3E44" w:rsidP="001D14BA">
      <w:r w:rsidRPr="0021550A">
        <w:t xml:space="preserve">One of the founding principles of the research design in this thesis was to use as broad a range of spelling variants that are present in the text as possible without compromising the integrity of the method. </w:t>
      </w:r>
      <w:r w:rsidR="006765B2">
        <w:t>When undertaking cluster analysis within a text,</w:t>
      </w:r>
      <w:r w:rsidRPr="0021550A">
        <w:t xml:space="preserve"> the similarity in length and content of quires within a text meant that </w:t>
      </w:r>
      <w:r w:rsidR="00AF14EB">
        <w:t xml:space="preserve">undertaking the research on </w:t>
      </w:r>
      <w:r w:rsidRPr="0021550A">
        <w:t xml:space="preserve">the broadest possible range of spellings </w:t>
      </w:r>
      <w:r w:rsidR="00AF14EB">
        <w:t>would include</w:t>
      </w:r>
      <w:r w:rsidRPr="0021550A">
        <w:t xml:space="preserve"> words that were used in a small proportion of quires, because such words were relatively unusual. In the current study, the broadest possible range of spellings cannot include words that are used in a small proportion of texts, because there are lots of words that are only used in the longest texts. These words cause the texts that do not include them to cluster together, and in doing so prevent the method from working the way it was designed to. For the method to work on full texts, it is necessary to reduce or entirely remove the words that </w:t>
      </w:r>
      <w:r w:rsidR="006765B2">
        <w:t xml:space="preserve">only </w:t>
      </w:r>
      <w:r w:rsidRPr="0021550A">
        <w:t xml:space="preserve">appear in the very longest texts from the analysis. For this reason, the matrix of full texts only includes words for which each text includes at least one corresponding spelling variant. For example, to </w:t>
      </w:r>
      <w:r w:rsidR="00AF14EB">
        <w:t>include</w:t>
      </w:r>
      <w:r w:rsidRPr="0021550A">
        <w:t xml:space="preserve"> the spelling variants for </w:t>
      </w:r>
      <w:r w:rsidRPr="0021550A">
        <w:rPr>
          <w:smallCaps/>
        </w:rPr>
        <w:t>through</w:t>
      </w:r>
      <w:r w:rsidR="00AF14EB">
        <w:rPr>
          <w:smallCaps/>
        </w:rPr>
        <w:t xml:space="preserve"> </w:t>
      </w:r>
      <w:r w:rsidR="00AF14EB">
        <w:t>in the analysis</w:t>
      </w:r>
      <w:r w:rsidRPr="0021550A">
        <w:rPr>
          <w:smallCaps/>
        </w:rPr>
        <w:t xml:space="preserve">, </w:t>
      </w:r>
      <w:r w:rsidRPr="0021550A">
        <w:t xml:space="preserve">each text must contain at least one spelling variant for </w:t>
      </w:r>
      <w:r w:rsidRPr="0021550A">
        <w:rPr>
          <w:smallCaps/>
        </w:rPr>
        <w:t>through</w:t>
      </w:r>
      <w:r w:rsidRPr="0021550A">
        <w:t>, although it is not necessary that the same variants be used in each text.</w:t>
      </w:r>
    </w:p>
    <w:p w14:paraId="5E61BCE1" w14:textId="620C9A38" w:rsidR="006D3E44" w:rsidRPr="0021550A" w:rsidRDefault="006D3E44" w:rsidP="000737CB">
      <w:r w:rsidRPr="0021550A">
        <w:t xml:space="preserve">The consequence that arises from working </w:t>
      </w:r>
      <w:r w:rsidR="006765B2">
        <w:t xml:space="preserve">with </w:t>
      </w:r>
      <w:r w:rsidRPr="0021550A">
        <w:t xml:space="preserve">words that appear in every text is that only the most frequent words will be taken into account during the cluster analysis. The algorithm will only consider the most frequent words, because only the most frequent words will appear across all of Caxton’s texts. It is necessary to acknowledge that the clustering mainly considers the most frequent words, because the most frequent words are not likely to be representative of the whole set of spelling variants used by an individual. The compositor and the writer of the copy text may not treat the most frequent spellings in the same way as less frequent terms; Evans </w:t>
      </w:r>
      <w:r w:rsidR="009C5E3F">
        <w:t>(2012)</w:t>
      </w:r>
      <w:r w:rsidRPr="0021550A">
        <w:t xml:space="preserve"> has shown that in the letters of Queen Elizabeth I, the most frequent words </w:t>
      </w:r>
      <w:r w:rsidR="00AF14EB">
        <w:t>have</w:t>
      </w:r>
      <w:r w:rsidRPr="0021550A">
        <w:t xml:space="preserve"> fewer variant spellings. In restricting the words in this study to those that appear in every text and are therefore of high frequency, we lose the greater diversity in spelling that lies in the less frequent words. However, the method will only work if we reduce the number of words for examination to the level of those that appear in all texts. </w:t>
      </w:r>
    </w:p>
    <w:p w14:paraId="6697DB54" w14:textId="1163B3A5" w:rsidR="006D3E44" w:rsidRPr="0021550A" w:rsidRDefault="006D3E44" w:rsidP="000737CB">
      <w:r w:rsidRPr="0021550A">
        <w:lastRenderedPageBreak/>
        <w:t>To reduce the prevalence of the highest frequency words</w:t>
      </w:r>
      <w:r w:rsidR="006765B2">
        <w:t xml:space="preserve"> when clustering whole texts</w:t>
      </w:r>
      <w:r w:rsidRPr="0021550A">
        <w:t xml:space="preserve">, each clustering iteration uses as many words as possible. The number of words included in the cluster analysis depends on the texts or subsections of texts that undergo clustering. </w:t>
      </w:r>
      <w:r w:rsidR="007D10D2">
        <w:t>In Chapter 9, the</w:t>
      </w:r>
      <w:r w:rsidRPr="0021550A">
        <w:t xml:space="preserve"> clustering is undertaken first with whole texts, </w:t>
      </w:r>
      <w:r w:rsidR="007D10D2">
        <w:t>and then</w:t>
      </w:r>
      <w:r w:rsidRPr="0021550A">
        <w:t xml:space="preserve"> following this the clustering is undertaken on whole texts and smaller subsections of </w:t>
      </w:r>
      <w:r w:rsidR="006765B2">
        <w:t>texts selected for further analysis</w:t>
      </w:r>
      <w:r w:rsidRPr="0021550A">
        <w:t>. The analysis</w:t>
      </w:r>
      <w:r w:rsidR="007D10D2">
        <w:t xml:space="preserve"> includes every word that is used in </w:t>
      </w:r>
      <w:r w:rsidRPr="0021550A">
        <w:t xml:space="preserve">all the texts undergoing clustering, however the number of words in the analysis changes when we add more sections of text to the clustering process. For example, there are 424 words that appear in every text in the Caxton dataset, but when we include subsections from the </w:t>
      </w:r>
      <w:r w:rsidRPr="0021550A">
        <w:rPr>
          <w:i/>
        </w:rPr>
        <w:t>Chronicles of England</w:t>
      </w:r>
      <w:r w:rsidRPr="0021550A">
        <w:t xml:space="preserve"> and the </w:t>
      </w:r>
      <w:r w:rsidRPr="0021550A">
        <w:rPr>
          <w:i/>
        </w:rPr>
        <w:t>Polychronicon</w:t>
      </w:r>
      <w:r w:rsidRPr="0021550A">
        <w:t xml:space="preserve">, there are 341 words that appear in all the texts and the subsections for these texts. The reduction is by nearly a quarter when we cluster the subsections of the </w:t>
      </w:r>
      <w:r w:rsidRPr="0021550A">
        <w:rPr>
          <w:i/>
        </w:rPr>
        <w:t>Chronicles of England</w:t>
      </w:r>
      <w:r w:rsidRPr="0021550A">
        <w:t xml:space="preserve"> and the </w:t>
      </w:r>
      <w:r w:rsidRPr="0021550A">
        <w:rPr>
          <w:i/>
        </w:rPr>
        <w:t>Polychronicon</w:t>
      </w:r>
      <w:r w:rsidRPr="0021550A">
        <w:t xml:space="preserve"> relative to clustering the full texts alone, and the change in the spelling variants that form part of the analysis creates a change in the result of the clustering. The distance between some clusters increases, while others decrease. The clusters of text remain largely the same, but there is a slight shift in the grouping of </w:t>
      </w:r>
      <w:r w:rsidRPr="0021550A">
        <w:rPr>
          <w:i/>
        </w:rPr>
        <w:t>Paris and Vienne</w:t>
      </w:r>
      <w:r w:rsidRPr="0021550A">
        <w:t xml:space="preserve">, which is discussed in more detail in Section </w:t>
      </w:r>
      <w:r w:rsidR="00E12429">
        <w:fldChar w:fldCharType="begin"/>
      </w:r>
      <w:r w:rsidR="00E12429">
        <w:instrText xml:space="preserve"> REF _Ref492564875 \r </w:instrText>
      </w:r>
      <w:r w:rsidR="00E12429">
        <w:fldChar w:fldCharType="separate"/>
      </w:r>
      <w:r w:rsidR="00D11844">
        <w:t>9.4</w:t>
      </w:r>
      <w:r w:rsidR="00E12429">
        <w:fldChar w:fldCharType="end"/>
      </w:r>
      <w:r w:rsidRPr="0021550A">
        <w:t>.</w:t>
      </w:r>
    </w:p>
    <w:p w14:paraId="6AC60C51" w14:textId="79F47855" w:rsidR="006D3E44" w:rsidRPr="0021550A" w:rsidRDefault="006765B2" w:rsidP="00FF3029">
      <w:r>
        <w:t xml:space="preserve">When the clustering method is applied without adjustment to whole texts, the method does not cluster based on spelling variation but clusters by topic. This issue is </w:t>
      </w:r>
      <w:r w:rsidR="006D3E44" w:rsidRPr="0021550A">
        <w:t>caused by the variability in the lengths of the full texts printed by Caxton. Tension was created between the principles that underpin the research and the development of an effective method when attempting to apply the method o</w:t>
      </w:r>
      <w:r>
        <w:t xml:space="preserve">f cluster analysis described earlier in this chapter </w:t>
      </w:r>
      <w:r w:rsidR="006D3E44" w:rsidRPr="0021550A">
        <w:t xml:space="preserve">onto the whole dataset. However, once the changes detailed here are made, cluster analysis works well for exploring the similarities between whole texts within the Caxton dataset. Using words that appear in any text in the dataset results in many zero-value cells, shown in </w:t>
      </w:r>
      <w:r w:rsidR="00FC68DC">
        <w:t>Table 5.10</w:t>
      </w:r>
      <w:r w:rsidR="006D3E44" w:rsidRPr="0021550A">
        <w:t xml:space="preserve"> and if not removed these words cause the method to fail. The method fails because the clustering does not group texts by similarity of spellings but by whether they use the same words. To resolve this issue, the method was amended to make use of words that are used in all texts and sections of text undergoing clustering. By reducing the words that are used in few of Caxton’s texts, the method is amended to work on full texts, and by using the maximum number of words in each clustering iteration is was possible to adhere to the principles that underpin this research. </w:t>
      </w:r>
    </w:p>
    <w:p w14:paraId="4AD3615B" w14:textId="77777777" w:rsidR="006D3E44" w:rsidRPr="0021550A" w:rsidRDefault="006D3E44" w:rsidP="000737CB"/>
    <w:p w14:paraId="2A4AC97C" w14:textId="333118A6" w:rsidR="006D3E44" w:rsidRPr="0021550A" w:rsidRDefault="006D3E44" w:rsidP="000737CB">
      <w:pPr>
        <w:pStyle w:val="Heading3"/>
      </w:pPr>
      <w:bookmarkStart w:id="160" w:name="_Ref497734309"/>
      <w:r w:rsidRPr="0021550A">
        <w:t>Limitations when using cluster analysis on whole texts</w:t>
      </w:r>
      <w:bookmarkEnd w:id="160"/>
    </w:p>
    <w:p w14:paraId="12206354" w14:textId="3D49DD8B" w:rsidR="006D3E44" w:rsidRPr="0021550A" w:rsidRDefault="006D3E44" w:rsidP="000737CB">
      <w:r w:rsidRPr="0021550A">
        <w:t xml:space="preserve">The amendments to the cluster analysis method developed </w:t>
      </w:r>
      <w:r w:rsidR="006765B2">
        <w:t>earlier in this chapter</w:t>
      </w:r>
      <w:r w:rsidRPr="0021550A">
        <w:t xml:space="preserve"> mitigate some of the issues that arise from clustering whole texts, but some limitations to </w:t>
      </w:r>
      <w:r w:rsidRPr="0021550A">
        <w:lastRenderedPageBreak/>
        <w:t>using this method remain. One of the key findings from the previous chapters is the changes in spelling variation that take place within a text. The spelling variants used in Caxton’s texts are not always used in the same ratios to one another throughout; instead, a change in compositor or a change in the copy text causes the ratios of spelling variants to change partway through the printed text. The change in spellings that occurs partway through a text is of consequence when we want to look at the spellings that are used in a text as a whole. When using cluster analysis on whole texts, we are required to conflate several overlapping layers of spellings from the copy text and the compositor. These intra-textual shifts in the spellings used in the printed text are key to exploring the extent to which compositors and the copy text affect the production of incunabula, however these spelling changes have implications</w:t>
      </w:r>
      <w:r w:rsidR="00B55567">
        <w:t xml:space="preserve"> for the results of an examination of the external relationships between texts</w:t>
      </w:r>
      <w:r w:rsidRPr="0021550A">
        <w:t xml:space="preserve">. </w:t>
      </w:r>
    </w:p>
    <w:p w14:paraId="7F8F59B7" w14:textId="08419824" w:rsidR="006D3E44" w:rsidRPr="0021550A" w:rsidRDefault="006D3E44" w:rsidP="000737CB">
      <w:r w:rsidRPr="0021550A">
        <w:t xml:space="preserve">When clustering whole texts against one another, we do not necessarily get the full picture of the spelling variation that takes place within a text. When clustering the wider Caxton dataset, the clustering algorithm looks at the spelling variants used in each text and decides which other texts use the most similar distribution of spelling variants. But by looking at the spellings used throughout a text simultaneously, we lose information about the changes in spelling in the text. </w:t>
      </w:r>
      <w:r w:rsidR="00E13245">
        <w:t xml:space="preserve">We can take Caxton’s edition of </w:t>
      </w:r>
      <w:r w:rsidR="00C62671">
        <w:rPr>
          <w:i/>
        </w:rPr>
        <w:t xml:space="preserve">Troilus and </w:t>
      </w:r>
      <w:r w:rsidR="00C62671" w:rsidRPr="00C62671">
        <w:rPr>
          <w:i/>
        </w:rPr>
        <w:t>Criseyde</w:t>
      </w:r>
      <w:r w:rsidR="00C62671">
        <w:t xml:space="preserve"> </w:t>
      </w:r>
      <w:r w:rsidR="00E13245" w:rsidRPr="00C62671">
        <w:t>as</w:t>
      </w:r>
      <w:r w:rsidR="00E13245">
        <w:t xml:space="preserve"> an example of the information that is lost when comparing whole texts to one another. In Section </w:t>
      </w:r>
      <w:r w:rsidR="00E13245">
        <w:fldChar w:fldCharType="begin"/>
      </w:r>
      <w:r w:rsidR="00E13245">
        <w:instrText xml:space="preserve"> REF _Ref497478756 \r </w:instrText>
      </w:r>
      <w:r w:rsidR="00E13245">
        <w:fldChar w:fldCharType="separate"/>
      </w:r>
      <w:r w:rsidR="00D11844">
        <w:t>5.4</w:t>
      </w:r>
      <w:r w:rsidR="00E13245">
        <w:fldChar w:fldCharType="end"/>
      </w:r>
      <w:r w:rsidR="00E13245">
        <w:t xml:space="preserve"> I demonstrated that the quires of </w:t>
      </w:r>
      <w:r w:rsidR="00E13245">
        <w:rPr>
          <w:i/>
        </w:rPr>
        <w:t>Troilus and Criseyde</w:t>
      </w:r>
      <w:r w:rsidR="00E13245">
        <w:t xml:space="preserve"> fall into two groups after cluster analysis using </w:t>
      </w:r>
      <w:r w:rsidR="00E13245" w:rsidRPr="004C3465">
        <w:rPr>
          <w:i/>
        </w:rPr>
        <w:t>k</w:t>
      </w:r>
      <w:r w:rsidR="00EB6D9B">
        <w:t xml:space="preserve">-means </w:t>
      </w:r>
      <w:r w:rsidR="00E13245">
        <w:t xml:space="preserve">clustering, and the distribution of these quires is </w:t>
      </w:r>
      <w:r w:rsidR="00DE448B">
        <w:t>reprinted below</w:t>
      </w:r>
      <w:r w:rsidR="00E13245">
        <w:t xml:space="preserve"> in </w:t>
      </w:r>
      <w:r w:rsidR="00FC68DC">
        <w:t>Figure 5.11.</w:t>
      </w:r>
    </w:p>
    <w:p w14:paraId="3971B745" w14:textId="77777777" w:rsidR="006D3E44" w:rsidRPr="0021550A" w:rsidRDefault="006D3E44" w:rsidP="000737CB"/>
    <w:p w14:paraId="5A909A39" w14:textId="0539D8C2" w:rsidR="006D3E44" w:rsidRPr="0021550A" w:rsidRDefault="00E13245" w:rsidP="005560E9">
      <w:pPr>
        <w:ind w:firstLine="0"/>
      </w:pPr>
      <w:r w:rsidRPr="0021550A">
        <w:rPr>
          <w:noProof/>
          <w:lang w:eastAsia="en-GB"/>
        </w:rPr>
        <w:drawing>
          <wp:inline distT="0" distB="0" distL="0" distR="0" wp14:anchorId="7A06713D" wp14:editId="64331989">
            <wp:extent cx="4570234" cy="731520"/>
            <wp:effectExtent l="0" t="0" r="1905"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Troilus k = 2 colour.pdf"/>
                    <pic:cNvPicPr/>
                  </pic:nvPicPr>
                  <pic:blipFill rotWithShape="1">
                    <a:blip r:embed="rId52">
                      <a:extLst>
                        <a:ext uri="{28A0092B-C50C-407E-A947-70E740481C1C}">
                          <a14:useLocalDpi xmlns:a14="http://schemas.microsoft.com/office/drawing/2010/main"/>
                        </a:ext>
                      </a:extLst>
                    </a:blip>
                    <a:srcRect l="16214" t="22708" r="40072" b="64853"/>
                    <a:stretch/>
                  </pic:blipFill>
                  <pic:spPr bwMode="auto">
                    <a:xfrm>
                      <a:off x="0" y="0"/>
                      <a:ext cx="4807327" cy="769470"/>
                    </a:xfrm>
                    <a:prstGeom prst="rect">
                      <a:avLst/>
                    </a:prstGeom>
                    <a:ln>
                      <a:noFill/>
                    </a:ln>
                    <a:extLst>
                      <a:ext uri="{53640926-AAD7-44D8-BBD7-CCE9431645EC}">
                        <a14:shadowObscured xmlns:a14="http://schemas.microsoft.com/office/drawing/2010/main"/>
                      </a:ext>
                    </a:extLst>
                  </pic:spPr>
                </pic:pic>
              </a:graphicData>
            </a:graphic>
          </wp:inline>
        </w:drawing>
      </w:r>
    </w:p>
    <w:p w14:paraId="78795379" w14:textId="6AE70757" w:rsidR="006D3E44" w:rsidRPr="0021550A" w:rsidRDefault="00453776" w:rsidP="000737CB">
      <w:pPr>
        <w:pStyle w:val="Caption"/>
      </w:pPr>
      <w:bookmarkStart w:id="161" w:name="_Ref489960190"/>
      <w:bookmarkStart w:id="162" w:name="_Toc499753538"/>
      <w:r>
        <w:t xml:space="preserve">Figure 5.11: </w:t>
      </w:r>
      <w:bookmarkEnd w:id="161"/>
      <w:r w:rsidR="00D36157">
        <w:t>Clustering</w:t>
      </w:r>
      <w:r w:rsidR="006D3E44" w:rsidRPr="0021550A">
        <w:t xml:space="preserve"> </w:t>
      </w:r>
      <w:r w:rsidR="00E13245">
        <w:rPr>
          <w:i/>
        </w:rPr>
        <w:t>Troilus and Criseyde</w:t>
      </w:r>
      <w:r w:rsidR="00D36157">
        <w:t xml:space="preserve">, </w:t>
      </w:r>
      <w:r w:rsidR="00D36157">
        <w:rPr>
          <w:i/>
        </w:rPr>
        <w:t>k</w:t>
      </w:r>
      <w:r w:rsidR="00D36157">
        <w:t xml:space="preserve"> = 2</w:t>
      </w:r>
      <w:bookmarkEnd w:id="162"/>
    </w:p>
    <w:p w14:paraId="61842FD5" w14:textId="77777777" w:rsidR="006D3E44" w:rsidRPr="0021550A" w:rsidRDefault="006D3E44" w:rsidP="000737CB"/>
    <w:p w14:paraId="272BE75B" w14:textId="36FE995C" w:rsidR="006D3E44" w:rsidRPr="0021550A" w:rsidRDefault="00FC68DC" w:rsidP="000737CB">
      <w:r>
        <w:t>Figure 5.11</w:t>
      </w:r>
      <w:r w:rsidR="006D3E44" w:rsidRPr="0021550A">
        <w:t xml:space="preserve"> shows the quires of </w:t>
      </w:r>
      <w:r w:rsidR="00E13245" w:rsidRPr="00E13245">
        <w:rPr>
          <w:i/>
        </w:rPr>
        <w:t>Troilus and Criseyde</w:t>
      </w:r>
      <w:r w:rsidR="006D3E44" w:rsidRPr="0021550A">
        <w:t xml:space="preserve">, where each colour represents one of the three clusters created by the </w:t>
      </w:r>
      <w:r w:rsidR="006D3E44" w:rsidRPr="0021550A">
        <w:rPr>
          <w:i/>
        </w:rPr>
        <w:t>k</w:t>
      </w:r>
      <w:r w:rsidR="006D3E44" w:rsidRPr="0021550A">
        <w:t xml:space="preserve">-means algorithm. </w:t>
      </w:r>
      <w:r w:rsidR="00C62671">
        <w:t>Section</w:t>
      </w:r>
      <w:r w:rsidR="004E7652">
        <w:t xml:space="preserve"> </w:t>
      </w:r>
      <w:r w:rsidR="004E7652">
        <w:fldChar w:fldCharType="begin"/>
      </w:r>
      <w:r w:rsidR="004E7652">
        <w:instrText xml:space="preserve"> REF _Ref497478756 \r </w:instrText>
      </w:r>
      <w:r w:rsidR="004E7652">
        <w:fldChar w:fldCharType="separate"/>
      </w:r>
      <w:r w:rsidR="00D11844">
        <w:t>5.4</w:t>
      </w:r>
      <w:r w:rsidR="004E7652">
        <w:fldChar w:fldCharType="end"/>
      </w:r>
      <w:r w:rsidR="004E7652">
        <w:t xml:space="preserve"> </w:t>
      </w:r>
      <w:r w:rsidR="006D3E44" w:rsidRPr="0021550A">
        <w:t>showed that it is likely that the ch</w:t>
      </w:r>
      <w:r w:rsidR="004E7652">
        <w:t>ange at the beginning of Quire i</w:t>
      </w:r>
      <w:r w:rsidR="006D3E44" w:rsidRPr="0021550A">
        <w:t xml:space="preserve"> marks a change in </w:t>
      </w:r>
      <w:r w:rsidR="004E7652">
        <w:t>composi</w:t>
      </w:r>
      <w:r w:rsidR="006D3E44" w:rsidRPr="0021550A">
        <w:t>t</w:t>
      </w:r>
      <w:r w:rsidR="004E7652">
        <w:t>or</w:t>
      </w:r>
      <w:r w:rsidR="006D3E44" w:rsidRPr="0021550A">
        <w:t>. It is possible to locate the change in compositor because there is a change in the spelling varian</w:t>
      </w:r>
      <w:r w:rsidR="004E7652">
        <w:t>ts used after the end of Quire h</w:t>
      </w:r>
      <w:r w:rsidR="006D3E44" w:rsidRPr="0021550A">
        <w:t xml:space="preserve">. </w:t>
      </w:r>
    </w:p>
    <w:p w14:paraId="748A9D4B" w14:textId="307D6431" w:rsidR="004E7652" w:rsidRDefault="006D3E44" w:rsidP="000737CB">
      <w:r w:rsidRPr="0021550A">
        <w:t xml:space="preserve">When we consider </w:t>
      </w:r>
      <w:r w:rsidR="004E7652">
        <w:rPr>
          <w:i/>
        </w:rPr>
        <w:t xml:space="preserve">Troilus and Criseyde </w:t>
      </w:r>
      <w:r w:rsidRPr="0021550A">
        <w:t xml:space="preserve">as a whole instead of examining its constituent quires, we no longer see the changes in spellings that take place at Quire </w:t>
      </w:r>
      <w:r w:rsidR="004E7652">
        <w:t>i</w:t>
      </w:r>
      <w:r w:rsidRPr="0021550A">
        <w:t>. The spelling variants that are used in each cluster of quires are con</w:t>
      </w:r>
      <w:r w:rsidR="004E7652">
        <w:t xml:space="preserve">flated, and when we look at </w:t>
      </w:r>
      <w:r w:rsidR="004E7652">
        <w:rPr>
          <w:i/>
        </w:rPr>
        <w:lastRenderedPageBreak/>
        <w:t xml:space="preserve">Troilus and Criseyde </w:t>
      </w:r>
      <w:r w:rsidRPr="0021550A">
        <w:t>we see the variants that are used most frequently throughout the whole text. In this way, the section of text that contains the most spelling variants (likely the largest section of text) will have the greatest input into the ratio of spelling variants for the whole text.</w:t>
      </w:r>
      <w:r w:rsidR="004E7652">
        <w:t xml:space="preserve"> In the case of </w:t>
      </w:r>
      <w:r w:rsidR="004E7652">
        <w:rPr>
          <w:i/>
        </w:rPr>
        <w:t>Troilus and Criseyde</w:t>
      </w:r>
      <w:r w:rsidR="004E7652">
        <w:t xml:space="preserve">, the clusters are evenly distributed, so both sections of text have an even input into the conflated set of spellings that is used to represent the text. </w:t>
      </w:r>
    </w:p>
    <w:p w14:paraId="3A1D07A2" w14:textId="77777777" w:rsidR="003355D9" w:rsidRDefault="003355D9" w:rsidP="000737CB"/>
    <w:tbl>
      <w:tblPr>
        <w:tblStyle w:val="GridTable1Light"/>
        <w:tblW w:w="0" w:type="auto"/>
        <w:tblLook w:val="04A0" w:firstRow="1" w:lastRow="0" w:firstColumn="1" w:lastColumn="0" w:noHBand="0" w:noVBand="1"/>
      </w:tblPr>
      <w:tblGrid>
        <w:gridCol w:w="1705"/>
        <w:gridCol w:w="1461"/>
        <w:gridCol w:w="1461"/>
        <w:gridCol w:w="1461"/>
        <w:gridCol w:w="1461"/>
      </w:tblGrid>
      <w:tr w:rsidR="003355D9" w:rsidRPr="0021550A" w14:paraId="54BF1B99" w14:textId="77777777" w:rsidTr="00D11BE4">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705" w:type="dxa"/>
            <w:vAlign w:val="center"/>
          </w:tcPr>
          <w:p w14:paraId="079B8DFF" w14:textId="09A07CBB" w:rsidR="003355D9" w:rsidRPr="0021550A" w:rsidRDefault="003355D9" w:rsidP="00D11BE4">
            <w:pPr>
              <w:ind w:firstLine="0"/>
              <w:jc w:val="center"/>
            </w:pPr>
          </w:p>
        </w:tc>
        <w:tc>
          <w:tcPr>
            <w:tcW w:w="1461" w:type="dxa"/>
            <w:vAlign w:val="center"/>
          </w:tcPr>
          <w:p w14:paraId="75A32848" w14:textId="77777777" w:rsidR="003355D9" w:rsidRPr="0021550A" w:rsidRDefault="003355D9" w:rsidP="00D11BE4">
            <w:pPr>
              <w:ind w:firstLine="0"/>
              <w:jc w:val="center"/>
              <w:cnfStyle w:val="100000000000" w:firstRow="1" w:lastRow="0" w:firstColumn="0" w:lastColumn="0" w:oddVBand="0" w:evenVBand="0" w:oddHBand="0" w:evenHBand="0" w:firstRowFirstColumn="0" w:firstRowLastColumn="0" w:lastRowFirstColumn="0" w:lastRowLastColumn="0"/>
            </w:pPr>
            <w:r w:rsidRPr="0021550A">
              <w:t>Cluster 1</w:t>
            </w:r>
          </w:p>
        </w:tc>
        <w:tc>
          <w:tcPr>
            <w:tcW w:w="1461" w:type="dxa"/>
            <w:vAlign w:val="center"/>
          </w:tcPr>
          <w:p w14:paraId="0F4D3849" w14:textId="77777777" w:rsidR="003355D9" w:rsidRPr="0021550A" w:rsidRDefault="003355D9" w:rsidP="00D11BE4">
            <w:pPr>
              <w:ind w:firstLine="0"/>
              <w:jc w:val="center"/>
              <w:cnfStyle w:val="100000000000" w:firstRow="1" w:lastRow="0" w:firstColumn="0" w:lastColumn="0" w:oddVBand="0" w:evenVBand="0" w:oddHBand="0" w:evenHBand="0" w:firstRowFirstColumn="0" w:firstRowLastColumn="0" w:lastRowFirstColumn="0" w:lastRowLastColumn="0"/>
            </w:pPr>
            <w:r w:rsidRPr="0021550A">
              <w:t>Cluster 2</w:t>
            </w:r>
          </w:p>
        </w:tc>
        <w:tc>
          <w:tcPr>
            <w:tcW w:w="1461" w:type="dxa"/>
            <w:vAlign w:val="center"/>
          </w:tcPr>
          <w:p w14:paraId="46471107" w14:textId="77777777" w:rsidR="003355D9" w:rsidRPr="0021550A" w:rsidRDefault="003355D9" w:rsidP="00D11BE4">
            <w:pPr>
              <w:ind w:firstLine="0"/>
              <w:jc w:val="center"/>
              <w:cnfStyle w:val="100000000000" w:firstRow="1" w:lastRow="0" w:firstColumn="0" w:lastColumn="0" w:oddVBand="0" w:evenVBand="0" w:oddHBand="0" w:evenHBand="0" w:firstRowFirstColumn="0" w:firstRowLastColumn="0" w:lastRowFirstColumn="0" w:lastRowLastColumn="0"/>
            </w:pPr>
            <w:r w:rsidRPr="0021550A">
              <w:t>Total</w:t>
            </w:r>
          </w:p>
        </w:tc>
        <w:tc>
          <w:tcPr>
            <w:tcW w:w="1461" w:type="dxa"/>
            <w:vAlign w:val="center"/>
          </w:tcPr>
          <w:p w14:paraId="2F651ABA" w14:textId="77777777" w:rsidR="003355D9" w:rsidRPr="0021550A" w:rsidRDefault="003355D9" w:rsidP="00D11BE4">
            <w:pPr>
              <w:ind w:firstLine="0"/>
              <w:jc w:val="center"/>
              <w:cnfStyle w:val="100000000000" w:firstRow="1" w:lastRow="0" w:firstColumn="0" w:lastColumn="0" w:oddVBand="0" w:evenVBand="0" w:oddHBand="0" w:evenHBand="0" w:firstRowFirstColumn="0" w:firstRowLastColumn="0" w:lastRowFirstColumn="0" w:lastRowLastColumn="0"/>
            </w:pPr>
            <w:r w:rsidRPr="0021550A">
              <w:t>Ratio</w:t>
            </w:r>
          </w:p>
        </w:tc>
      </w:tr>
      <w:tr w:rsidR="003355D9" w:rsidRPr="0021550A" w14:paraId="73989D3E" w14:textId="77777777" w:rsidTr="003355D9">
        <w:tc>
          <w:tcPr>
            <w:cnfStyle w:val="001000000000" w:firstRow="0" w:lastRow="0" w:firstColumn="1" w:lastColumn="0" w:oddVBand="0" w:evenVBand="0" w:oddHBand="0" w:evenHBand="0" w:firstRowFirstColumn="0" w:firstRowLastColumn="0" w:lastRowFirstColumn="0" w:lastRowLastColumn="0"/>
            <w:tcW w:w="1705" w:type="dxa"/>
            <w:vAlign w:val="center"/>
          </w:tcPr>
          <w:p w14:paraId="4292A81B" w14:textId="42723E82" w:rsidR="003355D9" w:rsidRPr="005560E9" w:rsidRDefault="00A702C6" w:rsidP="00D11BE4">
            <w:pPr>
              <w:ind w:firstLine="0"/>
              <w:jc w:val="center"/>
              <w:rPr>
                <w:b w:val="0"/>
                <w:i/>
              </w:rPr>
            </w:pPr>
            <w:r>
              <w:rPr>
                <w:b w:val="0"/>
                <w:i/>
              </w:rPr>
              <w:t>hys</w:t>
            </w:r>
          </w:p>
        </w:tc>
        <w:tc>
          <w:tcPr>
            <w:tcW w:w="1461" w:type="dxa"/>
            <w:shd w:val="clear" w:color="auto" w:fill="auto"/>
            <w:vAlign w:val="center"/>
          </w:tcPr>
          <w:p w14:paraId="0F47E063" w14:textId="0F8008B7" w:rsidR="003355D9" w:rsidRPr="0021550A" w:rsidRDefault="00A702C6" w:rsidP="00D11BE4">
            <w:pPr>
              <w:ind w:firstLine="0"/>
              <w:jc w:val="center"/>
              <w:cnfStyle w:val="000000000000" w:firstRow="0" w:lastRow="0" w:firstColumn="0" w:lastColumn="0" w:oddVBand="0" w:evenVBand="0" w:oddHBand="0" w:evenHBand="0" w:firstRowFirstColumn="0" w:firstRowLastColumn="0" w:lastRowFirstColumn="0" w:lastRowLastColumn="0"/>
            </w:pPr>
            <w:r>
              <w:t>428</w:t>
            </w:r>
          </w:p>
        </w:tc>
        <w:tc>
          <w:tcPr>
            <w:tcW w:w="1461" w:type="dxa"/>
            <w:shd w:val="clear" w:color="auto" w:fill="auto"/>
            <w:vAlign w:val="center"/>
          </w:tcPr>
          <w:p w14:paraId="537801DE" w14:textId="27ABA0B2" w:rsidR="003355D9" w:rsidRPr="0021550A" w:rsidRDefault="00A702C6" w:rsidP="00D11BE4">
            <w:pPr>
              <w:ind w:firstLine="0"/>
              <w:jc w:val="center"/>
              <w:cnfStyle w:val="000000000000" w:firstRow="0" w:lastRow="0" w:firstColumn="0" w:lastColumn="0" w:oddVBand="0" w:evenVBand="0" w:oddHBand="0" w:evenHBand="0" w:firstRowFirstColumn="0" w:firstRowLastColumn="0" w:lastRowFirstColumn="0" w:lastRowLastColumn="0"/>
            </w:pPr>
            <w:r>
              <w:t>3</w:t>
            </w:r>
          </w:p>
        </w:tc>
        <w:tc>
          <w:tcPr>
            <w:tcW w:w="1461" w:type="dxa"/>
            <w:vAlign w:val="center"/>
          </w:tcPr>
          <w:p w14:paraId="344D1BF4" w14:textId="155D243B" w:rsidR="003355D9" w:rsidRPr="0021550A" w:rsidRDefault="00A702C6" w:rsidP="00D11BE4">
            <w:pPr>
              <w:ind w:firstLine="0"/>
              <w:jc w:val="center"/>
              <w:cnfStyle w:val="000000000000" w:firstRow="0" w:lastRow="0" w:firstColumn="0" w:lastColumn="0" w:oddVBand="0" w:evenVBand="0" w:oddHBand="0" w:evenHBand="0" w:firstRowFirstColumn="0" w:firstRowLastColumn="0" w:lastRowFirstColumn="0" w:lastRowLastColumn="0"/>
            </w:pPr>
            <w:r>
              <w:t>431</w:t>
            </w:r>
          </w:p>
        </w:tc>
        <w:tc>
          <w:tcPr>
            <w:tcW w:w="1461" w:type="dxa"/>
            <w:vAlign w:val="center"/>
          </w:tcPr>
          <w:p w14:paraId="0D3634EA" w14:textId="3C3B7AD3" w:rsidR="003355D9" w:rsidRPr="0021550A" w:rsidRDefault="00642437" w:rsidP="00D11BE4">
            <w:pPr>
              <w:ind w:firstLine="0"/>
              <w:jc w:val="center"/>
              <w:cnfStyle w:val="000000000000" w:firstRow="0" w:lastRow="0" w:firstColumn="0" w:lastColumn="0" w:oddVBand="0" w:evenVBand="0" w:oddHBand="0" w:evenHBand="0" w:firstRowFirstColumn="0" w:firstRowLastColumn="0" w:lastRowFirstColumn="0" w:lastRowLastColumn="0"/>
            </w:pPr>
            <w:r>
              <w:t>0.57</w:t>
            </w:r>
          </w:p>
        </w:tc>
      </w:tr>
      <w:tr w:rsidR="003355D9" w:rsidRPr="0021550A" w14:paraId="1044F11E" w14:textId="77777777" w:rsidTr="003355D9">
        <w:tc>
          <w:tcPr>
            <w:cnfStyle w:val="001000000000" w:firstRow="0" w:lastRow="0" w:firstColumn="1" w:lastColumn="0" w:oddVBand="0" w:evenVBand="0" w:oddHBand="0" w:evenHBand="0" w:firstRowFirstColumn="0" w:firstRowLastColumn="0" w:lastRowFirstColumn="0" w:lastRowLastColumn="0"/>
            <w:tcW w:w="1705" w:type="dxa"/>
            <w:vAlign w:val="center"/>
          </w:tcPr>
          <w:p w14:paraId="40D5421E" w14:textId="50E426C8" w:rsidR="003355D9" w:rsidRPr="005560E9" w:rsidRDefault="00A702C6" w:rsidP="00D11BE4">
            <w:pPr>
              <w:ind w:firstLine="0"/>
              <w:jc w:val="center"/>
              <w:rPr>
                <w:b w:val="0"/>
                <w:i/>
              </w:rPr>
            </w:pPr>
            <w:r>
              <w:rPr>
                <w:b w:val="0"/>
                <w:i/>
              </w:rPr>
              <w:t>his</w:t>
            </w:r>
            <w:r w:rsidR="00BF28AF">
              <w:rPr>
                <w:b w:val="0"/>
                <w:i/>
              </w:rPr>
              <w:t xml:space="preserve"> </w:t>
            </w:r>
          </w:p>
        </w:tc>
        <w:tc>
          <w:tcPr>
            <w:tcW w:w="1461" w:type="dxa"/>
            <w:shd w:val="clear" w:color="auto" w:fill="auto"/>
            <w:vAlign w:val="center"/>
          </w:tcPr>
          <w:p w14:paraId="505656A2" w14:textId="3DDAFE5E" w:rsidR="003355D9" w:rsidRPr="0021550A" w:rsidRDefault="00A702C6" w:rsidP="00D11BE4">
            <w:pPr>
              <w:ind w:firstLine="0"/>
              <w:jc w:val="center"/>
              <w:cnfStyle w:val="000000000000" w:firstRow="0" w:lastRow="0" w:firstColumn="0" w:lastColumn="0" w:oddVBand="0" w:evenVBand="0" w:oddHBand="0" w:evenHBand="0" w:firstRowFirstColumn="0" w:firstRowLastColumn="0" w:lastRowFirstColumn="0" w:lastRowLastColumn="0"/>
            </w:pPr>
            <w:r>
              <w:t>16</w:t>
            </w:r>
          </w:p>
        </w:tc>
        <w:tc>
          <w:tcPr>
            <w:tcW w:w="1461" w:type="dxa"/>
            <w:shd w:val="clear" w:color="auto" w:fill="auto"/>
            <w:vAlign w:val="center"/>
          </w:tcPr>
          <w:p w14:paraId="1B46679C" w14:textId="7E409AD0" w:rsidR="003355D9" w:rsidRPr="0021550A" w:rsidRDefault="00A702C6" w:rsidP="00D11BE4">
            <w:pPr>
              <w:ind w:firstLine="0"/>
              <w:jc w:val="center"/>
              <w:cnfStyle w:val="000000000000" w:firstRow="0" w:lastRow="0" w:firstColumn="0" w:lastColumn="0" w:oddVBand="0" w:evenVBand="0" w:oddHBand="0" w:evenHBand="0" w:firstRowFirstColumn="0" w:firstRowLastColumn="0" w:lastRowFirstColumn="0" w:lastRowLastColumn="0"/>
            </w:pPr>
            <w:r>
              <w:t>306</w:t>
            </w:r>
          </w:p>
        </w:tc>
        <w:tc>
          <w:tcPr>
            <w:tcW w:w="1461" w:type="dxa"/>
            <w:vAlign w:val="center"/>
          </w:tcPr>
          <w:p w14:paraId="11C7CBD7" w14:textId="3143BB3C" w:rsidR="003355D9" w:rsidRPr="0021550A" w:rsidRDefault="00A702C6" w:rsidP="00D11BE4">
            <w:pPr>
              <w:ind w:firstLine="0"/>
              <w:jc w:val="center"/>
              <w:cnfStyle w:val="000000000000" w:firstRow="0" w:lastRow="0" w:firstColumn="0" w:lastColumn="0" w:oddVBand="0" w:evenVBand="0" w:oddHBand="0" w:evenHBand="0" w:firstRowFirstColumn="0" w:firstRowLastColumn="0" w:lastRowFirstColumn="0" w:lastRowLastColumn="0"/>
            </w:pPr>
            <w:r>
              <w:t>322</w:t>
            </w:r>
          </w:p>
        </w:tc>
        <w:tc>
          <w:tcPr>
            <w:tcW w:w="1461" w:type="dxa"/>
            <w:vAlign w:val="center"/>
          </w:tcPr>
          <w:p w14:paraId="38E3A530" w14:textId="5B385978" w:rsidR="003355D9" w:rsidRPr="0021550A" w:rsidRDefault="00642437" w:rsidP="00D11BE4">
            <w:pPr>
              <w:ind w:firstLine="0"/>
              <w:jc w:val="center"/>
              <w:cnfStyle w:val="000000000000" w:firstRow="0" w:lastRow="0" w:firstColumn="0" w:lastColumn="0" w:oddVBand="0" w:evenVBand="0" w:oddHBand="0" w:evenHBand="0" w:firstRowFirstColumn="0" w:firstRowLastColumn="0" w:lastRowFirstColumn="0" w:lastRowLastColumn="0"/>
            </w:pPr>
            <w:r>
              <w:t>0.43</w:t>
            </w:r>
          </w:p>
        </w:tc>
      </w:tr>
    </w:tbl>
    <w:p w14:paraId="263E570D" w14:textId="3A7564FE" w:rsidR="006D3E44" w:rsidRPr="0021550A" w:rsidRDefault="00453776" w:rsidP="000737CB">
      <w:pPr>
        <w:pStyle w:val="Caption"/>
      </w:pPr>
      <w:bookmarkStart w:id="163" w:name="_Toc499753485"/>
      <w:r>
        <w:t xml:space="preserve">Table 5.12: </w:t>
      </w:r>
      <w:r w:rsidR="006D3E44" w:rsidRPr="0021550A">
        <w:t xml:space="preserve">Spelling </w:t>
      </w:r>
      <w:r w:rsidR="00D36157">
        <w:t>for</w:t>
      </w:r>
      <w:r w:rsidR="006D3E44" w:rsidRPr="0021550A">
        <w:t xml:space="preserve"> </w:t>
      </w:r>
      <w:r w:rsidR="00642437">
        <w:rPr>
          <w:smallCaps/>
        </w:rPr>
        <w:t>his</w:t>
      </w:r>
      <w:r w:rsidR="006D3E44" w:rsidRPr="0021550A">
        <w:t xml:space="preserve"> used in </w:t>
      </w:r>
      <w:r w:rsidR="00642437">
        <w:rPr>
          <w:i/>
        </w:rPr>
        <w:t>Troilus and Criseyde</w:t>
      </w:r>
      <w:bookmarkEnd w:id="163"/>
    </w:p>
    <w:p w14:paraId="409E5B93" w14:textId="77777777" w:rsidR="006D3E44" w:rsidRPr="0021550A" w:rsidRDefault="006D3E44" w:rsidP="000737CB"/>
    <w:p w14:paraId="2D16FE6F" w14:textId="1723F264" w:rsidR="006D3E44" w:rsidRPr="0021550A" w:rsidRDefault="006D3E44" w:rsidP="000737CB">
      <w:r w:rsidRPr="0021550A">
        <w:t xml:space="preserve">By examining the contents of </w:t>
      </w:r>
      <w:r w:rsidR="00FC68DC">
        <w:t>Table 5.12</w:t>
      </w:r>
      <w:r w:rsidRPr="0021550A">
        <w:t xml:space="preserve">, we can see how the differences between clusters can be lost when considering the spellings used in a whole text. </w:t>
      </w:r>
      <w:r w:rsidR="00FC68DC">
        <w:t xml:space="preserve">Table 5.12 </w:t>
      </w:r>
      <w:r w:rsidR="00662C1A">
        <w:rPr>
          <w:noProof/>
        </w:rPr>
        <w:t xml:space="preserve">shows the frequency of each variant spelling for the word </w:t>
      </w:r>
      <w:r w:rsidR="00A40B80">
        <w:rPr>
          <w:smallCaps/>
          <w:noProof/>
        </w:rPr>
        <w:t>his</w:t>
      </w:r>
      <w:r w:rsidR="00662C1A">
        <w:rPr>
          <w:noProof/>
        </w:rPr>
        <w:t xml:space="preserve"> used in the two clusters of </w:t>
      </w:r>
      <w:r w:rsidR="00662C1A">
        <w:rPr>
          <w:i/>
          <w:noProof/>
        </w:rPr>
        <w:t>Troilus and Criseyde</w:t>
      </w:r>
      <w:r w:rsidR="00662C1A">
        <w:rPr>
          <w:noProof/>
        </w:rPr>
        <w:t xml:space="preserve">. </w:t>
      </w:r>
      <w:r w:rsidR="00A40B80">
        <w:rPr>
          <w:noProof/>
        </w:rPr>
        <w:t xml:space="preserve">The spellings for </w:t>
      </w:r>
      <w:r w:rsidR="00A40B80">
        <w:rPr>
          <w:smallCaps/>
          <w:noProof/>
        </w:rPr>
        <w:t xml:space="preserve">his </w:t>
      </w:r>
      <w:r w:rsidR="00A40B80">
        <w:rPr>
          <w:noProof/>
        </w:rPr>
        <w:t xml:space="preserve">are used differently by the two compositors of the text. Compositor 1 prefers to use </w:t>
      </w:r>
      <w:r w:rsidR="00A40B80">
        <w:rPr>
          <w:i/>
          <w:noProof/>
        </w:rPr>
        <w:t>hys</w:t>
      </w:r>
      <w:r w:rsidR="00A40B80">
        <w:rPr>
          <w:noProof/>
        </w:rPr>
        <w:t xml:space="preserve"> and Compositor 2 prefers to use </w:t>
      </w:r>
      <w:r w:rsidR="00A40B80">
        <w:rPr>
          <w:i/>
          <w:noProof/>
        </w:rPr>
        <w:t>his</w:t>
      </w:r>
      <w:r w:rsidR="00A40B80">
        <w:rPr>
          <w:noProof/>
        </w:rPr>
        <w:t xml:space="preserve">. </w:t>
      </w:r>
      <w:r w:rsidR="00712F2E">
        <w:rPr>
          <w:noProof/>
        </w:rPr>
        <w:t xml:space="preserve">While the two compositors use the spellings for </w:t>
      </w:r>
      <w:r w:rsidR="00712F2E">
        <w:rPr>
          <w:smallCaps/>
          <w:noProof/>
        </w:rPr>
        <w:t>his</w:t>
      </w:r>
      <w:r w:rsidR="00712F2E">
        <w:rPr>
          <w:noProof/>
        </w:rPr>
        <w:t xml:space="preserve"> in very different ways, when we look at the text as a whole these differences are obscured. The ratios column in </w:t>
      </w:r>
      <w:r w:rsidR="00D31AED">
        <w:t xml:space="preserve">Table 5.12 </w:t>
      </w:r>
      <w:r w:rsidR="00712F2E">
        <w:t xml:space="preserve">shows the relative use of </w:t>
      </w:r>
      <w:r w:rsidR="00712F2E">
        <w:rPr>
          <w:i/>
        </w:rPr>
        <w:t>his</w:t>
      </w:r>
      <w:r w:rsidR="00712F2E">
        <w:t xml:space="preserve"> and </w:t>
      </w:r>
      <w:r w:rsidR="00712F2E">
        <w:rPr>
          <w:i/>
        </w:rPr>
        <w:t>hys</w:t>
      </w:r>
      <w:r w:rsidR="00712F2E">
        <w:t xml:space="preserve"> used throughout the text, which makes the</w:t>
      </w:r>
      <w:r w:rsidR="00084CE5">
        <w:t xml:space="preserve"> distribution appear very even overall, and these differences are greater when the clusters are not as even as those in </w:t>
      </w:r>
      <w:r w:rsidR="00084CE5">
        <w:rPr>
          <w:i/>
        </w:rPr>
        <w:t>Troilus and Criseyde</w:t>
      </w:r>
      <w:r w:rsidR="00084CE5">
        <w:t xml:space="preserve">. </w:t>
      </w:r>
      <w:r w:rsidRPr="0021550A">
        <w:t xml:space="preserve">Because the distribution of ratios in </w:t>
      </w:r>
      <w:r w:rsidR="00D31AED">
        <w:t>Table 5.12</w:t>
      </w:r>
      <w:r w:rsidRPr="0021550A">
        <w:t xml:space="preserve"> is </w:t>
      </w:r>
      <w:r w:rsidR="004E3C31">
        <w:t>formed by combining</w:t>
      </w:r>
      <w:r w:rsidRPr="0021550A">
        <w:t xml:space="preserve"> these separate parts of the text, which themselves contain different spellings to one another, there is no part of </w:t>
      </w:r>
      <w:r w:rsidR="004E4739">
        <w:rPr>
          <w:i/>
        </w:rPr>
        <w:t xml:space="preserve">Troilus and Criseyde </w:t>
      </w:r>
      <w:r w:rsidR="004E4739">
        <w:t>t</w:t>
      </w:r>
      <w:r w:rsidRPr="0021550A">
        <w:t xml:space="preserve">hat can be sampled to generate these ratios. The discrepancy between the text and the ratios comes back to Caxton’s texts not using the same ratios of spellings throughout the whole text. </w:t>
      </w:r>
    </w:p>
    <w:p w14:paraId="5FA549FE" w14:textId="6A6DF041" w:rsidR="000F119C" w:rsidRDefault="006D3E44" w:rsidP="009346CC">
      <w:r w:rsidRPr="0021550A">
        <w:t>It is important not to forget that the spellings are not uniform throughout</w:t>
      </w:r>
      <w:r w:rsidR="004E4739">
        <w:t xml:space="preserve"> many of Caxton’s texts where more than one compositor or more than one scribe was involved with the creation of the text or the copy text. In these cases</w:t>
      </w:r>
      <w:r w:rsidRPr="0021550A">
        <w:t xml:space="preserve"> the ratios of spelling variants for the whole text do not represent the distribution of the spelling variants at any part of the text. When we compare whole texts against one another, for example comparin</w:t>
      </w:r>
      <w:r w:rsidR="009346CC">
        <w:t xml:space="preserve">g the spellings used across </w:t>
      </w:r>
      <w:r w:rsidR="009346CC">
        <w:rPr>
          <w:i/>
        </w:rPr>
        <w:t xml:space="preserve">Troilus and Criseyde </w:t>
      </w:r>
      <w:r w:rsidRPr="0021550A">
        <w:t xml:space="preserve">against those used across the </w:t>
      </w:r>
      <w:r w:rsidRPr="0021550A">
        <w:rPr>
          <w:i/>
        </w:rPr>
        <w:t>Canterbury Tales</w:t>
      </w:r>
      <w:r w:rsidRPr="0021550A">
        <w:t xml:space="preserve">, the comparison is undertaken on </w:t>
      </w:r>
      <w:r w:rsidR="000F119C">
        <w:t xml:space="preserve">weighted means for each spelling use throughout the text, and thus </w:t>
      </w:r>
      <w:r w:rsidRPr="0021550A">
        <w:t>we are unable to detect sma</w:t>
      </w:r>
      <w:r w:rsidR="000F119C">
        <w:t xml:space="preserve">ller similarities within texts. For example, the spellings used by Compositor 1 of </w:t>
      </w:r>
      <w:r w:rsidR="000F119C">
        <w:rPr>
          <w:i/>
        </w:rPr>
        <w:t>Troilus and Criseyde</w:t>
      </w:r>
      <w:r w:rsidR="000F119C">
        <w:t xml:space="preserve"> and Compositor 2 of the </w:t>
      </w:r>
      <w:r w:rsidR="000F119C">
        <w:rPr>
          <w:i/>
        </w:rPr>
        <w:t>Canterbury Tales</w:t>
      </w:r>
      <w:r w:rsidR="000F119C">
        <w:t xml:space="preserve"> could use very similar spellings, or even be the same person, but by </w:t>
      </w:r>
      <w:r w:rsidR="000F119C">
        <w:lastRenderedPageBreak/>
        <w:t xml:space="preserve">taking the mean of the spelling use as a whole these layers of spellings are conflated and the similarities between them can become undetectable. </w:t>
      </w:r>
    </w:p>
    <w:p w14:paraId="3805C44A" w14:textId="30AACDEE" w:rsidR="006D3E44" w:rsidRPr="0021550A" w:rsidRDefault="006D3E44" w:rsidP="000737CB">
      <w:r w:rsidRPr="0021550A">
        <w:t xml:space="preserve">By expanding the method for use on whole texts, we necessarily experience some information loss. In this case of the current research, the information that we lose is the subtle ability of these methods to work between layers of spelling variants, and the result is a generalisation of the variants that are used overall. In clustering whole texts, we lose the distinction between the smaller clusters of quires within a text, and conflate the layers of spellings from different copy texts and different compositors, as demonstrated </w:t>
      </w:r>
      <w:r w:rsidR="000F119C">
        <w:t xml:space="preserve">here </w:t>
      </w:r>
      <w:r w:rsidRPr="0021550A">
        <w:t xml:space="preserve">using </w:t>
      </w:r>
      <w:r w:rsidR="000F119C">
        <w:rPr>
          <w:i/>
        </w:rPr>
        <w:t>Troilus and Criseyde</w:t>
      </w:r>
      <w:r w:rsidRPr="0021550A">
        <w:t xml:space="preserve">. The only way to avoid this loss of information would be to run the cluster analysis again, but instead of taking the quires of each text as objects, the objects would be formed from the clusters that were identified </w:t>
      </w:r>
      <w:r w:rsidR="00E0282B">
        <w:t>when clustering quires</w:t>
      </w:r>
      <w:r w:rsidRPr="0021550A">
        <w:t xml:space="preserve">. However, clustering such small sections of the whole dataset is not possible due to the difficulty in finding enough words that are common to all sections of the text. The method used for this study (discussed </w:t>
      </w:r>
      <w:r w:rsidR="00E0282B">
        <w:t>previously</w:t>
      </w:r>
      <w:r w:rsidRPr="0021550A">
        <w:t xml:space="preserve"> in Section </w:t>
      </w:r>
      <w:r w:rsidR="00E12429">
        <w:fldChar w:fldCharType="begin"/>
      </w:r>
      <w:r w:rsidR="00E12429">
        <w:instrText xml:space="preserve"> REF _Ref492475903 \r </w:instrText>
      </w:r>
      <w:r w:rsidR="00E12429">
        <w:fldChar w:fldCharType="separate"/>
      </w:r>
      <w:r w:rsidR="00D11844">
        <w:t>5.5.2</w:t>
      </w:r>
      <w:r w:rsidR="00E12429">
        <w:fldChar w:fldCharType="end"/>
      </w:r>
      <w:r w:rsidRPr="0021550A">
        <w:t xml:space="preserve">) requires that for a word to be used in the cluster analysis, the word must be represented by at least one spelling within every text or section of text undergoing analysis. That is, to include the word </w:t>
      </w:r>
      <w:r w:rsidRPr="0021550A">
        <w:rPr>
          <w:smallCaps/>
        </w:rPr>
        <w:t>among</w:t>
      </w:r>
      <w:r w:rsidRPr="0021550A">
        <w:t xml:space="preserve"> in the clustering, at least one spelling variant for </w:t>
      </w:r>
      <w:r w:rsidRPr="0021550A">
        <w:rPr>
          <w:smallCaps/>
        </w:rPr>
        <w:t>among</w:t>
      </w:r>
      <w:r w:rsidRPr="0021550A">
        <w:t xml:space="preserve"> must appear in every text or subtext submitted for cluster analysis. As the whole texts are divided into smaller constituent parts, the number of words in common across all the constituent parts gets smaller because the total number of distinct words in each subsection of text is </w:t>
      </w:r>
      <w:r w:rsidR="00330DC7">
        <w:t xml:space="preserve">far </w:t>
      </w:r>
      <w:r w:rsidRPr="0021550A">
        <w:t>less than the number of distinct words that make up the whole text. The cluster analysis is at its most effective when the confidence interval is high, or rather the analysis is most effective when more spelling variants are taken into account. For this reason, it is not ideal to cluster the whole dataset in their constituent parts, but rather to take the texts as a whole.</w:t>
      </w:r>
    </w:p>
    <w:p w14:paraId="50480C98" w14:textId="28D4F0DB" w:rsidR="006D3E44" w:rsidRDefault="006D3E44" w:rsidP="000737CB">
      <w:r w:rsidRPr="0021550A">
        <w:t>The loss of information when clustering on whole texts is not necessarily a problem f</w:t>
      </w:r>
      <w:r w:rsidR="00330DC7">
        <w:t xml:space="preserve">or this </w:t>
      </w:r>
      <w:r w:rsidRPr="0021550A">
        <w:t>study. The cluster analysis in this chapter aims to isolate the spellings that are introduced by Caxton, and to resolve some of the research questions that explore the extent to which Caxton had an effect on particular texts. The loss of information when clustering whole texts means that the process is no longer nuanced enough to pick up whether two texts were typeset by the same compositor, for example, and we would expect similarity scores to drop when comparing whole texts against another than when comparing internal sections of the same text. However, the cluster analysis has proven very sensitive to changes in spelling when used on</w:t>
      </w:r>
      <w:r w:rsidR="00330DC7">
        <w:t xml:space="preserve"> the</w:t>
      </w:r>
      <w:r w:rsidRPr="0021550A">
        <w:t xml:space="preserve"> quires</w:t>
      </w:r>
      <w:r w:rsidR="00330DC7">
        <w:t xml:space="preserve"> of </w:t>
      </w:r>
      <w:r w:rsidR="00330DC7">
        <w:rPr>
          <w:i/>
        </w:rPr>
        <w:t>Troilus and Criseyde</w:t>
      </w:r>
      <w:r w:rsidRPr="0021550A">
        <w:t xml:space="preserve"> in </w:t>
      </w:r>
      <w:r w:rsidR="003D758D">
        <w:t>Section 5.4</w:t>
      </w:r>
      <w:r w:rsidRPr="0021550A">
        <w:t xml:space="preserve">. Because the copy text has the largest level of input into the ratios of spelling frequencies for a whole text, it is likely that the cluster analysis will pick up the spellings that are common to many texts, such as those texts that were all translated by Caxton. </w:t>
      </w:r>
    </w:p>
    <w:p w14:paraId="638C8D99" w14:textId="77777777" w:rsidR="003A0512" w:rsidRDefault="003A0512" w:rsidP="000737CB"/>
    <w:p w14:paraId="214DAAE2" w14:textId="002C3D66" w:rsidR="00355339" w:rsidRPr="0021550A" w:rsidRDefault="00355339" w:rsidP="003A0512">
      <w:pPr>
        <w:pStyle w:val="Heading2"/>
      </w:pPr>
      <w:bookmarkStart w:id="164" w:name="_Toc497899862"/>
      <w:r>
        <w:lastRenderedPageBreak/>
        <w:t xml:space="preserve">Chapter </w:t>
      </w:r>
      <w:bookmarkEnd w:id="164"/>
      <w:r w:rsidR="00330DC7">
        <w:t xml:space="preserve">conclusions </w:t>
      </w:r>
    </w:p>
    <w:p w14:paraId="7E6CF284" w14:textId="22AAF938" w:rsidR="00330DC7" w:rsidRDefault="005560E9" w:rsidP="0084606B">
      <w:r>
        <w:t xml:space="preserve">This chapter has introduced the use of cluster analysis for the </w:t>
      </w:r>
      <w:r w:rsidR="00845EE2">
        <w:t xml:space="preserve">exploration of layers of spelling variation present in Caxton’s texts. In Section </w:t>
      </w:r>
      <w:r w:rsidR="00845EE2">
        <w:fldChar w:fldCharType="begin"/>
      </w:r>
      <w:r w:rsidR="00845EE2">
        <w:instrText xml:space="preserve"> REF _Ref498440501 \r </w:instrText>
      </w:r>
      <w:r w:rsidR="00845EE2">
        <w:fldChar w:fldCharType="separate"/>
      </w:r>
      <w:r w:rsidR="00D11844">
        <w:t>5.1</w:t>
      </w:r>
      <w:r w:rsidR="00845EE2">
        <w:fldChar w:fldCharType="end"/>
      </w:r>
      <w:r w:rsidR="00845EE2">
        <w:t xml:space="preserve"> I discussed the preparations required so that spellings could be used as data, and discuss the use of quires as a unit of measurement. </w:t>
      </w:r>
      <w:r w:rsidR="00330DC7">
        <w:t xml:space="preserve">As part of the development of a form of cluster analysis suitable for analysing spelling variation in quires, in Section </w:t>
      </w:r>
      <w:r w:rsidR="00330DC7">
        <w:fldChar w:fldCharType="begin"/>
      </w:r>
      <w:r w:rsidR="00330DC7">
        <w:instrText xml:space="preserve"> REF _Ref497826205 \r </w:instrText>
      </w:r>
      <w:r w:rsidR="00330DC7">
        <w:fldChar w:fldCharType="separate"/>
      </w:r>
      <w:r w:rsidR="00D11844">
        <w:t>5.2</w:t>
      </w:r>
      <w:r w:rsidR="00330DC7">
        <w:fldChar w:fldCharType="end"/>
      </w:r>
      <w:r w:rsidR="00330DC7">
        <w:t xml:space="preserve"> I tested three types of cluster analysis. Based on the testing results, in Section </w:t>
      </w:r>
      <w:r w:rsidR="00330DC7">
        <w:fldChar w:fldCharType="begin"/>
      </w:r>
      <w:r w:rsidR="00330DC7">
        <w:instrText xml:space="preserve"> REF _Ref497826707 \r </w:instrText>
      </w:r>
      <w:r w:rsidR="00330DC7">
        <w:fldChar w:fldCharType="separate"/>
      </w:r>
      <w:r w:rsidR="00D11844">
        <w:t>5.4.4</w:t>
      </w:r>
      <w:r w:rsidR="00330DC7">
        <w:fldChar w:fldCharType="end"/>
      </w:r>
      <w:r w:rsidR="00330DC7">
        <w:t xml:space="preserve"> I argued that </w:t>
      </w:r>
      <w:r w:rsidR="00330DC7" w:rsidRPr="004C3465">
        <w:rPr>
          <w:i/>
        </w:rPr>
        <w:t>k</w:t>
      </w:r>
      <w:r w:rsidR="00330DC7">
        <w:t>-means clustering is the most appropriate type of clustering for grouping quires within a text, and that hierarchical clustering methods, such as the Ward error sum of squares method, are better suited to clustering whole texts. Cluster analysis has proved to be a useful method in cases where there is uncertainty in the division of copy for compositors, or where a change in copy text may have taken place.</w:t>
      </w:r>
    </w:p>
    <w:p w14:paraId="3CA3D86A" w14:textId="6D20D0A2" w:rsidR="0084606B" w:rsidRDefault="0084606B" w:rsidP="00330DC7">
      <w:r>
        <w:t>The high dimensionality of the data means that adjustments to the method are required, because high dimensional space has properties that make cluster analysis difficult</w:t>
      </w:r>
      <w:r w:rsidR="00EB6D9B">
        <w:t xml:space="preserve"> (see Section </w:t>
      </w:r>
      <w:r w:rsidR="00EB6D9B">
        <w:fldChar w:fldCharType="begin"/>
      </w:r>
      <w:r w:rsidR="00EB6D9B">
        <w:instrText xml:space="preserve"> REF _Ref498704164 \r </w:instrText>
      </w:r>
      <w:r w:rsidR="00EB6D9B">
        <w:fldChar w:fldCharType="separate"/>
      </w:r>
      <w:r w:rsidR="00D11844">
        <w:t>4.4</w:t>
      </w:r>
      <w:r w:rsidR="00EB6D9B">
        <w:fldChar w:fldCharType="end"/>
      </w:r>
      <w:r w:rsidR="00EB6D9B">
        <w:t xml:space="preserve"> for further details). </w:t>
      </w:r>
      <w:r>
        <w:t xml:space="preserve">Section </w:t>
      </w:r>
      <w:r>
        <w:fldChar w:fldCharType="begin"/>
      </w:r>
      <w:r>
        <w:instrText xml:space="preserve"> REF _Ref497745024 \r </w:instrText>
      </w:r>
      <w:r>
        <w:fldChar w:fldCharType="separate"/>
      </w:r>
      <w:r w:rsidR="00D11844">
        <w:t>5.3.1</w:t>
      </w:r>
      <w:r>
        <w:fldChar w:fldCharType="end"/>
      </w:r>
      <w:r>
        <w:t xml:space="preserve"> demonstrate</w:t>
      </w:r>
      <w:r w:rsidR="00330DC7">
        <w:t>d</w:t>
      </w:r>
      <w:r>
        <w:t xml:space="preserve"> the value of undertaking the cluster analysis twice—the first time using all the spellings and ensuring a truly data-driven method, and the second clustering using a restricted set spellings that represent high-frequency words that appeared in at least eighty per cent of quires. In Chapter 9 the analysis is expanded so that whole texts can be clustered with one another. </w:t>
      </w:r>
      <w:r w:rsidR="00330DC7">
        <w:t xml:space="preserve">Section </w:t>
      </w:r>
      <w:r w:rsidR="00330DC7">
        <w:fldChar w:fldCharType="begin"/>
      </w:r>
      <w:r w:rsidR="00330DC7">
        <w:instrText xml:space="preserve"> REF _Ref497745959 \r </w:instrText>
      </w:r>
      <w:r w:rsidR="00330DC7">
        <w:fldChar w:fldCharType="separate"/>
      </w:r>
      <w:r w:rsidR="00D11844">
        <w:t>5.5</w:t>
      </w:r>
      <w:r w:rsidR="00330DC7">
        <w:fldChar w:fldCharType="end"/>
      </w:r>
      <w:r w:rsidR="00330DC7">
        <w:t xml:space="preserve"> details the adjustments that are necessary to use cluster analysis on whole texts</w:t>
      </w:r>
      <w:r>
        <w:t xml:space="preserve">: Section </w:t>
      </w:r>
      <w:r>
        <w:fldChar w:fldCharType="begin"/>
      </w:r>
      <w:r>
        <w:instrText xml:space="preserve"> REF _Ref497744748 \r </w:instrText>
      </w:r>
      <w:r>
        <w:fldChar w:fldCharType="separate"/>
      </w:r>
      <w:r w:rsidR="00D11844">
        <w:t>5.5.1</w:t>
      </w:r>
      <w:r>
        <w:fldChar w:fldCharType="end"/>
      </w:r>
      <w:r>
        <w:t xml:space="preserve"> demonstrate</w:t>
      </w:r>
      <w:r w:rsidR="00330DC7">
        <w:t>d</w:t>
      </w:r>
      <w:r>
        <w:t xml:space="preserve"> the value of using hierarchical clustering rather than </w:t>
      </w:r>
      <w:r w:rsidRPr="004C3465">
        <w:rPr>
          <w:i/>
        </w:rPr>
        <w:t>k</w:t>
      </w:r>
      <w:r>
        <w:t xml:space="preserve">-means, and Section </w:t>
      </w:r>
      <w:r>
        <w:fldChar w:fldCharType="begin"/>
      </w:r>
      <w:r>
        <w:instrText xml:space="preserve"> REF _Ref492475903 \r </w:instrText>
      </w:r>
      <w:r>
        <w:fldChar w:fldCharType="separate"/>
      </w:r>
      <w:r w:rsidR="00D11844">
        <w:t>5.5.2</w:t>
      </w:r>
      <w:r>
        <w:fldChar w:fldCharType="end"/>
      </w:r>
      <w:r>
        <w:t xml:space="preserve"> establishe</w:t>
      </w:r>
      <w:r w:rsidR="00330DC7">
        <w:t>d</w:t>
      </w:r>
      <w:r>
        <w:t xml:space="preserve"> the necessity of restricting the cluster analysis to the spellings used within the text (or sections of text) that are included in the analysis.</w:t>
      </w:r>
    </w:p>
    <w:p w14:paraId="769FDDE8" w14:textId="77777777" w:rsidR="00845EE2" w:rsidRDefault="00845EE2" w:rsidP="000737CB"/>
    <w:p w14:paraId="7597D3D1" w14:textId="77777777" w:rsidR="00845EE2" w:rsidRDefault="00845EE2" w:rsidP="000737CB"/>
    <w:p w14:paraId="6F875BBD" w14:textId="77777777" w:rsidR="00845EE2" w:rsidRPr="0021550A" w:rsidRDefault="00845EE2" w:rsidP="000737CB"/>
    <w:p w14:paraId="626CBA40" w14:textId="77777777" w:rsidR="007E5652" w:rsidRDefault="007E5652" w:rsidP="000737CB">
      <w:r>
        <w:br w:type="page"/>
      </w:r>
    </w:p>
    <w:p w14:paraId="2307117D" w14:textId="3643CB0C" w:rsidR="00613C75" w:rsidRPr="0021550A" w:rsidRDefault="00D5066D" w:rsidP="00173DDA">
      <w:pPr>
        <w:pStyle w:val="Heading1"/>
      </w:pPr>
      <w:bookmarkStart w:id="165" w:name="_Toc497899863"/>
      <w:r>
        <w:lastRenderedPageBreak/>
        <w:t xml:space="preserve">Research design – </w:t>
      </w:r>
      <w:r w:rsidR="002E6137">
        <w:t>similarity</w:t>
      </w:r>
      <w:bookmarkEnd w:id="165"/>
      <w:r>
        <w:t xml:space="preserve"> testing</w:t>
      </w:r>
    </w:p>
    <w:p w14:paraId="5A2106D5" w14:textId="6D4D817D" w:rsidR="001E3657" w:rsidRDefault="00613C75" w:rsidP="000737CB">
      <w:r w:rsidRPr="0021550A">
        <w:t xml:space="preserve">This chapter introduces a method for measuring how different the spellings are within different sections of the same book. While the cluster analysis </w:t>
      </w:r>
      <w:r w:rsidR="00134923">
        <w:t>developed</w:t>
      </w:r>
      <w:r w:rsidRPr="0021550A">
        <w:t xml:space="preserve"> in </w:t>
      </w:r>
      <w:r w:rsidR="00446BE8">
        <w:t>the previous chapter is designed to locate</w:t>
      </w:r>
      <w:r w:rsidRPr="0021550A">
        <w:t xml:space="preserve"> where in the text a chan</w:t>
      </w:r>
      <w:r w:rsidR="00804EEF">
        <w:t>ge of spellings has occurred, the cluster analysis</w:t>
      </w:r>
      <w:r w:rsidRPr="0021550A">
        <w:t xml:space="preserve"> is not able to show the extent </w:t>
      </w:r>
      <w:r w:rsidR="00804EEF">
        <w:t>to which</w:t>
      </w:r>
      <w:r w:rsidRPr="0021550A">
        <w:t xml:space="preserve"> the spellings in </w:t>
      </w:r>
      <w:r w:rsidR="003A2005">
        <w:t>separate</w:t>
      </w:r>
      <w:r w:rsidRPr="0021550A">
        <w:t xml:space="preserve"> clusters differ from one another. This study aims to quantify the differences in spellings </w:t>
      </w:r>
      <w:r w:rsidR="00BE0808">
        <w:t>between the idiolects of the compositors or the scribes who wrote the copy text</w:t>
      </w:r>
      <w:r w:rsidRPr="0021550A">
        <w:t>, by measuring the extent to which the same combinations of spellings are us</w:t>
      </w:r>
      <w:r w:rsidR="00AA7813">
        <w:t xml:space="preserve">ed in different sections of one </w:t>
      </w:r>
      <w:r w:rsidRPr="0021550A">
        <w:t xml:space="preserve">text. </w:t>
      </w:r>
      <w:r w:rsidR="001E3657">
        <w:t xml:space="preserve">I suggest that with regard to spelling variation, similarity testing can be used in two ways: first, to compare the extent to which the spellings differ between different idiolects, and second, to explore whether the spellings </w:t>
      </w:r>
      <w:r w:rsidR="00AA7813">
        <w:t xml:space="preserve">that are </w:t>
      </w:r>
      <w:r w:rsidR="001E3657">
        <w:t xml:space="preserve">used by one person remain the same throughout the copying work that they undertook. </w:t>
      </w:r>
      <w:r w:rsidR="00AA7813">
        <w:t xml:space="preserve">In using this method in two ways, this study demonstrates the utility and value of similarity testing in studies of historical spelling variation. </w:t>
      </w:r>
    </w:p>
    <w:p w14:paraId="54D48F6F" w14:textId="77777777" w:rsidR="000A437B" w:rsidRDefault="00AF2E28" w:rsidP="000737CB">
      <w:r>
        <w:t xml:space="preserve">The similarity test that I am using makes use of the cosine similarity measure. </w:t>
      </w:r>
      <w:r w:rsidR="00613C75" w:rsidRPr="0021550A">
        <w:t xml:space="preserve">The </w:t>
      </w:r>
      <w:r w:rsidR="00414A49">
        <w:t xml:space="preserve">cosine similarity </w:t>
      </w:r>
      <w:r w:rsidR="00613C75" w:rsidRPr="0021550A">
        <w:t xml:space="preserve">measure </w:t>
      </w:r>
      <w:r>
        <w:t>compares</w:t>
      </w:r>
      <w:r w:rsidR="00613C75" w:rsidRPr="0021550A">
        <w:t xml:space="preserve"> two sets of data and returns a value</w:t>
      </w:r>
      <w:r w:rsidR="000A437B">
        <w:t xml:space="preserve"> on the continuum</w:t>
      </w:r>
      <w:r w:rsidR="00613C75" w:rsidRPr="0021550A">
        <w:t xml:space="preserve"> between 0 and 1 that </w:t>
      </w:r>
      <w:r>
        <w:t>represents</w:t>
      </w:r>
      <w:r w:rsidR="00613C75" w:rsidRPr="0021550A">
        <w:t xml:space="preserve"> how similar the sets of data are, where 0 means that the data is entirely different</w:t>
      </w:r>
      <w:r>
        <w:t xml:space="preserve"> in both sets</w:t>
      </w:r>
      <w:r w:rsidR="00613C75" w:rsidRPr="0021550A">
        <w:t xml:space="preserve"> and 1 means that the data in both sets are identical. </w:t>
      </w:r>
      <w:r w:rsidR="000A437B">
        <w:t xml:space="preserve">Because the result is provided on a continuum, rather than as a binary distinction, it is possible to compare the relative similarities for multiple sections of the same text against each other. </w:t>
      </w:r>
    </w:p>
    <w:p w14:paraId="73A828F3" w14:textId="59169F92" w:rsidR="00613C75" w:rsidRPr="0021550A" w:rsidRDefault="00570DB4" w:rsidP="000737CB">
      <w:r>
        <w:t xml:space="preserve">Similarity testing is ideal for this study, because </w:t>
      </w:r>
      <w:r w:rsidR="00D673E4">
        <w:t>it enables</w:t>
      </w:r>
      <w:r w:rsidR="009141F1">
        <w:t xml:space="preserve"> </w:t>
      </w:r>
      <w:r>
        <w:t xml:space="preserve">the comparison of all the spellings that are used in both datasets undergoing comparison. </w:t>
      </w:r>
      <w:r w:rsidR="00613C75" w:rsidRPr="0021550A">
        <w:t xml:space="preserve">Similarity measurements have been used for linguistic research before. </w:t>
      </w:r>
      <w:r w:rsidR="00613C75" w:rsidRPr="0021550A">
        <w:rPr>
          <w:color w:val="000000" w:themeColor="text1"/>
        </w:rPr>
        <w:t xml:space="preserve">The cosine similarity measure has been used as a method to explore the similarity of concepts within the </w:t>
      </w:r>
      <w:r w:rsidR="00134923">
        <w:rPr>
          <w:color w:val="000000" w:themeColor="text1"/>
        </w:rPr>
        <w:t>field of semantics (Turney 2006,</w:t>
      </w:r>
      <w:r w:rsidR="00134923" w:rsidRPr="00134923">
        <w:rPr>
          <w:color w:val="000000" w:themeColor="text1"/>
        </w:rPr>
        <w:t xml:space="preserve"> Turney &amp; Pantel 2010), and as a technique to assess </w:t>
      </w:r>
      <w:r w:rsidR="00AF2E28">
        <w:rPr>
          <w:color w:val="000000" w:themeColor="text1"/>
        </w:rPr>
        <w:t xml:space="preserve">variations in </w:t>
      </w:r>
      <w:r w:rsidR="00134923" w:rsidRPr="00134923">
        <w:rPr>
          <w:color w:val="000000" w:themeColor="text1"/>
        </w:rPr>
        <w:t>lexis and grammar within stylometry (Juola 2008). The cosine measure has not been used previously as a means for exploring historical spelling variation.</w:t>
      </w:r>
      <w:r w:rsidR="000A437B">
        <w:rPr>
          <w:color w:val="000000" w:themeColor="text1"/>
        </w:rPr>
        <w:t xml:space="preserve"> </w:t>
      </w:r>
      <w:r w:rsidR="00613C75" w:rsidRPr="0021550A">
        <w:t>Because similarity measurements have not been used on historical spelling data before, I begin this section by discussing how the cosine measure works</w:t>
      </w:r>
      <w:r w:rsidR="00134923">
        <w:t xml:space="preserve"> in Section </w:t>
      </w:r>
      <w:r w:rsidR="00134923">
        <w:fldChar w:fldCharType="begin"/>
      </w:r>
      <w:r w:rsidR="00134923">
        <w:instrText xml:space="preserve"> REF _Ref498614652 \r </w:instrText>
      </w:r>
      <w:r w:rsidR="00134923">
        <w:fldChar w:fldCharType="separate"/>
      </w:r>
      <w:r w:rsidR="00D11844">
        <w:t>6.1</w:t>
      </w:r>
      <w:r w:rsidR="00134923">
        <w:fldChar w:fldCharType="end"/>
      </w:r>
      <w:r w:rsidR="00613C75" w:rsidRPr="0021550A">
        <w:t xml:space="preserve">, and the way in which it is necessary to amend the use of the cosine measure to suit the data in the current study (Section </w:t>
      </w:r>
      <w:r w:rsidR="00E12429">
        <w:fldChar w:fldCharType="begin"/>
      </w:r>
      <w:r w:rsidR="00E12429">
        <w:instrText xml:space="preserve"> REF _Ref492365120 \r </w:instrText>
      </w:r>
      <w:r w:rsidR="00E12429">
        <w:fldChar w:fldCharType="separate"/>
      </w:r>
      <w:r w:rsidR="00D11844">
        <w:t>6.2</w:t>
      </w:r>
      <w:r w:rsidR="00E12429">
        <w:fldChar w:fldCharType="end"/>
      </w:r>
      <w:r w:rsidR="00613C75" w:rsidRPr="0021550A">
        <w:t xml:space="preserve">). </w:t>
      </w:r>
      <w:r w:rsidR="003D758D">
        <w:t xml:space="preserve">Finally, I trial the use of similarity testing in Section </w:t>
      </w:r>
      <w:r w:rsidR="003D758D">
        <w:fldChar w:fldCharType="begin"/>
      </w:r>
      <w:r w:rsidR="003D758D">
        <w:instrText xml:space="preserve"> REF _Ref499629608 \r </w:instrText>
      </w:r>
      <w:r w:rsidR="003D758D">
        <w:fldChar w:fldCharType="separate"/>
      </w:r>
      <w:r w:rsidR="00D11844">
        <w:t>6.3</w:t>
      </w:r>
      <w:r w:rsidR="003D758D">
        <w:fldChar w:fldCharType="end"/>
      </w:r>
      <w:r w:rsidR="003D758D">
        <w:t xml:space="preserve"> to show that the spellings used by the compositor and in the copy text for Caxton’s first edition of </w:t>
      </w:r>
      <w:r w:rsidR="003D758D">
        <w:rPr>
          <w:i/>
        </w:rPr>
        <w:t>Reynard the Fox</w:t>
      </w:r>
      <w:r w:rsidR="003D758D">
        <w:t xml:space="preserve"> remain the same throughout the text. </w:t>
      </w:r>
    </w:p>
    <w:p w14:paraId="1537EB97" w14:textId="77777777" w:rsidR="00613C75" w:rsidRPr="0021550A" w:rsidRDefault="00613C75" w:rsidP="000737CB"/>
    <w:p w14:paraId="1D55B655" w14:textId="5EF5411E" w:rsidR="00613C75" w:rsidRPr="0021550A" w:rsidRDefault="00613C75" w:rsidP="000C5425">
      <w:pPr>
        <w:pStyle w:val="Heading2"/>
        <w:numPr>
          <w:ilvl w:val="1"/>
          <w:numId w:val="5"/>
        </w:numPr>
      </w:pPr>
      <w:bookmarkStart w:id="166" w:name="_Toc497899864"/>
      <w:bookmarkStart w:id="167" w:name="_Ref498440970"/>
      <w:bookmarkStart w:id="168" w:name="_Ref498614652"/>
      <w:bookmarkStart w:id="169" w:name="_Ref499564792"/>
      <w:r w:rsidRPr="0021550A">
        <w:lastRenderedPageBreak/>
        <w:t>How similarity measurements work</w:t>
      </w:r>
      <w:bookmarkEnd w:id="166"/>
      <w:bookmarkEnd w:id="167"/>
      <w:bookmarkEnd w:id="168"/>
      <w:bookmarkEnd w:id="169"/>
    </w:p>
    <w:p w14:paraId="2BA65930" w14:textId="786970D7" w:rsidR="00613C75" w:rsidRPr="0021550A" w:rsidRDefault="00613C75" w:rsidP="000737CB">
      <w:r w:rsidRPr="0021550A">
        <w:t xml:space="preserve">The similarity of numerical data can be measured in a multitude of different ways. The cosine similarity measure is the most widely used measure of numerical similarity in semantics </w:t>
      </w:r>
      <w:r w:rsidR="00E151C7" w:rsidRPr="00E151C7">
        <w:t>(Turney &amp; Pantel 2010:</w:t>
      </w:r>
      <w:r w:rsidR="00E151C7">
        <w:t xml:space="preserve"> </w:t>
      </w:r>
      <w:r w:rsidR="00E151C7" w:rsidRPr="00E151C7">
        <w:t xml:space="preserve">160) </w:t>
      </w:r>
      <w:r w:rsidRPr="0021550A">
        <w:t xml:space="preserve">and is also considered to be one of the most reliable distance measures when compared with other similar tests </w:t>
      </w:r>
      <w:r w:rsidR="00E151C7" w:rsidRPr="00E151C7">
        <w:t>(Bullinaria &amp; Levy 2007)</w:t>
      </w:r>
      <w:r w:rsidRPr="0021550A">
        <w:t xml:space="preserve">. Cosine similarity is a type of vector space model. Vector space models are used in the same fields of linguistics as similarity measurements. Within the field of semantics </w:t>
      </w:r>
      <w:r w:rsidR="003D758D">
        <w:t>Ruette, Speelman, and Geeeraerts</w:t>
      </w:r>
      <w:r w:rsidR="00E151C7" w:rsidRPr="00E151C7">
        <w:t xml:space="preserve"> (2014)</w:t>
      </w:r>
      <w:r w:rsidRPr="0021550A">
        <w:t xml:space="preserve"> use vector space modelling (which they term ‘word space modelling’) to automatically detect near-synonyms in Dutch, and </w:t>
      </w:r>
      <w:r w:rsidR="00E151C7" w:rsidRPr="00E151C7">
        <w:t xml:space="preserve">Juola (2008) </w:t>
      </w:r>
      <w:r w:rsidRPr="0021550A">
        <w:t xml:space="preserve">details how vector space models have been used in stylometry. However, there are no previous studies that use vector space models to investigate historical spelling variation. This study pilots the use of vector space modelling to investigate the spelling systems used by Caxton’s compositors. </w:t>
      </w:r>
    </w:p>
    <w:p w14:paraId="27B84DC5" w14:textId="1AFDB28E" w:rsidR="00613C75" w:rsidRPr="0021550A" w:rsidRDefault="00613C75" w:rsidP="000737CB">
      <w:r w:rsidRPr="0021550A">
        <w:t xml:space="preserve">In vector space modelling, texts are represented numerically through vectors. For the purposes of this thesis, I define a vector as a single column or a single row of figures. To create the vectors, we can take the columns of the ratios of spelling variants for the two sections of text that we want to compare. To illustrate how vectors can work with spelling, I will draw on the ratios for spelling variants of the word </w:t>
      </w:r>
      <w:r w:rsidRPr="0021550A">
        <w:rPr>
          <w:smallCaps/>
        </w:rPr>
        <w:t>alone</w:t>
      </w:r>
      <w:r w:rsidRPr="0021550A">
        <w:t xml:space="preserve"> used in the sections of </w:t>
      </w:r>
      <w:r w:rsidR="00453E2D" w:rsidRPr="0021550A">
        <w:rPr>
          <w:i/>
          <w:iCs/>
        </w:rPr>
        <w:t>Polychronicon</w:t>
      </w:r>
      <w:r w:rsidR="00453E2D">
        <w:t xml:space="preserve"> that Hellinga and Painter (2007) say were</w:t>
      </w:r>
      <w:r w:rsidRPr="0021550A">
        <w:t xml:space="preserve"> typeset by the two compositors</w:t>
      </w:r>
      <w:r w:rsidRPr="0021550A">
        <w:rPr>
          <w:iCs/>
        </w:rPr>
        <w:t xml:space="preserve">, in </w:t>
      </w:r>
      <w:r w:rsidRPr="0021550A">
        <w:rPr>
          <w:iCs/>
        </w:rPr>
        <w:fldChar w:fldCharType="begin"/>
      </w:r>
      <w:r w:rsidRPr="0021550A">
        <w:rPr>
          <w:iCs/>
        </w:rPr>
        <w:instrText xml:space="preserve"> REF _Ref467956762  \* MERGEFORMAT </w:instrText>
      </w:r>
      <w:r w:rsidRPr="0021550A">
        <w:rPr>
          <w:iCs/>
        </w:rPr>
        <w:fldChar w:fldCharType="separate"/>
      </w:r>
      <w:r w:rsidR="00D11844" w:rsidRPr="0021550A">
        <w:t xml:space="preserve">Table </w:t>
      </w:r>
      <w:r w:rsidR="00D11844">
        <w:t>6.1</w:t>
      </w:r>
      <w:r w:rsidRPr="0021550A">
        <w:fldChar w:fldCharType="end"/>
      </w:r>
      <w:r w:rsidRPr="0021550A">
        <w:t xml:space="preserve">. </w:t>
      </w:r>
    </w:p>
    <w:p w14:paraId="648C5568" w14:textId="77777777" w:rsidR="00613C75" w:rsidRPr="0021550A" w:rsidRDefault="00613C75" w:rsidP="000737CB"/>
    <w:tbl>
      <w:tblPr>
        <w:tblStyle w:val="GridTable1Light1"/>
        <w:tblW w:w="6588" w:type="dxa"/>
        <w:tblLayout w:type="fixed"/>
        <w:tblLook w:val="0020" w:firstRow="1" w:lastRow="0" w:firstColumn="0" w:lastColumn="0" w:noHBand="0" w:noVBand="0"/>
      </w:tblPr>
      <w:tblGrid>
        <w:gridCol w:w="1818"/>
        <w:gridCol w:w="2340"/>
        <w:gridCol w:w="2430"/>
      </w:tblGrid>
      <w:tr w:rsidR="00613C75" w:rsidRPr="0021550A" w14:paraId="265B8CB8" w14:textId="77777777" w:rsidTr="00D905A7">
        <w:trPr>
          <w:cnfStyle w:val="100000000000" w:firstRow="1" w:lastRow="0" w:firstColumn="0" w:lastColumn="0" w:oddVBand="0" w:evenVBand="0" w:oddHBand="0" w:evenHBand="0" w:firstRowFirstColumn="0" w:firstRowLastColumn="0" w:lastRowFirstColumn="0" w:lastRowLastColumn="0"/>
        </w:trPr>
        <w:tc>
          <w:tcPr>
            <w:tcW w:w="1818" w:type="dxa"/>
          </w:tcPr>
          <w:p w14:paraId="76B564A0" w14:textId="77777777" w:rsidR="00613C75" w:rsidRPr="0021550A" w:rsidRDefault="00613C75" w:rsidP="0084606B">
            <w:pPr>
              <w:ind w:firstLine="0"/>
              <w:jc w:val="center"/>
            </w:pPr>
          </w:p>
        </w:tc>
        <w:tc>
          <w:tcPr>
            <w:tcW w:w="2340" w:type="dxa"/>
          </w:tcPr>
          <w:p w14:paraId="27E232E8" w14:textId="77777777" w:rsidR="00613C75" w:rsidRPr="0021550A" w:rsidRDefault="00613C75" w:rsidP="0084606B">
            <w:pPr>
              <w:ind w:firstLine="0"/>
              <w:jc w:val="center"/>
            </w:pPr>
            <w:r w:rsidRPr="0021550A">
              <w:t>Compositor 1</w:t>
            </w:r>
          </w:p>
        </w:tc>
        <w:tc>
          <w:tcPr>
            <w:tcW w:w="2430" w:type="dxa"/>
          </w:tcPr>
          <w:p w14:paraId="2BC7AD99" w14:textId="77777777" w:rsidR="00613C75" w:rsidRPr="0021550A" w:rsidRDefault="00613C75" w:rsidP="0084606B">
            <w:pPr>
              <w:ind w:firstLine="0"/>
              <w:jc w:val="center"/>
            </w:pPr>
            <w:r w:rsidRPr="0021550A">
              <w:t>Compositor 2</w:t>
            </w:r>
          </w:p>
        </w:tc>
      </w:tr>
      <w:tr w:rsidR="00613C75" w:rsidRPr="0021550A" w14:paraId="62F078D2" w14:textId="77777777" w:rsidTr="00D905A7">
        <w:tc>
          <w:tcPr>
            <w:tcW w:w="1818" w:type="dxa"/>
          </w:tcPr>
          <w:p w14:paraId="213222EC" w14:textId="77777777" w:rsidR="00613C75" w:rsidRPr="0084606B" w:rsidRDefault="00613C75" w:rsidP="0084606B">
            <w:pPr>
              <w:ind w:firstLine="0"/>
              <w:jc w:val="center"/>
              <w:rPr>
                <w:i/>
              </w:rPr>
            </w:pPr>
            <w:r w:rsidRPr="0084606B">
              <w:rPr>
                <w:i/>
              </w:rPr>
              <w:t>allone</w:t>
            </w:r>
          </w:p>
        </w:tc>
        <w:tc>
          <w:tcPr>
            <w:tcW w:w="2340" w:type="dxa"/>
          </w:tcPr>
          <w:p w14:paraId="1B72746E" w14:textId="77777777" w:rsidR="00613C75" w:rsidRPr="0021550A" w:rsidRDefault="00613C75" w:rsidP="0084606B">
            <w:pPr>
              <w:ind w:firstLine="0"/>
              <w:jc w:val="center"/>
            </w:pPr>
            <w:r w:rsidRPr="0021550A">
              <w:t>0.90</w:t>
            </w:r>
          </w:p>
        </w:tc>
        <w:tc>
          <w:tcPr>
            <w:tcW w:w="2430" w:type="dxa"/>
          </w:tcPr>
          <w:p w14:paraId="10E95863" w14:textId="77777777" w:rsidR="00613C75" w:rsidRPr="0021550A" w:rsidRDefault="00613C75" w:rsidP="0084606B">
            <w:pPr>
              <w:ind w:firstLine="0"/>
              <w:jc w:val="center"/>
            </w:pPr>
            <w:r w:rsidRPr="0021550A">
              <w:t>0.19</w:t>
            </w:r>
          </w:p>
        </w:tc>
      </w:tr>
      <w:tr w:rsidR="00613C75" w:rsidRPr="0021550A" w14:paraId="2F21B385" w14:textId="77777777" w:rsidTr="00D905A7">
        <w:tc>
          <w:tcPr>
            <w:tcW w:w="1818" w:type="dxa"/>
          </w:tcPr>
          <w:p w14:paraId="3E580C98" w14:textId="77777777" w:rsidR="00613C75" w:rsidRPr="0084606B" w:rsidRDefault="00613C75" w:rsidP="0084606B">
            <w:pPr>
              <w:ind w:firstLine="0"/>
              <w:jc w:val="center"/>
              <w:rPr>
                <w:i/>
              </w:rPr>
            </w:pPr>
            <w:r w:rsidRPr="0084606B">
              <w:rPr>
                <w:i/>
              </w:rPr>
              <w:t>alone</w:t>
            </w:r>
          </w:p>
        </w:tc>
        <w:tc>
          <w:tcPr>
            <w:tcW w:w="2340" w:type="dxa"/>
          </w:tcPr>
          <w:p w14:paraId="52E80A2B" w14:textId="77777777" w:rsidR="00613C75" w:rsidRPr="0021550A" w:rsidRDefault="00613C75" w:rsidP="0084606B">
            <w:pPr>
              <w:ind w:firstLine="0"/>
              <w:jc w:val="center"/>
            </w:pPr>
            <w:r w:rsidRPr="0021550A">
              <w:t>0.10</w:t>
            </w:r>
          </w:p>
        </w:tc>
        <w:tc>
          <w:tcPr>
            <w:tcW w:w="2430" w:type="dxa"/>
          </w:tcPr>
          <w:p w14:paraId="2ADB037E" w14:textId="77777777" w:rsidR="00613C75" w:rsidRPr="0021550A" w:rsidRDefault="00613C75" w:rsidP="0084606B">
            <w:pPr>
              <w:ind w:firstLine="0"/>
              <w:jc w:val="center"/>
            </w:pPr>
            <w:r w:rsidRPr="0021550A">
              <w:t>0.81</w:t>
            </w:r>
          </w:p>
        </w:tc>
      </w:tr>
    </w:tbl>
    <w:p w14:paraId="3AF0B861" w14:textId="0F01C084" w:rsidR="00613C75" w:rsidRPr="0021550A" w:rsidRDefault="00453776" w:rsidP="000737CB">
      <w:pPr>
        <w:pStyle w:val="Caption"/>
      </w:pPr>
      <w:bookmarkStart w:id="170" w:name="_Ref467956762"/>
      <w:bookmarkStart w:id="171" w:name="_Ref467959638"/>
      <w:bookmarkStart w:id="172" w:name="_Toc499753486"/>
      <w:r>
        <w:t xml:space="preserve">Table 6.1: </w:t>
      </w:r>
      <w:bookmarkEnd w:id="170"/>
      <w:r w:rsidR="00613C75" w:rsidRPr="0021550A">
        <w:t xml:space="preserve">Ratios for spelling variants of </w:t>
      </w:r>
      <w:r w:rsidR="00613C75" w:rsidRPr="0021550A">
        <w:rPr>
          <w:smallCaps/>
        </w:rPr>
        <w:t>alone</w:t>
      </w:r>
      <w:r w:rsidR="00613C75" w:rsidRPr="0021550A">
        <w:t xml:space="preserve"> in the </w:t>
      </w:r>
      <w:r w:rsidR="00613C75" w:rsidRPr="0021550A">
        <w:rPr>
          <w:i/>
        </w:rPr>
        <w:t>Polychronicon</w:t>
      </w:r>
      <w:bookmarkEnd w:id="171"/>
      <w:bookmarkEnd w:id="172"/>
    </w:p>
    <w:p w14:paraId="3FDE2A85" w14:textId="77777777" w:rsidR="00613C75" w:rsidRPr="0021550A" w:rsidRDefault="00613C75" w:rsidP="000737CB"/>
    <w:p w14:paraId="4911FC85" w14:textId="0DC2048E" w:rsidR="00613C75" w:rsidRPr="0021550A" w:rsidRDefault="00613C75" w:rsidP="000737CB">
      <w:r w:rsidRPr="0021550A">
        <w:t xml:space="preserve">Hellinga </w:t>
      </w:r>
      <w:r w:rsidR="0065088C">
        <w:t>and</w:t>
      </w:r>
      <w:r w:rsidRPr="0021550A">
        <w:t xml:space="preserve"> Painter </w:t>
      </w:r>
      <w:r w:rsidR="00074617" w:rsidRPr="00074617">
        <w:t>(2007:</w:t>
      </w:r>
      <w:r w:rsidR="00453E2D">
        <w:t xml:space="preserve"> </w:t>
      </w:r>
      <w:r w:rsidR="00074617" w:rsidRPr="00074617">
        <w:t>128)</w:t>
      </w:r>
      <w:r w:rsidR="00074617">
        <w:t xml:space="preserve"> </w:t>
      </w:r>
      <w:r w:rsidRPr="0021550A">
        <w:t xml:space="preserve">tell us that there was probably a change in compositors at the beginning of Quire 29 of the </w:t>
      </w:r>
      <w:r w:rsidRPr="0021550A">
        <w:rPr>
          <w:i/>
        </w:rPr>
        <w:t>Polychronicon</w:t>
      </w:r>
      <w:r w:rsidRPr="0021550A">
        <w:t>. Th</w:t>
      </w:r>
      <w:r w:rsidR="00453E2D">
        <w:t>e section of text that was type</w:t>
      </w:r>
      <w:r w:rsidRPr="0021550A">
        <w:t xml:space="preserve">set by Compositor 1 runs up until this point, and within this text set by Compositor 1 there are 20 tokens of </w:t>
      </w:r>
      <w:r w:rsidRPr="0021550A">
        <w:rPr>
          <w:i/>
          <w:iCs/>
        </w:rPr>
        <w:t>allone</w:t>
      </w:r>
      <w:r w:rsidRPr="0021550A">
        <w:t xml:space="preserve"> and 3 tokens of </w:t>
      </w:r>
      <w:r w:rsidRPr="0021550A">
        <w:rPr>
          <w:i/>
          <w:iCs/>
        </w:rPr>
        <w:t>alone</w:t>
      </w:r>
      <w:r w:rsidRPr="0021550A">
        <w:t xml:space="preserve">. Compositor 2 type-set the pages from Quire 29 to the end of the text, using 5 tokens of </w:t>
      </w:r>
      <w:r w:rsidRPr="0021550A">
        <w:rPr>
          <w:i/>
          <w:iCs/>
        </w:rPr>
        <w:t>allone</w:t>
      </w:r>
      <w:r w:rsidRPr="0021550A">
        <w:t xml:space="preserve"> and 22 of </w:t>
      </w:r>
      <w:r w:rsidRPr="0021550A">
        <w:rPr>
          <w:i/>
          <w:iCs/>
        </w:rPr>
        <w:t>alone</w:t>
      </w:r>
      <w:r w:rsidRPr="0021550A">
        <w:t xml:space="preserve">. </w:t>
      </w:r>
    </w:p>
    <w:p w14:paraId="4F0F36A9" w14:textId="5CC95103" w:rsidR="0065088C" w:rsidRPr="0021550A" w:rsidRDefault="0065088C" w:rsidP="0065088C">
      <w:r w:rsidRPr="0021550A">
        <w:t xml:space="preserve">The graph in </w:t>
      </w:r>
      <w:r w:rsidR="00D31AED">
        <w:t>Figure 6.2,</w:t>
      </w:r>
      <w:r w:rsidR="00CF4BBF">
        <w:t xml:space="preserve"> overleaf,</w:t>
      </w:r>
      <w:r w:rsidRPr="0021550A">
        <w:t xml:space="preserve"> shows how we can plot the data in </w:t>
      </w:r>
      <w:r w:rsidR="00AE3C75">
        <w:fldChar w:fldCharType="begin"/>
      </w:r>
      <w:r w:rsidR="00AE3C75">
        <w:instrText xml:space="preserve"> REF _Ref467956762  \* MERGEFORMAT </w:instrText>
      </w:r>
      <w:r w:rsidR="00AE3C75">
        <w:fldChar w:fldCharType="separate"/>
      </w:r>
      <w:r w:rsidR="00D11844" w:rsidRPr="0021550A">
        <w:t xml:space="preserve">Table </w:t>
      </w:r>
      <w:r w:rsidR="00D11844">
        <w:t>6.1</w:t>
      </w:r>
      <w:r w:rsidR="00AE3C75">
        <w:fldChar w:fldCharType="end"/>
      </w:r>
      <w:r w:rsidRPr="0021550A">
        <w:t xml:space="preserve"> as vectors. The vector </w:t>
      </w:r>
      <m:oMath>
        <m:acc>
          <m:accPr>
            <m:chr m:val="⃗"/>
            <m:ctrlPr>
              <w:rPr>
                <w:rFonts w:ascii="Cambria Math" w:hAnsi="Cambria Math"/>
              </w:rPr>
            </m:ctrlPr>
          </m:accPr>
          <m:e>
            <m:r>
              <m:rPr>
                <m:sty m:val="p"/>
              </m:rPr>
              <w:rPr>
                <w:rFonts w:ascii="Cambria Math" w:hAnsi="Cambria Math"/>
              </w:rPr>
              <m:t>Compositor 1</m:t>
            </m:r>
          </m:e>
        </m:acc>
      </m:oMath>
      <w:r w:rsidRPr="0021550A">
        <w:t xml:space="preserve"> is plotted from the column “Compositor 1” in </w:t>
      </w:r>
      <w:r w:rsidR="00AE3C75">
        <w:fldChar w:fldCharType="begin"/>
      </w:r>
      <w:r w:rsidR="00AE3C75">
        <w:instrText xml:space="preserve"> REF _Ref467956762  \* MERGEFORMAT </w:instrText>
      </w:r>
      <w:r w:rsidR="00AE3C75">
        <w:fldChar w:fldCharType="separate"/>
      </w:r>
      <w:r w:rsidR="00D11844" w:rsidRPr="0021550A">
        <w:t xml:space="preserve">Table </w:t>
      </w:r>
      <w:r w:rsidR="00D11844">
        <w:t>6.1</w:t>
      </w:r>
      <w:r w:rsidR="00AE3C75">
        <w:fldChar w:fldCharType="end"/>
      </w:r>
      <w:r w:rsidRPr="0021550A">
        <w:t xml:space="preserve">, which includes the ratios for each spelling. Each spelling is represented on one of the axes of the graph. In this case, the </w:t>
      </w:r>
      <w:r w:rsidRPr="0021550A">
        <w:rPr>
          <w:i/>
        </w:rPr>
        <w:t>x</w:t>
      </w:r>
      <w:r w:rsidRPr="0021550A">
        <w:t xml:space="preserve">-axis represents the spelling variant </w:t>
      </w:r>
      <w:r w:rsidRPr="0021550A">
        <w:rPr>
          <w:i/>
          <w:iCs/>
        </w:rPr>
        <w:t>allone</w:t>
      </w:r>
      <w:r w:rsidRPr="0021550A">
        <w:t xml:space="preserve"> and the </w:t>
      </w:r>
      <w:r w:rsidRPr="0021550A">
        <w:rPr>
          <w:i/>
        </w:rPr>
        <w:t>y</w:t>
      </w:r>
      <w:r w:rsidRPr="0021550A">
        <w:t xml:space="preserve">-axis represents </w:t>
      </w:r>
      <w:r w:rsidRPr="0021550A">
        <w:rPr>
          <w:i/>
          <w:iCs/>
        </w:rPr>
        <w:t>alone</w:t>
      </w:r>
      <w:r w:rsidRPr="0021550A">
        <w:t xml:space="preserve">. Compositor 1 used </w:t>
      </w:r>
      <w:r w:rsidRPr="0021550A">
        <w:rPr>
          <w:i/>
          <w:iCs/>
        </w:rPr>
        <w:t>allone</w:t>
      </w:r>
      <w:r w:rsidRPr="0021550A">
        <w:rPr>
          <w:iCs/>
        </w:rPr>
        <w:t xml:space="preserve"> ninety per cent of the time and</w:t>
      </w:r>
      <w:r w:rsidRPr="0021550A">
        <w:rPr>
          <w:i/>
          <w:iCs/>
        </w:rPr>
        <w:t xml:space="preserve"> alone</w:t>
      </w:r>
      <w:r w:rsidRPr="0021550A">
        <w:rPr>
          <w:iCs/>
        </w:rPr>
        <w:t xml:space="preserve"> ten </w:t>
      </w:r>
      <w:r w:rsidRPr="0021550A">
        <w:rPr>
          <w:iCs/>
        </w:rPr>
        <w:lastRenderedPageBreak/>
        <w:t>per cent of the time</w:t>
      </w:r>
      <w:r w:rsidRPr="0021550A">
        <w:t>, so the vector runs from zero to the point (0.90, 0.10) on the graph. The vector for Compositor 2 is plotted in the same way, and runs from zero to point (0.19, 0.81). In this way, the vectors for spelling variation can be extracted from the table of ratios and visualised in graph form. The representation of spelling variants in graphical form is relevant when we want to work out the similarity between the spellings used by each compositor.</w:t>
      </w:r>
    </w:p>
    <w:p w14:paraId="521149BD" w14:textId="77777777" w:rsidR="00613C75" w:rsidRPr="0021550A" w:rsidRDefault="00613C75" w:rsidP="000737CB"/>
    <w:p w14:paraId="7C46C62D" w14:textId="77BFC191" w:rsidR="00613C75" w:rsidRPr="0021550A" w:rsidRDefault="00613C75" w:rsidP="0038127C">
      <w:pPr>
        <w:ind w:firstLine="0"/>
      </w:pPr>
      <w:r w:rsidRPr="0021550A">
        <w:rPr>
          <w:noProof/>
          <w:lang w:eastAsia="en-GB"/>
        </w:rPr>
        <w:drawing>
          <wp:inline distT="0" distB="0" distL="0" distR="0" wp14:anchorId="57E5ACF4" wp14:editId="13BD44F7">
            <wp:extent cx="2680335" cy="2618851"/>
            <wp:effectExtent l="0" t="0" r="1206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ector space demo Ch6.pdf"/>
                    <pic:cNvPicPr/>
                  </pic:nvPicPr>
                  <pic:blipFill rotWithShape="1">
                    <a:blip r:embed="rId58">
                      <a:extLst>
                        <a:ext uri="{28A0092B-C50C-407E-A947-70E740481C1C}">
                          <a14:useLocalDpi xmlns:a14="http://schemas.microsoft.com/office/drawing/2010/main"/>
                        </a:ext>
                      </a:extLst>
                    </a:blip>
                    <a:srcRect l="1209" t="3870" r="72425" b="50336"/>
                    <a:stretch/>
                  </pic:blipFill>
                  <pic:spPr bwMode="auto">
                    <a:xfrm>
                      <a:off x="0" y="0"/>
                      <a:ext cx="2752503" cy="2689364"/>
                    </a:xfrm>
                    <a:prstGeom prst="rect">
                      <a:avLst/>
                    </a:prstGeom>
                    <a:ln>
                      <a:noFill/>
                    </a:ln>
                    <a:extLst>
                      <a:ext uri="{53640926-AAD7-44D8-BBD7-CCE9431645EC}">
                        <a14:shadowObscured xmlns:a14="http://schemas.microsoft.com/office/drawing/2010/main"/>
                      </a:ext>
                    </a:extLst>
                  </pic:spPr>
                </pic:pic>
              </a:graphicData>
            </a:graphic>
          </wp:inline>
        </w:drawing>
      </w:r>
    </w:p>
    <w:p w14:paraId="422DA97A" w14:textId="26D3DA90" w:rsidR="00613C75" w:rsidRPr="0021550A" w:rsidRDefault="00453776" w:rsidP="000737CB">
      <w:pPr>
        <w:pStyle w:val="Caption"/>
      </w:pPr>
      <w:bookmarkStart w:id="173" w:name="_Toc499753539"/>
      <w:r>
        <w:t xml:space="preserve">Figure 6.2: </w:t>
      </w:r>
      <w:r w:rsidR="00613C75" w:rsidRPr="0021550A">
        <w:t xml:space="preserve">Graphical distribution of </w:t>
      </w:r>
      <w:r w:rsidR="00613C75" w:rsidRPr="0021550A">
        <w:rPr>
          <w:i/>
        </w:rPr>
        <w:t>allone</w:t>
      </w:r>
      <w:r w:rsidR="00613C75" w:rsidRPr="0021550A">
        <w:t xml:space="preserve"> and </w:t>
      </w:r>
      <w:r w:rsidR="00613C75" w:rsidRPr="0021550A">
        <w:rPr>
          <w:i/>
        </w:rPr>
        <w:t>alone</w:t>
      </w:r>
      <w:r w:rsidR="00613C75" w:rsidRPr="0021550A">
        <w:t xml:space="preserve"> in Caxton’s </w:t>
      </w:r>
      <w:r w:rsidR="00613C75" w:rsidRPr="0021550A">
        <w:rPr>
          <w:i/>
        </w:rPr>
        <w:t>Polychronicon</w:t>
      </w:r>
      <w:bookmarkEnd w:id="173"/>
    </w:p>
    <w:p w14:paraId="6CCB9458" w14:textId="77777777" w:rsidR="00613C75" w:rsidRPr="0021550A" w:rsidRDefault="00613C75" w:rsidP="000737CB"/>
    <w:p w14:paraId="796ABDF8" w14:textId="1D27D01F" w:rsidR="00613C75" w:rsidRPr="0021550A" w:rsidRDefault="00613C75" w:rsidP="000737CB">
      <w:r w:rsidRPr="0021550A">
        <w:t xml:space="preserve">In this study, </w:t>
      </w:r>
      <w:r w:rsidR="006E0217">
        <w:t>I am</w:t>
      </w:r>
      <w:r w:rsidRPr="0021550A">
        <w:t xml:space="preserve"> interested in how similar the spelling systems are in two sections of the same text. We can see whether the two compositors make use of the spelling variants for </w:t>
      </w:r>
      <w:r w:rsidRPr="0021550A">
        <w:rPr>
          <w:smallCaps/>
        </w:rPr>
        <w:t>alone</w:t>
      </w:r>
      <w:r w:rsidRPr="0021550A">
        <w:t xml:space="preserve"> in a similar fashion in the graph in </w:t>
      </w:r>
      <w:r w:rsidR="00D31AED">
        <w:t>Figure 6.2</w:t>
      </w:r>
      <w:r w:rsidRPr="0021550A">
        <w:t xml:space="preserve">. The closer the two vectors are to one another and the smaller the angle between them, the more similar the spellings of Compositor 1 are to the spellings used by Compositor 2. In </w:t>
      </w:r>
      <w:r w:rsidR="00D31AED">
        <w:t>Figure 6.2</w:t>
      </w:r>
      <w:r w:rsidRPr="0021550A">
        <w:t xml:space="preserve">, the vectors are not very close to one another and the angle between the vectors (represented in </w:t>
      </w:r>
      <w:r w:rsidR="00D31AED">
        <w:t>Figure 6.2</w:t>
      </w:r>
      <w:r w:rsidRPr="0021550A">
        <w:t xml:space="preserve"> by </w:t>
      </w:r>
      <w:r w:rsidR="0038127C">
        <w:t xml:space="preserve">the angle, </w:t>
      </w:r>
      <w:r w:rsidRPr="0021550A">
        <w:t xml:space="preserve">θ) is large, which suggests that the compositors use the spelling variants in quite different ways. This difference in variant use is clear when we look back at the figures in </w:t>
      </w:r>
      <w:r w:rsidR="00AE3C75">
        <w:fldChar w:fldCharType="begin"/>
      </w:r>
      <w:r w:rsidR="00AE3C75">
        <w:instrText xml:space="preserve"> REF _Ref467956762  \* MERGEFORMAT </w:instrText>
      </w:r>
      <w:r w:rsidR="00AE3C75">
        <w:fldChar w:fldCharType="separate"/>
      </w:r>
      <w:r w:rsidR="00D11844" w:rsidRPr="0021550A">
        <w:t xml:space="preserve">Table </w:t>
      </w:r>
      <w:r w:rsidR="00D11844">
        <w:t>6.1</w:t>
      </w:r>
      <w:r w:rsidR="00AE3C75">
        <w:fldChar w:fldCharType="end"/>
      </w:r>
      <w:r w:rsidRPr="0021550A">
        <w:t xml:space="preserve">— Compositor 1 clearly prefers to use </w:t>
      </w:r>
      <w:r w:rsidRPr="0021550A">
        <w:rPr>
          <w:i/>
          <w:iCs/>
        </w:rPr>
        <w:t>allone</w:t>
      </w:r>
      <w:r w:rsidRPr="0021550A">
        <w:t xml:space="preserve"> where Compositor 2 tends to use </w:t>
      </w:r>
      <w:r w:rsidRPr="0021550A">
        <w:rPr>
          <w:i/>
          <w:iCs/>
        </w:rPr>
        <w:t>alone</w:t>
      </w:r>
      <w:r w:rsidRPr="0021550A">
        <w:t xml:space="preserve">. </w:t>
      </w:r>
    </w:p>
    <w:p w14:paraId="4B1D3844" w14:textId="1B67EF1C" w:rsidR="008E352A" w:rsidRDefault="00613C75" w:rsidP="000737CB">
      <w:r w:rsidRPr="0021550A">
        <w:t xml:space="preserve">Visualising the vectors and the angle between them is not a problem when the data is in two dimensions or even three dimensions. The data in </w:t>
      </w:r>
      <w:r w:rsidR="00D31AED">
        <w:t>Figure 6.2</w:t>
      </w:r>
      <w:r w:rsidRPr="0021550A">
        <w:t xml:space="preserve"> is in two dimensions, where </w:t>
      </w:r>
      <w:r w:rsidRPr="0021550A">
        <w:rPr>
          <w:i/>
          <w:iCs/>
        </w:rPr>
        <w:t>allone</w:t>
      </w:r>
      <w:r w:rsidRPr="0021550A">
        <w:t xml:space="preserve"> is one dimension and </w:t>
      </w:r>
      <w:r w:rsidRPr="0021550A">
        <w:rPr>
          <w:i/>
          <w:iCs/>
        </w:rPr>
        <w:t>alone</w:t>
      </w:r>
      <w:r w:rsidRPr="0021550A">
        <w:t xml:space="preserve"> is repr</w:t>
      </w:r>
      <w:r w:rsidR="00227525">
        <w:t>esented in the second dimension, but</w:t>
      </w:r>
      <w:r w:rsidRPr="0021550A">
        <w:t xml:space="preserve"> the data for this study runs to many thousands of dimensions. To look at the overall similarity of spelling variants used </w:t>
      </w:r>
      <w:r w:rsidR="00227525">
        <w:t>in two sections of text</w:t>
      </w:r>
      <w:r w:rsidRPr="0021550A">
        <w:t xml:space="preserve">, this study uses vectors that are comprised of </w:t>
      </w:r>
      <w:r w:rsidRPr="0021550A">
        <w:rPr>
          <w:iCs/>
        </w:rPr>
        <w:t>all</w:t>
      </w:r>
      <w:r w:rsidRPr="0021550A">
        <w:t xml:space="preserve"> the spelling variants used </w:t>
      </w:r>
      <w:r w:rsidR="00227525">
        <w:t xml:space="preserve">in the first section </w:t>
      </w:r>
      <w:r w:rsidRPr="0021550A">
        <w:t>and compares this with a ve</w:t>
      </w:r>
      <w:r w:rsidR="00227525">
        <w:t xml:space="preserve">ctor made </w:t>
      </w:r>
      <w:r w:rsidR="00227525">
        <w:lastRenderedPageBreak/>
        <w:t>up of all the spellings used in the second section</w:t>
      </w:r>
      <w:r w:rsidRPr="0021550A">
        <w:t xml:space="preserve">. In the </w:t>
      </w:r>
      <w:r w:rsidRPr="0021550A">
        <w:rPr>
          <w:i/>
          <w:iCs/>
        </w:rPr>
        <w:t>Polychronicon</w:t>
      </w:r>
      <w:r w:rsidRPr="0021550A">
        <w:t xml:space="preserve"> this runs to 2,154 </w:t>
      </w:r>
      <w:r w:rsidR="00227525">
        <w:t xml:space="preserve">spellings, and therefore 2,154 </w:t>
      </w:r>
      <w:r w:rsidRPr="0021550A">
        <w:t xml:space="preserve">dimensions. </w:t>
      </w:r>
    </w:p>
    <w:p w14:paraId="0F06CAD5" w14:textId="3B0462B1" w:rsidR="00613C75" w:rsidRPr="0021550A" w:rsidRDefault="00613C75" w:rsidP="000737CB">
      <w:r w:rsidRPr="0021550A">
        <w:t xml:space="preserve">Despite the difficulty of visualising data in 2,154 dimensions, the premise of the study remains the same: we </w:t>
      </w:r>
      <w:r w:rsidR="0038127C">
        <w:t>determine how</w:t>
      </w:r>
      <w:r w:rsidRPr="0021550A">
        <w:t xml:space="preserve"> similar two vectors are through their closeness in vector space. The closer two vectors are, the more similar they are. Furthermore, these vectors can consist of spelling data drawn from the spelling variants used by Compositor 1 and Compositor 2, who worked together on a given text. The more similar these two vectors are, the greater the similarity between the spelling variants used by Compositor 1 and those used by Compositor 2.</w:t>
      </w:r>
    </w:p>
    <w:p w14:paraId="760B56AE" w14:textId="77777777" w:rsidR="009467D2" w:rsidRPr="0021550A" w:rsidRDefault="009467D2" w:rsidP="000737CB"/>
    <w:tbl>
      <w:tblPr>
        <w:tblStyle w:val="GridTable1Light1"/>
        <w:tblW w:w="0" w:type="auto"/>
        <w:tblLayout w:type="fixed"/>
        <w:tblLook w:val="0020" w:firstRow="1" w:lastRow="0" w:firstColumn="0" w:lastColumn="0" w:noHBand="0" w:noVBand="0"/>
      </w:tblPr>
      <w:tblGrid>
        <w:gridCol w:w="2268"/>
        <w:gridCol w:w="2160"/>
        <w:gridCol w:w="2160"/>
      </w:tblGrid>
      <w:tr w:rsidR="00613C75" w:rsidRPr="0021550A" w14:paraId="4B9F88AC" w14:textId="77777777" w:rsidTr="00D905A7">
        <w:trPr>
          <w:cnfStyle w:val="100000000000" w:firstRow="1" w:lastRow="0" w:firstColumn="0" w:lastColumn="0" w:oddVBand="0" w:evenVBand="0" w:oddHBand="0" w:evenHBand="0" w:firstRowFirstColumn="0" w:firstRowLastColumn="0" w:lastRowFirstColumn="0" w:lastRowLastColumn="0"/>
        </w:trPr>
        <w:tc>
          <w:tcPr>
            <w:tcW w:w="2268" w:type="dxa"/>
          </w:tcPr>
          <w:p w14:paraId="20D491A5" w14:textId="77777777" w:rsidR="00613C75" w:rsidRPr="0021550A" w:rsidRDefault="00613C75" w:rsidP="0084606B">
            <w:pPr>
              <w:ind w:firstLine="0"/>
              <w:jc w:val="center"/>
            </w:pPr>
          </w:p>
        </w:tc>
        <w:tc>
          <w:tcPr>
            <w:tcW w:w="2160" w:type="dxa"/>
          </w:tcPr>
          <w:p w14:paraId="15E428F5" w14:textId="77777777" w:rsidR="00613C75" w:rsidRPr="0021550A" w:rsidRDefault="00613C75" w:rsidP="0084606B">
            <w:pPr>
              <w:ind w:firstLine="0"/>
              <w:jc w:val="center"/>
            </w:pPr>
            <w:r w:rsidRPr="0021550A">
              <w:t>Compositor 1</w:t>
            </w:r>
          </w:p>
        </w:tc>
        <w:tc>
          <w:tcPr>
            <w:tcW w:w="2160" w:type="dxa"/>
          </w:tcPr>
          <w:p w14:paraId="6D03F374" w14:textId="77777777" w:rsidR="00613C75" w:rsidRPr="0021550A" w:rsidRDefault="00613C75" w:rsidP="0084606B">
            <w:pPr>
              <w:ind w:firstLine="0"/>
              <w:jc w:val="center"/>
            </w:pPr>
            <w:r w:rsidRPr="0021550A">
              <w:t>Compositor 2</w:t>
            </w:r>
          </w:p>
        </w:tc>
      </w:tr>
      <w:tr w:rsidR="00613C75" w:rsidRPr="0021550A" w14:paraId="6B2D7ADC" w14:textId="77777777" w:rsidTr="00D905A7">
        <w:tc>
          <w:tcPr>
            <w:tcW w:w="2268" w:type="dxa"/>
          </w:tcPr>
          <w:p w14:paraId="424B1F1A" w14:textId="77777777" w:rsidR="00613C75" w:rsidRPr="0084606B" w:rsidRDefault="00613C75" w:rsidP="0084606B">
            <w:pPr>
              <w:ind w:firstLine="0"/>
              <w:jc w:val="center"/>
              <w:rPr>
                <w:i/>
              </w:rPr>
            </w:pPr>
            <w:r w:rsidRPr="0084606B">
              <w:rPr>
                <w:i/>
              </w:rPr>
              <w:t>abbott</w:t>
            </w:r>
          </w:p>
        </w:tc>
        <w:tc>
          <w:tcPr>
            <w:tcW w:w="2160" w:type="dxa"/>
          </w:tcPr>
          <w:p w14:paraId="56F50282" w14:textId="77777777" w:rsidR="00613C75" w:rsidRPr="0021550A" w:rsidRDefault="00613C75" w:rsidP="0084606B">
            <w:pPr>
              <w:ind w:firstLine="0"/>
              <w:jc w:val="center"/>
            </w:pPr>
            <w:r w:rsidRPr="0021550A">
              <w:t>0</w:t>
            </w:r>
          </w:p>
        </w:tc>
        <w:tc>
          <w:tcPr>
            <w:tcW w:w="2160" w:type="dxa"/>
          </w:tcPr>
          <w:p w14:paraId="106E1BCE" w14:textId="77777777" w:rsidR="00613C75" w:rsidRPr="0021550A" w:rsidRDefault="00613C75" w:rsidP="0084606B">
            <w:pPr>
              <w:ind w:firstLine="0"/>
              <w:jc w:val="center"/>
            </w:pPr>
            <w:r w:rsidRPr="0021550A">
              <w:t>0.06</w:t>
            </w:r>
          </w:p>
        </w:tc>
      </w:tr>
      <w:tr w:rsidR="00613C75" w:rsidRPr="0021550A" w14:paraId="770D3BBA" w14:textId="77777777" w:rsidTr="0084606B">
        <w:tc>
          <w:tcPr>
            <w:tcW w:w="2268" w:type="dxa"/>
            <w:tcBorders>
              <w:bottom w:val="single" w:sz="12" w:space="0" w:color="767171" w:themeColor="background2" w:themeShade="80"/>
            </w:tcBorders>
          </w:tcPr>
          <w:p w14:paraId="4ACF3FA2" w14:textId="77777777" w:rsidR="00613C75" w:rsidRPr="0084606B" w:rsidRDefault="00613C75" w:rsidP="0084606B">
            <w:pPr>
              <w:ind w:firstLine="0"/>
              <w:jc w:val="center"/>
              <w:rPr>
                <w:i/>
              </w:rPr>
            </w:pPr>
            <w:r w:rsidRPr="0084606B">
              <w:rPr>
                <w:i/>
              </w:rPr>
              <w:t>abbot</w:t>
            </w:r>
          </w:p>
        </w:tc>
        <w:tc>
          <w:tcPr>
            <w:tcW w:w="2160" w:type="dxa"/>
            <w:tcBorders>
              <w:bottom w:val="single" w:sz="12" w:space="0" w:color="767171" w:themeColor="background2" w:themeShade="80"/>
            </w:tcBorders>
            <w:shd w:val="clear" w:color="auto" w:fill="FFF2CC" w:themeFill="accent4" w:themeFillTint="33"/>
          </w:tcPr>
          <w:p w14:paraId="0BC9117B" w14:textId="77777777" w:rsidR="00613C75" w:rsidRPr="0021550A" w:rsidRDefault="00613C75" w:rsidP="0084606B">
            <w:pPr>
              <w:ind w:firstLine="0"/>
              <w:jc w:val="center"/>
            </w:pPr>
            <w:r w:rsidRPr="0021550A">
              <w:t>1</w:t>
            </w:r>
          </w:p>
        </w:tc>
        <w:tc>
          <w:tcPr>
            <w:tcW w:w="2160" w:type="dxa"/>
            <w:tcBorders>
              <w:bottom w:val="single" w:sz="12" w:space="0" w:color="767171" w:themeColor="background2" w:themeShade="80"/>
            </w:tcBorders>
            <w:shd w:val="clear" w:color="auto" w:fill="FFF2CC" w:themeFill="accent4" w:themeFillTint="33"/>
          </w:tcPr>
          <w:p w14:paraId="3BB0572D" w14:textId="77777777" w:rsidR="00613C75" w:rsidRPr="0021550A" w:rsidRDefault="00613C75" w:rsidP="0084606B">
            <w:pPr>
              <w:ind w:firstLine="0"/>
              <w:jc w:val="center"/>
            </w:pPr>
            <w:r w:rsidRPr="0021550A">
              <w:t>0.94</w:t>
            </w:r>
          </w:p>
        </w:tc>
      </w:tr>
      <w:tr w:rsidR="00613C75" w:rsidRPr="0021550A" w14:paraId="135350F4" w14:textId="77777777" w:rsidTr="00D905A7">
        <w:tc>
          <w:tcPr>
            <w:tcW w:w="2268" w:type="dxa"/>
            <w:tcBorders>
              <w:top w:val="single" w:sz="12" w:space="0" w:color="767171" w:themeColor="background2" w:themeShade="80"/>
            </w:tcBorders>
          </w:tcPr>
          <w:p w14:paraId="51B93B5E" w14:textId="77777777" w:rsidR="00613C75" w:rsidRPr="0084606B" w:rsidRDefault="00613C75" w:rsidP="0084606B">
            <w:pPr>
              <w:ind w:firstLine="0"/>
              <w:jc w:val="center"/>
              <w:rPr>
                <w:i/>
              </w:rPr>
            </w:pPr>
            <w:r w:rsidRPr="0084606B">
              <w:rPr>
                <w:i/>
              </w:rPr>
              <w:t>abide</w:t>
            </w:r>
          </w:p>
        </w:tc>
        <w:tc>
          <w:tcPr>
            <w:tcW w:w="2160" w:type="dxa"/>
            <w:tcBorders>
              <w:top w:val="single" w:sz="12" w:space="0" w:color="767171" w:themeColor="background2" w:themeShade="80"/>
            </w:tcBorders>
          </w:tcPr>
          <w:p w14:paraId="4A275519" w14:textId="77777777" w:rsidR="00613C75" w:rsidRPr="0021550A" w:rsidRDefault="00613C75" w:rsidP="0084606B">
            <w:pPr>
              <w:ind w:firstLine="0"/>
              <w:jc w:val="center"/>
            </w:pPr>
            <w:r w:rsidRPr="0021550A">
              <w:t>0</w:t>
            </w:r>
          </w:p>
        </w:tc>
        <w:tc>
          <w:tcPr>
            <w:tcW w:w="2160" w:type="dxa"/>
            <w:tcBorders>
              <w:top w:val="single" w:sz="12" w:space="0" w:color="767171" w:themeColor="background2" w:themeShade="80"/>
            </w:tcBorders>
          </w:tcPr>
          <w:p w14:paraId="61F872A7" w14:textId="77777777" w:rsidR="00613C75" w:rsidRPr="0021550A" w:rsidRDefault="00613C75" w:rsidP="0084606B">
            <w:pPr>
              <w:ind w:firstLine="0"/>
              <w:jc w:val="center"/>
            </w:pPr>
            <w:r w:rsidRPr="0021550A">
              <w:t>0.15</w:t>
            </w:r>
          </w:p>
        </w:tc>
      </w:tr>
      <w:tr w:rsidR="00613C75" w:rsidRPr="0021550A" w14:paraId="6599AA6F" w14:textId="77777777" w:rsidTr="0084606B">
        <w:tc>
          <w:tcPr>
            <w:tcW w:w="2268" w:type="dxa"/>
            <w:tcBorders>
              <w:bottom w:val="single" w:sz="12" w:space="0" w:color="767171" w:themeColor="background2" w:themeShade="80"/>
            </w:tcBorders>
          </w:tcPr>
          <w:p w14:paraId="7E5563C6" w14:textId="77777777" w:rsidR="00613C75" w:rsidRPr="0084606B" w:rsidRDefault="00613C75" w:rsidP="0084606B">
            <w:pPr>
              <w:ind w:firstLine="0"/>
              <w:jc w:val="center"/>
              <w:rPr>
                <w:i/>
              </w:rPr>
            </w:pPr>
            <w:r w:rsidRPr="0084606B">
              <w:rPr>
                <w:i/>
              </w:rPr>
              <w:t>abyde</w:t>
            </w:r>
          </w:p>
        </w:tc>
        <w:tc>
          <w:tcPr>
            <w:tcW w:w="2160" w:type="dxa"/>
            <w:tcBorders>
              <w:bottom w:val="single" w:sz="12" w:space="0" w:color="767171" w:themeColor="background2" w:themeShade="80"/>
            </w:tcBorders>
            <w:shd w:val="clear" w:color="auto" w:fill="FFF2CC" w:themeFill="accent4" w:themeFillTint="33"/>
          </w:tcPr>
          <w:p w14:paraId="2CE1998B" w14:textId="77777777" w:rsidR="00613C75" w:rsidRPr="0021550A" w:rsidRDefault="00613C75" w:rsidP="0084606B">
            <w:pPr>
              <w:ind w:firstLine="0"/>
              <w:jc w:val="center"/>
            </w:pPr>
            <w:r w:rsidRPr="0021550A">
              <w:t>1</w:t>
            </w:r>
          </w:p>
        </w:tc>
        <w:tc>
          <w:tcPr>
            <w:tcW w:w="2160" w:type="dxa"/>
            <w:tcBorders>
              <w:bottom w:val="single" w:sz="12" w:space="0" w:color="767171" w:themeColor="background2" w:themeShade="80"/>
            </w:tcBorders>
            <w:shd w:val="clear" w:color="auto" w:fill="FFF2CC" w:themeFill="accent4" w:themeFillTint="33"/>
          </w:tcPr>
          <w:p w14:paraId="65CC31A6" w14:textId="77777777" w:rsidR="00613C75" w:rsidRPr="0021550A" w:rsidRDefault="00613C75" w:rsidP="0084606B">
            <w:pPr>
              <w:ind w:firstLine="0"/>
              <w:jc w:val="center"/>
            </w:pPr>
            <w:r w:rsidRPr="0021550A">
              <w:t>0.85</w:t>
            </w:r>
          </w:p>
        </w:tc>
      </w:tr>
      <w:tr w:rsidR="00613C75" w:rsidRPr="0021550A" w14:paraId="7917C5B3" w14:textId="77777777" w:rsidTr="0084606B">
        <w:tc>
          <w:tcPr>
            <w:tcW w:w="2268" w:type="dxa"/>
            <w:tcBorders>
              <w:top w:val="single" w:sz="12" w:space="0" w:color="767171" w:themeColor="background2" w:themeShade="80"/>
            </w:tcBorders>
          </w:tcPr>
          <w:p w14:paraId="532C4B33" w14:textId="77777777" w:rsidR="00613C75" w:rsidRPr="0084606B" w:rsidRDefault="00613C75" w:rsidP="0084606B">
            <w:pPr>
              <w:ind w:firstLine="0"/>
              <w:jc w:val="center"/>
              <w:rPr>
                <w:i/>
              </w:rPr>
            </w:pPr>
            <w:r w:rsidRPr="0084606B">
              <w:rPr>
                <w:i/>
              </w:rPr>
              <w:t>aboute</w:t>
            </w:r>
          </w:p>
        </w:tc>
        <w:tc>
          <w:tcPr>
            <w:tcW w:w="2160" w:type="dxa"/>
            <w:tcBorders>
              <w:top w:val="single" w:sz="12" w:space="0" w:color="767171" w:themeColor="background2" w:themeShade="80"/>
            </w:tcBorders>
            <w:shd w:val="clear" w:color="auto" w:fill="FFF2CC" w:themeFill="accent4" w:themeFillTint="33"/>
          </w:tcPr>
          <w:p w14:paraId="654DCC6D" w14:textId="77777777" w:rsidR="00613C75" w:rsidRPr="0021550A" w:rsidRDefault="00613C75" w:rsidP="0084606B">
            <w:pPr>
              <w:ind w:firstLine="0"/>
              <w:jc w:val="center"/>
            </w:pPr>
            <w:r w:rsidRPr="0021550A">
              <w:t>0.71</w:t>
            </w:r>
          </w:p>
        </w:tc>
        <w:tc>
          <w:tcPr>
            <w:tcW w:w="2160" w:type="dxa"/>
            <w:tcBorders>
              <w:top w:val="single" w:sz="12" w:space="0" w:color="767171" w:themeColor="background2" w:themeShade="80"/>
            </w:tcBorders>
            <w:shd w:val="clear" w:color="auto" w:fill="FFF2CC" w:themeFill="accent4" w:themeFillTint="33"/>
          </w:tcPr>
          <w:p w14:paraId="74A856D3" w14:textId="77777777" w:rsidR="00613C75" w:rsidRPr="0021550A" w:rsidRDefault="00613C75" w:rsidP="0084606B">
            <w:pPr>
              <w:ind w:firstLine="0"/>
              <w:jc w:val="center"/>
            </w:pPr>
            <w:r w:rsidRPr="0021550A">
              <w:t>0.86</w:t>
            </w:r>
          </w:p>
        </w:tc>
      </w:tr>
      <w:tr w:rsidR="00613C75" w:rsidRPr="0021550A" w14:paraId="1C46CFEB" w14:textId="77777777" w:rsidTr="00D905A7">
        <w:tc>
          <w:tcPr>
            <w:tcW w:w="2268" w:type="dxa"/>
            <w:tcBorders>
              <w:bottom w:val="single" w:sz="12" w:space="0" w:color="767171" w:themeColor="background2" w:themeShade="80"/>
            </w:tcBorders>
          </w:tcPr>
          <w:p w14:paraId="20085758" w14:textId="77777777" w:rsidR="00613C75" w:rsidRPr="0084606B" w:rsidRDefault="00613C75" w:rsidP="0084606B">
            <w:pPr>
              <w:ind w:firstLine="0"/>
              <w:jc w:val="center"/>
              <w:rPr>
                <w:i/>
              </w:rPr>
            </w:pPr>
            <w:r w:rsidRPr="0084606B">
              <w:rPr>
                <w:i/>
              </w:rPr>
              <w:t>about</w:t>
            </w:r>
          </w:p>
        </w:tc>
        <w:tc>
          <w:tcPr>
            <w:tcW w:w="2160" w:type="dxa"/>
            <w:tcBorders>
              <w:bottom w:val="single" w:sz="12" w:space="0" w:color="767171" w:themeColor="background2" w:themeShade="80"/>
            </w:tcBorders>
          </w:tcPr>
          <w:p w14:paraId="7B0B936C" w14:textId="77777777" w:rsidR="00613C75" w:rsidRPr="0021550A" w:rsidRDefault="00613C75" w:rsidP="0084606B">
            <w:pPr>
              <w:ind w:firstLine="0"/>
              <w:jc w:val="center"/>
            </w:pPr>
            <w:r w:rsidRPr="0021550A">
              <w:t>0.29</w:t>
            </w:r>
          </w:p>
        </w:tc>
        <w:tc>
          <w:tcPr>
            <w:tcW w:w="2160" w:type="dxa"/>
            <w:tcBorders>
              <w:bottom w:val="single" w:sz="12" w:space="0" w:color="767171" w:themeColor="background2" w:themeShade="80"/>
            </w:tcBorders>
          </w:tcPr>
          <w:p w14:paraId="062388E1" w14:textId="77777777" w:rsidR="00613C75" w:rsidRPr="0021550A" w:rsidRDefault="00613C75" w:rsidP="0084606B">
            <w:pPr>
              <w:ind w:firstLine="0"/>
              <w:jc w:val="center"/>
            </w:pPr>
            <w:r w:rsidRPr="0021550A">
              <w:t>0.14</w:t>
            </w:r>
          </w:p>
        </w:tc>
      </w:tr>
      <w:tr w:rsidR="00613C75" w:rsidRPr="0021550A" w14:paraId="3BDCDB5D" w14:textId="77777777" w:rsidTr="0084606B">
        <w:tc>
          <w:tcPr>
            <w:tcW w:w="2268" w:type="dxa"/>
            <w:tcBorders>
              <w:top w:val="single" w:sz="12" w:space="0" w:color="767171" w:themeColor="background2" w:themeShade="80"/>
            </w:tcBorders>
          </w:tcPr>
          <w:p w14:paraId="63A33C57" w14:textId="77777777" w:rsidR="00613C75" w:rsidRPr="0084606B" w:rsidRDefault="00613C75" w:rsidP="0084606B">
            <w:pPr>
              <w:ind w:firstLine="0"/>
              <w:jc w:val="center"/>
              <w:rPr>
                <w:i/>
              </w:rPr>
            </w:pPr>
            <w:r w:rsidRPr="0084606B">
              <w:rPr>
                <w:i/>
              </w:rPr>
              <w:t>acorde</w:t>
            </w:r>
          </w:p>
        </w:tc>
        <w:tc>
          <w:tcPr>
            <w:tcW w:w="2160" w:type="dxa"/>
            <w:tcBorders>
              <w:top w:val="single" w:sz="12" w:space="0" w:color="767171" w:themeColor="background2" w:themeShade="80"/>
            </w:tcBorders>
            <w:shd w:val="clear" w:color="auto" w:fill="FFF2CC" w:themeFill="accent4" w:themeFillTint="33"/>
          </w:tcPr>
          <w:p w14:paraId="084ECADF" w14:textId="77777777" w:rsidR="00613C75" w:rsidRPr="0021550A" w:rsidRDefault="00613C75" w:rsidP="0084606B">
            <w:pPr>
              <w:ind w:firstLine="0"/>
              <w:jc w:val="center"/>
            </w:pPr>
            <w:r w:rsidRPr="0021550A">
              <w:t>0.78</w:t>
            </w:r>
          </w:p>
        </w:tc>
        <w:tc>
          <w:tcPr>
            <w:tcW w:w="2160" w:type="dxa"/>
            <w:tcBorders>
              <w:top w:val="single" w:sz="12" w:space="0" w:color="767171" w:themeColor="background2" w:themeShade="80"/>
            </w:tcBorders>
            <w:shd w:val="clear" w:color="auto" w:fill="FFF2CC" w:themeFill="accent4" w:themeFillTint="33"/>
          </w:tcPr>
          <w:p w14:paraId="51C98AC0" w14:textId="77777777" w:rsidR="00613C75" w:rsidRPr="0021550A" w:rsidRDefault="00613C75" w:rsidP="0084606B">
            <w:pPr>
              <w:ind w:firstLine="0"/>
              <w:jc w:val="center"/>
            </w:pPr>
            <w:r w:rsidRPr="0021550A">
              <w:t>0.83</w:t>
            </w:r>
          </w:p>
        </w:tc>
      </w:tr>
      <w:tr w:rsidR="00613C75" w:rsidRPr="0021550A" w14:paraId="5FF382E8" w14:textId="77777777" w:rsidTr="00D905A7">
        <w:tc>
          <w:tcPr>
            <w:tcW w:w="2268" w:type="dxa"/>
            <w:tcBorders>
              <w:bottom w:val="single" w:sz="12" w:space="0" w:color="767171" w:themeColor="background2" w:themeShade="80"/>
            </w:tcBorders>
          </w:tcPr>
          <w:p w14:paraId="22D8630B" w14:textId="77777777" w:rsidR="00613C75" w:rsidRPr="0084606B" w:rsidRDefault="00613C75" w:rsidP="0084606B">
            <w:pPr>
              <w:ind w:firstLine="0"/>
              <w:jc w:val="center"/>
              <w:rPr>
                <w:i/>
              </w:rPr>
            </w:pPr>
            <w:r w:rsidRPr="0084606B">
              <w:rPr>
                <w:i/>
              </w:rPr>
              <w:t>acord</w:t>
            </w:r>
          </w:p>
        </w:tc>
        <w:tc>
          <w:tcPr>
            <w:tcW w:w="2160" w:type="dxa"/>
            <w:tcBorders>
              <w:bottom w:val="single" w:sz="12" w:space="0" w:color="767171" w:themeColor="background2" w:themeShade="80"/>
            </w:tcBorders>
          </w:tcPr>
          <w:p w14:paraId="625C51D2" w14:textId="77777777" w:rsidR="00613C75" w:rsidRPr="0021550A" w:rsidRDefault="00613C75" w:rsidP="0084606B">
            <w:pPr>
              <w:ind w:firstLine="0"/>
              <w:jc w:val="center"/>
            </w:pPr>
            <w:r w:rsidRPr="0021550A">
              <w:t>0.22</w:t>
            </w:r>
          </w:p>
        </w:tc>
        <w:tc>
          <w:tcPr>
            <w:tcW w:w="2160" w:type="dxa"/>
            <w:tcBorders>
              <w:bottom w:val="single" w:sz="12" w:space="0" w:color="767171" w:themeColor="background2" w:themeShade="80"/>
            </w:tcBorders>
          </w:tcPr>
          <w:p w14:paraId="0ABBC14E" w14:textId="77777777" w:rsidR="00613C75" w:rsidRPr="0021550A" w:rsidRDefault="00613C75" w:rsidP="0084606B">
            <w:pPr>
              <w:ind w:firstLine="0"/>
              <w:jc w:val="center"/>
            </w:pPr>
            <w:r w:rsidRPr="0021550A">
              <w:t>0.17</w:t>
            </w:r>
          </w:p>
        </w:tc>
      </w:tr>
      <w:tr w:rsidR="00613C75" w:rsidRPr="0021550A" w14:paraId="2A8BB6D8" w14:textId="77777777" w:rsidTr="00D905A7">
        <w:tc>
          <w:tcPr>
            <w:tcW w:w="2268" w:type="dxa"/>
          </w:tcPr>
          <w:p w14:paraId="1BF1F99E" w14:textId="77777777" w:rsidR="00613C75" w:rsidRPr="0021550A" w:rsidRDefault="00613C75" w:rsidP="0084606B">
            <w:pPr>
              <w:ind w:firstLine="0"/>
              <w:jc w:val="center"/>
            </w:pPr>
            <w:r w:rsidRPr="0021550A">
              <w:t>etc.</w:t>
            </w:r>
          </w:p>
        </w:tc>
        <w:tc>
          <w:tcPr>
            <w:tcW w:w="2160" w:type="dxa"/>
          </w:tcPr>
          <w:p w14:paraId="2D01D520" w14:textId="77777777" w:rsidR="00613C75" w:rsidRPr="0021550A" w:rsidRDefault="00613C75" w:rsidP="0084606B">
            <w:pPr>
              <w:ind w:firstLine="0"/>
              <w:jc w:val="center"/>
            </w:pPr>
            <w:r w:rsidRPr="0021550A">
              <w:t>…</w:t>
            </w:r>
          </w:p>
        </w:tc>
        <w:tc>
          <w:tcPr>
            <w:tcW w:w="2160" w:type="dxa"/>
          </w:tcPr>
          <w:p w14:paraId="3A5A0557" w14:textId="77777777" w:rsidR="00613C75" w:rsidRPr="0021550A" w:rsidRDefault="00613C75" w:rsidP="0084606B">
            <w:pPr>
              <w:ind w:firstLine="0"/>
              <w:jc w:val="center"/>
            </w:pPr>
            <w:r w:rsidRPr="0021550A">
              <w:t>…</w:t>
            </w:r>
          </w:p>
        </w:tc>
      </w:tr>
    </w:tbl>
    <w:p w14:paraId="4CF246F2" w14:textId="1F7042CF" w:rsidR="00613C75" w:rsidRPr="0021550A" w:rsidRDefault="00453776" w:rsidP="000737CB">
      <w:pPr>
        <w:pStyle w:val="Caption"/>
      </w:pPr>
      <w:bookmarkStart w:id="174" w:name="_Toc499753487"/>
      <w:r>
        <w:t>Table 6.3:</w:t>
      </w:r>
      <w:r w:rsidR="00613C75" w:rsidRPr="0021550A">
        <w:t xml:space="preserve"> Extract of </w:t>
      </w:r>
      <w:r w:rsidR="00176CED">
        <w:t>spellings</w:t>
      </w:r>
      <w:r w:rsidR="00613C75" w:rsidRPr="0021550A">
        <w:t xml:space="preserve"> used by </w:t>
      </w:r>
      <w:r w:rsidR="00176CED">
        <w:t>compositors of</w:t>
      </w:r>
      <w:r w:rsidR="00613C75" w:rsidRPr="0021550A">
        <w:t xml:space="preserve"> Caxton’s </w:t>
      </w:r>
      <w:r w:rsidR="00613C75" w:rsidRPr="0021550A">
        <w:rPr>
          <w:i/>
        </w:rPr>
        <w:t>Polychronicon</w:t>
      </w:r>
      <w:bookmarkEnd w:id="174"/>
    </w:p>
    <w:p w14:paraId="0598A0E3" w14:textId="77777777" w:rsidR="00613C75" w:rsidRPr="0021550A" w:rsidRDefault="00613C75" w:rsidP="000737CB"/>
    <w:p w14:paraId="1DEE79EC" w14:textId="5341B314" w:rsidR="0055656F" w:rsidRDefault="00613C75" w:rsidP="000737CB">
      <w:r w:rsidRPr="0021550A">
        <w:t>Informally, the cosine similarity measure works by determining how big a difference there is between the ratios for each spelling variant in turn</w:t>
      </w:r>
      <w:r w:rsidR="008E352A">
        <w:t xml:space="preserve"> and works out a </w:t>
      </w:r>
      <w:r w:rsidR="0055656F">
        <w:t>type</w:t>
      </w:r>
      <w:r w:rsidR="008E352A">
        <w:t xml:space="preserve"> of average</w:t>
      </w:r>
      <w:r w:rsidRPr="0021550A">
        <w:t xml:space="preserve">. In </w:t>
      </w:r>
      <w:r w:rsidR="00D31AED">
        <w:t>Table 6.3 t</w:t>
      </w:r>
      <w:r w:rsidRPr="0021550A">
        <w:t xml:space="preserve">he measure assesses the relative frequency of </w:t>
      </w:r>
      <w:r w:rsidRPr="0021550A">
        <w:rPr>
          <w:i/>
          <w:iCs/>
        </w:rPr>
        <w:t>abbott</w:t>
      </w:r>
      <w:r w:rsidRPr="0021550A">
        <w:t xml:space="preserve"> used by Compositor 1 compared with the relative frequency of </w:t>
      </w:r>
      <w:r w:rsidRPr="0021550A">
        <w:rPr>
          <w:i/>
          <w:iCs/>
        </w:rPr>
        <w:t>abbott</w:t>
      </w:r>
      <w:r w:rsidRPr="0021550A">
        <w:t xml:space="preserve"> in Compositor 2. Then the measure looks at the difference between Compositor 1’s use of </w:t>
      </w:r>
      <w:r w:rsidRPr="0021550A">
        <w:rPr>
          <w:i/>
          <w:iCs/>
        </w:rPr>
        <w:t>abbot</w:t>
      </w:r>
      <w:r w:rsidRPr="0021550A">
        <w:t xml:space="preserve"> compared with Compositor 2’s use of </w:t>
      </w:r>
      <w:r w:rsidRPr="0021550A">
        <w:rPr>
          <w:i/>
          <w:iCs/>
        </w:rPr>
        <w:t>abbot</w:t>
      </w:r>
      <w:r w:rsidRPr="0021550A">
        <w:t xml:space="preserve">, and so on throughout the rest of the spelling variants. At the end, once the cosine measure has assessed the similarity for each spelling variant, it works out generally how similar the two vectors are overall. For this study, the output will be a number between 0 and 1. </w:t>
      </w:r>
      <w:r w:rsidRPr="0021550A">
        <w:tab/>
      </w:r>
    </w:p>
    <w:p w14:paraId="4B60D851" w14:textId="184B64E7" w:rsidR="00613C75" w:rsidRPr="0021550A" w:rsidRDefault="0055656F" w:rsidP="000737CB">
      <w:r>
        <w:t>While results for the cosine measure can fall between -1 and 1, for</w:t>
      </w:r>
      <w:r w:rsidR="00613C75" w:rsidRPr="0021550A">
        <w:t xml:space="preserve"> this study the result from the similarity testing will always be between 0 and 1. It is not possible to achieve a negative similarity score in this study because it is not possible to have negative numbers as part of the input. For example, it is possible to have 5 tokens of the spelling variant </w:t>
      </w:r>
      <w:r w:rsidR="00613C75" w:rsidRPr="0021550A">
        <w:rPr>
          <w:i/>
          <w:iCs/>
        </w:rPr>
        <w:t>theym</w:t>
      </w:r>
      <w:r w:rsidR="00613C75" w:rsidRPr="0021550A">
        <w:t xml:space="preserve">, and it is possible to have 0 tokens, but it is not possible to have -5 tokens </w:t>
      </w:r>
      <w:r w:rsidR="00613C75" w:rsidRPr="0021550A">
        <w:lastRenderedPageBreak/>
        <w:t xml:space="preserve">for a spelling variant. A uniformly positive input into the formula in </w:t>
      </w:r>
      <w:r w:rsidR="00AE3C75">
        <w:fldChar w:fldCharType="begin"/>
      </w:r>
      <w:r w:rsidR="00AE3C75">
        <w:instrText xml:space="preserve"> REF _Ref467958217  \</w:instrText>
      </w:r>
      <w:r w:rsidR="00AE3C75">
        <w:instrText xml:space="preserve">* MERGEFORMAT </w:instrText>
      </w:r>
      <w:r w:rsidR="00AE3C75">
        <w:fldChar w:fldCharType="separate"/>
      </w:r>
      <w:r w:rsidR="00D11844" w:rsidRPr="0021550A">
        <w:t xml:space="preserve">Equation </w:t>
      </w:r>
      <w:r w:rsidR="00D11844">
        <w:t>6</w:t>
      </w:r>
      <w:r w:rsidR="00D11844" w:rsidRPr="0021550A">
        <w:t>.</w:t>
      </w:r>
      <w:r w:rsidR="00D11844">
        <w:t>1</w:t>
      </w:r>
      <w:r w:rsidR="00AE3C75">
        <w:fldChar w:fldCharType="end"/>
      </w:r>
      <w:r w:rsidR="00613C75" w:rsidRPr="0021550A">
        <w:t xml:space="preserve"> will always yield a positive output. </w:t>
      </w:r>
    </w:p>
    <w:p w14:paraId="5D576993" w14:textId="77777777" w:rsidR="00613C75" w:rsidRPr="0021550A" w:rsidRDefault="00613C75" w:rsidP="000737CB"/>
    <w:p w14:paraId="7D7A178C" w14:textId="77777777" w:rsidR="00613C75" w:rsidRPr="0021550A" w:rsidRDefault="00613C75" w:rsidP="000737CB">
      <w:pPr>
        <w:pStyle w:val="Heading3"/>
      </w:pPr>
      <w:r w:rsidRPr="0021550A">
        <w:t>Binding the range of the output</w:t>
      </w:r>
    </w:p>
    <w:p w14:paraId="4FE64C52" w14:textId="1F6AC2B1" w:rsidR="00613C75" w:rsidRPr="0021550A" w:rsidRDefault="00613C75" w:rsidP="000737CB">
      <w:r w:rsidRPr="0021550A">
        <w:t xml:space="preserve">The equation for the cosine measure always gives an output that is bound between -1 and 1, though for this study the output will be between 0 and 1. There are other similarity measures that are unbounded (such as the inner product, or dot product), and the results for those tests can be infinitely great. However, for this study it is important to limit the range of the output for two reasons. Firstly because of the number of dimensions in each text are not the same, and secondly because the frequencies of spelling variants can differ for each compositor. </w:t>
      </w:r>
    </w:p>
    <w:p w14:paraId="510AC65F" w14:textId="77777777" w:rsidR="00613C75" w:rsidRPr="0021550A" w:rsidRDefault="00613C75" w:rsidP="000737CB">
      <w:r w:rsidRPr="0021550A">
        <w:t xml:space="preserve">The cosine similarity measure is implemented through a mathematical function, shown in </w:t>
      </w:r>
      <w:r w:rsidR="00AE3C75">
        <w:fldChar w:fldCharType="begin"/>
      </w:r>
      <w:r w:rsidR="00AE3C75">
        <w:instrText xml:space="preserve"> REF _Ref467958217</w:instrText>
      </w:r>
      <w:r w:rsidR="00AE3C75">
        <w:instrText xml:space="preserve">  \* MERGEFORMAT </w:instrText>
      </w:r>
      <w:r w:rsidR="00AE3C75">
        <w:fldChar w:fldCharType="separate"/>
      </w:r>
      <w:r w:rsidR="00D11844" w:rsidRPr="0021550A">
        <w:t xml:space="preserve">Equation </w:t>
      </w:r>
      <w:r w:rsidR="00D11844">
        <w:t>6</w:t>
      </w:r>
      <w:r w:rsidR="00D11844" w:rsidRPr="0021550A">
        <w:t>.</w:t>
      </w:r>
      <w:r w:rsidR="00D11844">
        <w:t>1</w:t>
      </w:r>
      <w:r w:rsidR="00AE3C75">
        <w:fldChar w:fldCharType="end"/>
      </w:r>
      <w:r w:rsidRPr="0021550A">
        <w:t xml:space="preserve">. The top half of the function is the part that does the assessing of each individual spelling variant for each Compositor. The bottom half is the part that creates the overall similarity score, and in doing so also binds the output to a range between -1 and 1. </w:t>
      </w:r>
    </w:p>
    <w:p w14:paraId="25690986" w14:textId="77777777" w:rsidR="00613C75" w:rsidRPr="0021550A" w:rsidRDefault="00613C75" w:rsidP="000737CB"/>
    <w:p w14:paraId="499F1972" w14:textId="77777777" w:rsidR="00613C75" w:rsidRPr="0021550A" w:rsidRDefault="00613C75" w:rsidP="000737CB">
      <m:oMathPara>
        <m:oMathParaPr>
          <m:jc m:val="left"/>
        </m:oMathParaPr>
        <m:oMath>
          <m:r>
            <m:rPr>
              <m:sty m:val="p"/>
            </m:rPr>
            <w:rPr>
              <w:rFonts w:ascii="Cambria Math" w:hAnsi="Cambria Math"/>
            </w:rPr>
            <m:t>similarity=</m:t>
          </m:r>
          <m:func>
            <m:funcPr>
              <m:ctrlPr>
                <w:rPr>
                  <w:rFonts w:ascii="Cambria Math" w:hAnsi="Cambria Math"/>
                </w:rPr>
              </m:ctrlPr>
            </m:funcPr>
            <m:fName>
              <m:r>
                <m:rPr>
                  <m:sty m:val="p"/>
                </m:rPr>
                <w:rPr>
                  <w:rFonts w:ascii="Cambria Math" w:hAnsi="Cambria Math"/>
                </w:rPr>
                <m:t>cos</m:t>
              </m:r>
            </m:fName>
            <m:e>
              <m:d>
                <m:dPr>
                  <m:ctrlPr>
                    <w:rPr>
                      <w:rFonts w:ascii="Cambria Math" w:hAnsi="Cambria Math"/>
                    </w:rPr>
                  </m:ctrlPr>
                </m:dPr>
                <m:e>
                  <m:r>
                    <w:rPr>
                      <w:rFonts w:ascii="Cambria Math" w:hAnsi="Cambria Math"/>
                    </w:rPr>
                    <m:t>θ</m:t>
                  </m:r>
                </m:e>
              </m:d>
            </m:e>
          </m:func>
          <m:r>
            <m:rPr>
              <m:sty m:val="p"/>
            </m:rPr>
            <w:rPr>
              <w:rFonts w:ascii="Cambria Math" w:hAnsi="Cambria Math"/>
            </w:rPr>
            <m:t xml:space="preserve">= </m:t>
          </m:r>
          <m:f>
            <m:fPr>
              <m:ctrlPr>
                <w:rPr>
                  <w:rFonts w:ascii="Cambria Math" w:hAnsi="Cambria Math"/>
                </w:rPr>
              </m:ctrlPr>
            </m:fPr>
            <m:num>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n</m:t>
                  </m:r>
                </m:sup>
                <m:e>
                  <m:sSub>
                    <m:sSubPr>
                      <m:ctrlPr>
                        <w:rPr>
                          <w:rFonts w:ascii="Cambria Math" w:hAnsi="Cambria Math"/>
                        </w:rPr>
                      </m:ctrlPr>
                    </m:sSubPr>
                    <m:e>
                      <m:r>
                        <w:rPr>
                          <w:rFonts w:ascii="Cambria Math" w:hAnsi="Cambria Math"/>
                        </w:rPr>
                        <m:t>A</m:t>
                      </m:r>
                    </m:e>
                    <m:sub>
                      <m:r>
                        <w:rPr>
                          <w:rFonts w:ascii="Cambria Math" w:hAnsi="Cambria Math"/>
                        </w:rPr>
                        <m:t>i</m:t>
                      </m:r>
                    </m:sub>
                  </m:sSub>
                </m:e>
              </m:nary>
              <m:sSub>
                <m:sSubPr>
                  <m:ctrlPr>
                    <w:rPr>
                      <w:rFonts w:ascii="Cambria Math" w:hAnsi="Cambria Math"/>
                    </w:rPr>
                  </m:ctrlPr>
                </m:sSubPr>
                <m:e>
                  <m:r>
                    <w:rPr>
                      <w:rFonts w:ascii="Cambria Math" w:hAnsi="Cambria Math"/>
                    </w:rPr>
                    <m:t>B</m:t>
                  </m:r>
                </m:e>
                <m:sub>
                  <m:r>
                    <w:rPr>
                      <w:rFonts w:ascii="Cambria Math" w:hAnsi="Cambria Math"/>
                    </w:rPr>
                    <m:t>i</m:t>
                  </m:r>
                </m:sub>
              </m:sSub>
            </m:num>
            <m:den>
              <m:rad>
                <m:radPr>
                  <m:degHide m:val="1"/>
                  <m:ctrlPr>
                    <w:rPr>
                      <w:rFonts w:ascii="Cambria Math" w:hAnsi="Cambria Math"/>
                    </w:rPr>
                  </m:ctrlPr>
                </m:radPr>
                <m:deg/>
                <m:e>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n</m:t>
                      </m:r>
                    </m:sup>
                    <m:e>
                      <m:sSubSup>
                        <m:sSubSupPr>
                          <m:ctrlPr>
                            <w:rPr>
                              <w:rFonts w:ascii="Cambria Math" w:hAnsi="Cambria Math"/>
                            </w:rPr>
                          </m:ctrlPr>
                        </m:sSubSupPr>
                        <m:e>
                          <m:r>
                            <w:rPr>
                              <w:rFonts w:ascii="Cambria Math" w:hAnsi="Cambria Math"/>
                            </w:rPr>
                            <m:t>A</m:t>
                          </m:r>
                        </m:e>
                        <m:sub>
                          <m:r>
                            <w:rPr>
                              <w:rFonts w:ascii="Cambria Math" w:hAnsi="Cambria Math"/>
                            </w:rPr>
                            <m:t>i</m:t>
                          </m:r>
                        </m:sub>
                        <m:sup>
                          <m:r>
                            <m:rPr>
                              <m:sty m:val="p"/>
                            </m:rPr>
                            <w:rPr>
                              <w:rFonts w:ascii="Cambria Math" w:hAnsi="Cambria Math"/>
                            </w:rPr>
                            <m:t>2</m:t>
                          </m:r>
                        </m:sup>
                      </m:sSubSup>
                    </m:e>
                  </m:nary>
                </m:e>
              </m:rad>
              <m:rad>
                <m:radPr>
                  <m:degHide m:val="1"/>
                  <m:ctrlPr>
                    <w:rPr>
                      <w:rFonts w:ascii="Cambria Math" w:hAnsi="Cambria Math"/>
                    </w:rPr>
                  </m:ctrlPr>
                </m:radPr>
                <m:deg/>
                <m:e>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n</m:t>
                      </m:r>
                    </m:sup>
                    <m:e>
                      <m:sSubSup>
                        <m:sSubSupPr>
                          <m:ctrlPr>
                            <w:rPr>
                              <w:rFonts w:ascii="Cambria Math" w:hAnsi="Cambria Math"/>
                            </w:rPr>
                          </m:ctrlPr>
                        </m:sSubSupPr>
                        <m:e>
                          <m:r>
                            <w:rPr>
                              <w:rFonts w:ascii="Cambria Math" w:hAnsi="Cambria Math"/>
                            </w:rPr>
                            <m:t>B</m:t>
                          </m:r>
                        </m:e>
                        <m:sub>
                          <m:r>
                            <w:rPr>
                              <w:rFonts w:ascii="Cambria Math" w:hAnsi="Cambria Math"/>
                            </w:rPr>
                            <m:t>i</m:t>
                          </m:r>
                        </m:sub>
                        <m:sup>
                          <m:r>
                            <m:rPr>
                              <m:sty m:val="p"/>
                            </m:rPr>
                            <w:rPr>
                              <w:rFonts w:ascii="Cambria Math" w:hAnsi="Cambria Math"/>
                            </w:rPr>
                            <m:t>2</m:t>
                          </m:r>
                        </m:sup>
                      </m:sSubSup>
                    </m:e>
                  </m:nary>
                </m:e>
              </m:rad>
            </m:den>
          </m:f>
        </m:oMath>
      </m:oMathPara>
    </w:p>
    <w:p w14:paraId="779FF3FE" w14:textId="289D117A" w:rsidR="00613C75" w:rsidRPr="0021550A" w:rsidRDefault="00613C75" w:rsidP="000737CB">
      <w:pPr>
        <w:pStyle w:val="Caption"/>
      </w:pPr>
      <w:bookmarkStart w:id="175" w:name="_Ref467958217"/>
      <w:r w:rsidRPr="0021550A">
        <w:t xml:space="preserve">Equation </w:t>
      </w:r>
      <w:r w:rsidR="00E12429">
        <w:fldChar w:fldCharType="begin"/>
      </w:r>
      <w:r w:rsidR="00E12429">
        <w:instrText xml:space="preserve"> STYLEREF 1 \s </w:instrText>
      </w:r>
      <w:r w:rsidR="00E12429">
        <w:fldChar w:fldCharType="separate"/>
      </w:r>
      <w:r w:rsidR="00D11844">
        <w:rPr>
          <w:noProof/>
        </w:rPr>
        <w:t>6</w:t>
      </w:r>
      <w:r w:rsidR="00E12429">
        <w:rPr>
          <w:noProof/>
        </w:rPr>
        <w:fldChar w:fldCharType="end"/>
      </w:r>
      <w:r w:rsidRPr="0021550A">
        <w:t>.</w:t>
      </w:r>
      <w:r w:rsidR="00E12429">
        <w:fldChar w:fldCharType="begin"/>
      </w:r>
      <w:r w:rsidR="00E12429">
        <w:instrText xml:space="preserve"> SEQ Equation \* ARABIC \s 1 </w:instrText>
      </w:r>
      <w:r w:rsidR="00E12429">
        <w:fldChar w:fldCharType="separate"/>
      </w:r>
      <w:r w:rsidR="00D11844">
        <w:rPr>
          <w:noProof/>
        </w:rPr>
        <w:t>1</w:t>
      </w:r>
      <w:r w:rsidR="00E12429">
        <w:rPr>
          <w:noProof/>
        </w:rPr>
        <w:fldChar w:fldCharType="end"/>
      </w:r>
      <w:bookmarkEnd w:id="175"/>
      <w:r w:rsidRPr="0021550A">
        <w:t>: Mathematical function for the cosine similarity measure</w:t>
      </w:r>
    </w:p>
    <w:p w14:paraId="4E603F59" w14:textId="77777777" w:rsidR="00613C75" w:rsidRPr="0021550A" w:rsidRDefault="00613C75" w:rsidP="000737CB"/>
    <w:p w14:paraId="5D6B1EB5" w14:textId="1D021016" w:rsidR="00613C75" w:rsidRPr="0021550A" w:rsidRDefault="00613C75" w:rsidP="000737CB">
      <w:r w:rsidRPr="0021550A">
        <w:t>The cosine measure is an effective way to measure similarity in vectors of high-dimensionality. However, different incunabula will produce vectors of different numbers of dimensions. No two books will use exactly the same words, nor will the total number of distinct words be identical. For example, the</w:t>
      </w:r>
      <w:r w:rsidR="00064918">
        <w:t xml:space="preserve"> political </w:t>
      </w:r>
      <w:r w:rsidR="00A966F6">
        <w:t>treatise</w:t>
      </w:r>
      <w:r w:rsidR="00064918">
        <w:t>,</w:t>
      </w:r>
      <w:r w:rsidRPr="0021550A">
        <w:t xml:space="preserve"> </w:t>
      </w:r>
      <w:r w:rsidRPr="0021550A">
        <w:rPr>
          <w:i/>
          <w:iCs/>
        </w:rPr>
        <w:t>Game of Chess</w:t>
      </w:r>
      <w:r w:rsidRPr="0021550A">
        <w:t xml:space="preserve"> will include words drawn from the semantic field of </w:t>
      </w:r>
      <w:r w:rsidR="00A966F6">
        <w:t>medieval politics</w:t>
      </w:r>
      <w:r w:rsidRPr="0021550A">
        <w:t xml:space="preserve">, but these same words are unlikely to be present in Chaucer’s </w:t>
      </w:r>
      <w:r w:rsidRPr="0021550A">
        <w:rPr>
          <w:i/>
          <w:iCs/>
        </w:rPr>
        <w:t>Troilus and Criseyde</w:t>
      </w:r>
      <w:r w:rsidRPr="0021550A">
        <w:t xml:space="preserve">. Because all books contain a different selection of distinct words, the total number of spelling variants is not the same in any of the texts in the wider dataset of texts. There are a total number of 702 types </w:t>
      </w:r>
      <w:r w:rsidR="00A966F6">
        <w:t xml:space="preserve">(as opposed to tokens) </w:t>
      </w:r>
      <w:r w:rsidRPr="0021550A">
        <w:t xml:space="preserve">of spelling variants in the </w:t>
      </w:r>
      <w:r w:rsidRPr="0021550A">
        <w:rPr>
          <w:i/>
          <w:iCs/>
        </w:rPr>
        <w:t>Confessio Amantis</w:t>
      </w:r>
      <w:r w:rsidRPr="0021550A">
        <w:t xml:space="preserve">, compared with 1,156 types in Caxton’s first edition of the </w:t>
      </w:r>
      <w:r w:rsidRPr="0021550A">
        <w:rPr>
          <w:i/>
          <w:iCs/>
        </w:rPr>
        <w:t>Canterbury Tales</w:t>
      </w:r>
      <w:r w:rsidRPr="0021550A">
        <w:t xml:space="preserve">, for example. The vectors of spelling variant frequencies for Compositor 1 and Compositor 2 for the </w:t>
      </w:r>
      <w:r w:rsidRPr="0021550A">
        <w:rPr>
          <w:i/>
          <w:iCs/>
        </w:rPr>
        <w:t>Confessio Amantis</w:t>
      </w:r>
      <w:r w:rsidRPr="0021550A">
        <w:t xml:space="preserve"> will be 702 dimensions, and 1,156 dimensions for the </w:t>
      </w:r>
      <w:r w:rsidRPr="0021550A">
        <w:rPr>
          <w:i/>
          <w:iCs/>
        </w:rPr>
        <w:t>Canterbury Tales</w:t>
      </w:r>
      <w:r w:rsidRPr="0021550A">
        <w:t xml:space="preserve">. </w:t>
      </w:r>
    </w:p>
    <w:p w14:paraId="7185FCBD" w14:textId="45BD97C7" w:rsidR="00613C75" w:rsidRPr="0021550A" w:rsidRDefault="00613C75" w:rsidP="000737CB">
      <w:r w:rsidRPr="0021550A">
        <w:t xml:space="preserve">This difference in dimensionality matters. Without the bounded range provided by the bottom half of the equation in </w:t>
      </w:r>
      <w:r w:rsidR="00AE3C75">
        <w:fldChar w:fldCharType="begin"/>
      </w:r>
      <w:r w:rsidR="00AE3C75">
        <w:instrText xml:space="preserve"> REF _Ref467958217  \* MERGEFORMAT </w:instrText>
      </w:r>
      <w:r w:rsidR="00AE3C75">
        <w:fldChar w:fldCharType="separate"/>
      </w:r>
      <w:r w:rsidR="00D11844" w:rsidRPr="0021550A">
        <w:t xml:space="preserve">Equation </w:t>
      </w:r>
      <w:r w:rsidR="00D11844">
        <w:t>6</w:t>
      </w:r>
      <w:r w:rsidR="00D11844" w:rsidRPr="0021550A">
        <w:t>.</w:t>
      </w:r>
      <w:r w:rsidR="00D11844">
        <w:t>1</w:t>
      </w:r>
      <w:r w:rsidR="00AE3C75">
        <w:fldChar w:fldCharType="end"/>
      </w:r>
      <w:r w:rsidRPr="0021550A">
        <w:t xml:space="preserve">, the top half of the equation works by multiplying the values in each row together, then adding them to the next row. Using the </w:t>
      </w:r>
      <w:r w:rsidRPr="0021550A">
        <w:lastRenderedPageBreak/>
        <w:t xml:space="preserve">first rows in </w:t>
      </w:r>
      <w:r w:rsidR="00AE3C75">
        <w:fldChar w:fldCharType="begin"/>
      </w:r>
      <w:r w:rsidR="00AE3C75">
        <w:instrText xml:space="preserve"> REF _Ref467959017  \* MERGEFORMAT </w:instrText>
      </w:r>
      <w:r w:rsidR="00AE3C75">
        <w:fldChar w:fldCharType="separate"/>
      </w:r>
      <w:r w:rsidR="00D11844" w:rsidRPr="0021550A">
        <w:t xml:space="preserve">Table </w:t>
      </w:r>
      <w:r w:rsidR="00D11844">
        <w:t>6.2</w:t>
      </w:r>
      <w:r w:rsidR="00AE3C75">
        <w:fldChar w:fldCharType="end"/>
      </w:r>
      <w:r w:rsidRPr="0021550A">
        <w:t xml:space="preserve">, the equation multiplies the frequencies for </w:t>
      </w:r>
      <w:r w:rsidRPr="0021550A">
        <w:rPr>
          <w:i/>
          <w:iCs/>
        </w:rPr>
        <w:t>abbott,</w:t>
      </w:r>
      <w:r w:rsidRPr="0021550A">
        <w:t xml:space="preserve"> then adds to that the multiple of the frequencies of </w:t>
      </w:r>
      <w:r w:rsidRPr="0021550A">
        <w:rPr>
          <w:i/>
          <w:iCs/>
        </w:rPr>
        <w:t>abott</w:t>
      </w:r>
      <w:r w:rsidRPr="0021550A">
        <w:t xml:space="preserve">, then adds that to the frequencies for </w:t>
      </w:r>
      <w:r w:rsidRPr="0021550A">
        <w:rPr>
          <w:i/>
          <w:iCs/>
        </w:rPr>
        <w:t>abide</w:t>
      </w:r>
      <w:r w:rsidRPr="0021550A">
        <w:t xml:space="preserve">, and so on. The more spellings there are in a text, the more dimensions there are, and thus the more values there are to be added by </w:t>
      </w:r>
      <w:r w:rsidR="00E12429">
        <w:fldChar w:fldCharType="begin"/>
      </w:r>
      <w:r w:rsidR="00E12429">
        <w:instrText xml:space="preserve"> REF _Ref467958217 </w:instrText>
      </w:r>
      <w:r w:rsidR="00E12429">
        <w:fldChar w:fldCharType="separate"/>
      </w:r>
      <w:r w:rsidR="00D11844" w:rsidRPr="0021550A">
        <w:t xml:space="preserve">Equation </w:t>
      </w:r>
      <w:r w:rsidR="00D11844">
        <w:rPr>
          <w:noProof/>
        </w:rPr>
        <w:t>6</w:t>
      </w:r>
      <w:r w:rsidR="00D11844" w:rsidRPr="0021550A">
        <w:t>.</w:t>
      </w:r>
      <w:r w:rsidR="00D11844">
        <w:rPr>
          <w:noProof/>
        </w:rPr>
        <w:t>1</w:t>
      </w:r>
      <w:r w:rsidR="00E12429">
        <w:rPr>
          <w:noProof/>
        </w:rPr>
        <w:fldChar w:fldCharType="end"/>
      </w:r>
      <w:r w:rsidRPr="0021550A">
        <w:t xml:space="preserve">. Because the </w:t>
      </w:r>
      <w:r w:rsidRPr="0021550A">
        <w:rPr>
          <w:i/>
          <w:iCs/>
        </w:rPr>
        <w:t>Canterbury Tales</w:t>
      </w:r>
      <w:r w:rsidRPr="0021550A">
        <w:t xml:space="preserve"> runs to 1,156 dimensions, the similarity score will almost certainly be far greater than that for the </w:t>
      </w:r>
      <w:r w:rsidRPr="0021550A">
        <w:rPr>
          <w:i/>
          <w:iCs/>
        </w:rPr>
        <w:t>Confessio Amantis</w:t>
      </w:r>
      <w:r w:rsidRPr="0021550A">
        <w:t xml:space="preserve"> which only runs to 702 because there are hundreds more values to be added </w:t>
      </w:r>
      <w:r w:rsidR="00B35FDC">
        <w:t xml:space="preserve">together </w:t>
      </w:r>
      <w:r w:rsidRPr="0021550A">
        <w:t xml:space="preserve">in the </w:t>
      </w:r>
      <w:r w:rsidRPr="0021550A">
        <w:rPr>
          <w:i/>
        </w:rPr>
        <w:t>Canterbury Tales</w:t>
      </w:r>
      <w:r w:rsidRPr="0021550A">
        <w:t xml:space="preserve">. The greater score is not because the compositors who set the </w:t>
      </w:r>
      <w:r w:rsidRPr="0021550A">
        <w:rPr>
          <w:i/>
          <w:iCs/>
        </w:rPr>
        <w:t>Canterbury Tales</w:t>
      </w:r>
      <w:r w:rsidRPr="0021550A">
        <w:t xml:space="preserve"> used spelling systems that were more similar to one another than the compositors who set the </w:t>
      </w:r>
      <w:r w:rsidRPr="0021550A">
        <w:rPr>
          <w:i/>
          <w:iCs/>
        </w:rPr>
        <w:t>Confessio Amantis</w:t>
      </w:r>
      <w:r w:rsidRPr="0021550A">
        <w:t xml:space="preserve"> (as this study is meant to measure). Instead, the far higher number of dimensions will ensure that the score will come out higher every time. For this reason, if we do not use a bound range for the output, the cosine measure will actually assess the number of dimensions and the frequencies for each spelling variant. </w:t>
      </w:r>
      <w:r w:rsidR="00B35FDC">
        <w:t>We do not want to measure the number of dimensions and the number of times each spelling is used. In order to measure the extent to which spellings differ between two sections of text,</w:t>
      </w:r>
      <w:r w:rsidRPr="0021550A">
        <w:t xml:space="preserve"> the range of the output must be bound.</w:t>
      </w:r>
    </w:p>
    <w:p w14:paraId="3C3DC995" w14:textId="77777777" w:rsidR="00613C75" w:rsidRPr="0021550A" w:rsidRDefault="00613C75" w:rsidP="000737CB">
      <w:r w:rsidRPr="0021550A">
        <w:t xml:space="preserve">The similarity of two spelling systems is reflected in the numerical output. A score of 0 would mean that the two spelling systems were entirely different, and that the two compositors were not using any of the same spelling variants. In comparison, a score of 1 would mean that the two spelling systems were entirely identical, and that two compositors were using exactly the same spelling variants. In reality, none of the results should be 0 or 1, but instead fall between them. </w:t>
      </w:r>
    </w:p>
    <w:p w14:paraId="296B3AC3" w14:textId="77777777" w:rsidR="00613C75" w:rsidRPr="0021550A" w:rsidRDefault="00613C75" w:rsidP="000737CB"/>
    <w:p w14:paraId="11BA1852" w14:textId="3B2AFE61" w:rsidR="00613C75" w:rsidRPr="0021550A" w:rsidRDefault="00613C75" w:rsidP="000737CB">
      <w:pPr>
        <w:pStyle w:val="Heading3"/>
      </w:pPr>
      <w:bookmarkStart w:id="176" w:name="_Ref492385560"/>
      <w:r w:rsidRPr="0021550A">
        <w:t xml:space="preserve">Benefits to </w:t>
      </w:r>
      <w:r w:rsidR="00A966F6">
        <w:t>similarity testing</w:t>
      </w:r>
      <w:r w:rsidRPr="0021550A">
        <w:t>: scaling vectors and magnitude</w:t>
      </w:r>
      <w:bookmarkEnd w:id="176"/>
      <w:r w:rsidRPr="0021550A">
        <w:t xml:space="preserve"> </w:t>
      </w:r>
    </w:p>
    <w:p w14:paraId="2B43AE39" w14:textId="2BEF36FD" w:rsidR="00613C75" w:rsidRPr="0021550A" w:rsidRDefault="00613C75" w:rsidP="000737CB">
      <w:r w:rsidRPr="0021550A">
        <w:t xml:space="preserve">In binding the range of the output to between 0 and 1, the cosine measure can also deal with input data of different sizes. We can see this if we look at the data from Caxton’s edition of the </w:t>
      </w:r>
      <w:r w:rsidRPr="0021550A">
        <w:rPr>
          <w:i/>
          <w:iCs/>
        </w:rPr>
        <w:t>Confessio Amantis</w:t>
      </w:r>
      <w:r w:rsidRPr="0021550A">
        <w:t xml:space="preserve">. Hellinga </w:t>
      </w:r>
      <w:r w:rsidR="00A966F6">
        <w:t>and</w:t>
      </w:r>
      <w:r w:rsidRPr="0021550A">
        <w:t xml:space="preserve"> Painter </w:t>
      </w:r>
      <w:r w:rsidR="00A966F6" w:rsidRPr="00B35FDC">
        <w:t>(2007:</w:t>
      </w:r>
      <w:r w:rsidR="00A966F6">
        <w:t xml:space="preserve"> </w:t>
      </w:r>
      <w:r w:rsidR="00A966F6" w:rsidRPr="00B35FDC">
        <w:t>142)</w:t>
      </w:r>
      <w:r w:rsidR="00A966F6">
        <w:t xml:space="preserve"> </w:t>
      </w:r>
      <w:r w:rsidRPr="0021550A">
        <w:t>suggest two different points at which a change in compositor could have occurred, but are undecided as to which one is the likely cross-over point</w:t>
      </w:r>
      <w:r w:rsidR="00B35FDC" w:rsidRPr="00B35FDC">
        <w:t xml:space="preserve">. </w:t>
      </w:r>
      <w:r w:rsidRPr="0021550A">
        <w:t>They believe that there was a change in compositor either on page 129</w:t>
      </w:r>
      <w:r w:rsidRPr="0021550A">
        <w:rPr>
          <w:vertAlign w:val="superscript"/>
        </w:rPr>
        <w:t>a</w:t>
      </w:r>
      <w:r w:rsidRPr="0021550A">
        <w:t xml:space="preserve"> or on page 192</w:t>
      </w:r>
      <w:r w:rsidRPr="0021550A">
        <w:rPr>
          <w:vertAlign w:val="superscript"/>
        </w:rPr>
        <w:t>a</w:t>
      </w:r>
      <w:r w:rsidRPr="0021550A">
        <w:t xml:space="preserve">. As a result, Hellinga </w:t>
      </w:r>
      <w:r w:rsidR="00A966F6">
        <w:t>and</w:t>
      </w:r>
      <w:r w:rsidRPr="0021550A">
        <w:t xml:space="preserve"> Painter are sure that Compositor 1 type-set pages 1</w:t>
      </w:r>
      <w:r w:rsidRPr="0021550A">
        <w:rPr>
          <w:vertAlign w:val="superscript"/>
        </w:rPr>
        <w:t>a</w:t>
      </w:r>
      <w:r w:rsidRPr="0021550A">
        <w:t xml:space="preserve"> - 128</w:t>
      </w:r>
      <w:r w:rsidRPr="0021550A">
        <w:rPr>
          <w:vertAlign w:val="superscript"/>
        </w:rPr>
        <w:t>b</w:t>
      </w:r>
      <w:r w:rsidRPr="0021550A">
        <w:t>, and that Compositor 2 set pages 193</w:t>
      </w:r>
      <w:r w:rsidRPr="0021550A">
        <w:rPr>
          <w:vertAlign w:val="superscript"/>
        </w:rPr>
        <w:t>a</w:t>
      </w:r>
      <w:r w:rsidRPr="0021550A">
        <w:t xml:space="preserve"> to the end of the text on page 222</w:t>
      </w:r>
      <w:r w:rsidRPr="0021550A">
        <w:rPr>
          <w:vertAlign w:val="superscript"/>
        </w:rPr>
        <w:t>b</w:t>
      </w:r>
      <w:r w:rsidRPr="0021550A">
        <w:t>. However, they are uncertain whether Compositor 1 or Compositor 2 set the type for the section of text between pages 129</w:t>
      </w:r>
      <w:r w:rsidRPr="0021550A">
        <w:rPr>
          <w:vertAlign w:val="superscript"/>
        </w:rPr>
        <w:t>a</w:t>
      </w:r>
      <w:r w:rsidRPr="0021550A">
        <w:t xml:space="preserve"> and 192</w:t>
      </w:r>
      <w:r w:rsidRPr="0021550A">
        <w:rPr>
          <w:vertAlign w:val="superscript"/>
        </w:rPr>
        <w:t>b</w:t>
      </w:r>
      <w:r w:rsidRPr="0021550A">
        <w:t xml:space="preserve">. </w:t>
      </w:r>
    </w:p>
    <w:p w14:paraId="5E7F8F88" w14:textId="380C9CDE" w:rsidR="00613C75" w:rsidRPr="0021550A" w:rsidRDefault="00613C75" w:rsidP="000737CB">
      <w:r w:rsidRPr="0021550A">
        <w:t xml:space="preserve">If we only use the sections of text that Hellinga </w:t>
      </w:r>
      <w:r w:rsidR="00122AAC">
        <w:t>and</w:t>
      </w:r>
      <w:r w:rsidRPr="0021550A">
        <w:t xml:space="preserve"> Painter are sure were set by Compositor 1 and Compositor 2, then Compositor 1 set the type for 128 pages but Compositor 2 set only 29 pages. As a result, the frequency of spelling variants is far lower for Compositor 2 than Compositor 1. For example, we can consider the spelling variants </w:t>
      </w:r>
      <w:r w:rsidRPr="0021550A">
        <w:lastRenderedPageBreak/>
        <w:t xml:space="preserve">used by Compositor 1 and Compositor 2 for the word </w:t>
      </w:r>
      <w:r w:rsidRPr="0021550A">
        <w:rPr>
          <w:smallCaps/>
        </w:rPr>
        <w:t>day</w:t>
      </w:r>
      <w:r w:rsidRPr="0021550A">
        <w:t xml:space="preserve">. In the </w:t>
      </w:r>
      <w:r w:rsidRPr="0021550A">
        <w:rPr>
          <w:i/>
          <w:iCs/>
        </w:rPr>
        <w:t>Confessio Amantis</w:t>
      </w:r>
      <w:r w:rsidRPr="0021550A">
        <w:t xml:space="preserve"> both compositors prefer to use the spelling variant </w:t>
      </w:r>
      <w:r w:rsidRPr="0021550A">
        <w:rPr>
          <w:i/>
          <w:iCs/>
        </w:rPr>
        <w:t>day</w:t>
      </w:r>
      <w:r w:rsidRPr="0021550A">
        <w:t xml:space="preserve"> instead of </w:t>
      </w:r>
      <w:r w:rsidRPr="0021550A">
        <w:rPr>
          <w:i/>
          <w:iCs/>
        </w:rPr>
        <w:t>daye</w:t>
      </w:r>
      <w:r w:rsidRPr="0021550A">
        <w:t xml:space="preserve"> to represent the word </w:t>
      </w:r>
      <w:r w:rsidRPr="0021550A">
        <w:rPr>
          <w:smallCaps/>
        </w:rPr>
        <w:t>day</w:t>
      </w:r>
      <w:r w:rsidRPr="0021550A">
        <w:t xml:space="preserve">—Compositor 1 chooses </w:t>
      </w:r>
      <w:r w:rsidRPr="0021550A">
        <w:rPr>
          <w:i/>
          <w:iCs/>
        </w:rPr>
        <w:t>day</w:t>
      </w:r>
      <w:r w:rsidRPr="0021550A">
        <w:t xml:space="preserve"> 88 per cent of the time, while Compositor 2 uses </w:t>
      </w:r>
      <w:r w:rsidRPr="0021550A">
        <w:rPr>
          <w:i/>
          <w:iCs/>
        </w:rPr>
        <w:t>day</w:t>
      </w:r>
      <w:r w:rsidRPr="0021550A">
        <w:t xml:space="preserve"> 85 per cent of the time. </w:t>
      </w:r>
      <w:r w:rsidR="00AE3C75">
        <w:fldChar w:fldCharType="begin"/>
      </w:r>
      <w:r w:rsidR="00AE3C75">
        <w:instrText xml:space="preserve"> REF _Ref467959297  \* MERGEFORMAT </w:instrText>
      </w:r>
      <w:r w:rsidR="00AE3C75">
        <w:fldChar w:fldCharType="separate"/>
      </w:r>
      <w:r w:rsidR="00D11844" w:rsidRPr="0021550A">
        <w:t xml:space="preserve">Table </w:t>
      </w:r>
      <w:r w:rsidR="00D11844">
        <w:t>6.3</w:t>
      </w:r>
      <w:r w:rsidR="00AE3C75">
        <w:fldChar w:fldCharType="end"/>
      </w:r>
      <w:r w:rsidR="00122AAC" w:rsidRPr="0021550A">
        <w:t xml:space="preserve"> shows the frequency for </w:t>
      </w:r>
      <w:r w:rsidR="00122AAC" w:rsidRPr="0021550A">
        <w:rPr>
          <w:i/>
          <w:iCs/>
        </w:rPr>
        <w:t>day</w:t>
      </w:r>
      <w:r w:rsidR="00122AAC" w:rsidRPr="0021550A">
        <w:t xml:space="preserve"> and </w:t>
      </w:r>
      <w:r w:rsidR="00122AAC" w:rsidRPr="0021550A">
        <w:rPr>
          <w:i/>
          <w:iCs/>
        </w:rPr>
        <w:t>daye</w:t>
      </w:r>
      <w:r w:rsidR="00122AAC" w:rsidRPr="0021550A">
        <w:t xml:space="preserve"> used by Compositor 1 and Compositor 2 when setting the type for the </w:t>
      </w:r>
      <w:r w:rsidR="00122AAC" w:rsidRPr="0021550A">
        <w:rPr>
          <w:i/>
          <w:iCs/>
        </w:rPr>
        <w:t>Confessio Amantis</w:t>
      </w:r>
      <w:r w:rsidR="00122AAC" w:rsidRPr="0021550A">
        <w:t xml:space="preserve">. Though both compositors clearly prefer to use the variant </w:t>
      </w:r>
      <w:r w:rsidR="00122AAC" w:rsidRPr="0021550A">
        <w:rPr>
          <w:i/>
          <w:iCs/>
        </w:rPr>
        <w:t>day</w:t>
      </w:r>
      <w:r w:rsidR="00122AAC" w:rsidRPr="0021550A">
        <w:t xml:space="preserve">, the frequencies of tokens are far higher for Compositor 1. </w:t>
      </w:r>
    </w:p>
    <w:p w14:paraId="5EB2318A" w14:textId="77777777" w:rsidR="00613C75" w:rsidRPr="0021550A" w:rsidRDefault="00613C75" w:rsidP="000737CB"/>
    <w:tbl>
      <w:tblPr>
        <w:tblStyle w:val="GridTable1Light1"/>
        <w:tblW w:w="6678" w:type="dxa"/>
        <w:tblLayout w:type="fixed"/>
        <w:tblLook w:val="0020" w:firstRow="1" w:lastRow="0" w:firstColumn="0" w:lastColumn="0" w:noHBand="0" w:noVBand="0"/>
      </w:tblPr>
      <w:tblGrid>
        <w:gridCol w:w="1818"/>
        <w:gridCol w:w="2520"/>
        <w:gridCol w:w="2340"/>
      </w:tblGrid>
      <w:tr w:rsidR="00613C75" w:rsidRPr="0021550A" w14:paraId="136F4D51" w14:textId="77777777" w:rsidTr="00D905A7">
        <w:trPr>
          <w:cnfStyle w:val="100000000000" w:firstRow="1" w:lastRow="0" w:firstColumn="0" w:lastColumn="0" w:oddVBand="0" w:evenVBand="0" w:oddHBand="0" w:evenHBand="0" w:firstRowFirstColumn="0" w:firstRowLastColumn="0" w:lastRowFirstColumn="0" w:lastRowLastColumn="0"/>
        </w:trPr>
        <w:tc>
          <w:tcPr>
            <w:tcW w:w="1818" w:type="dxa"/>
          </w:tcPr>
          <w:p w14:paraId="752372DE" w14:textId="77777777" w:rsidR="00613C75" w:rsidRPr="0021550A" w:rsidRDefault="00613C75" w:rsidP="0084606B">
            <w:pPr>
              <w:ind w:firstLine="0"/>
              <w:jc w:val="center"/>
            </w:pPr>
          </w:p>
        </w:tc>
        <w:tc>
          <w:tcPr>
            <w:tcW w:w="2520" w:type="dxa"/>
          </w:tcPr>
          <w:p w14:paraId="6BFA9287" w14:textId="77777777" w:rsidR="00613C75" w:rsidRPr="0021550A" w:rsidRDefault="00613C75" w:rsidP="0084606B">
            <w:pPr>
              <w:ind w:firstLine="0"/>
              <w:jc w:val="center"/>
            </w:pPr>
            <w:r w:rsidRPr="0021550A">
              <w:t>Compositor 1</w:t>
            </w:r>
          </w:p>
        </w:tc>
        <w:tc>
          <w:tcPr>
            <w:tcW w:w="2340" w:type="dxa"/>
          </w:tcPr>
          <w:p w14:paraId="06D423D5" w14:textId="77777777" w:rsidR="00613C75" w:rsidRPr="0021550A" w:rsidRDefault="00613C75" w:rsidP="0084606B">
            <w:pPr>
              <w:ind w:firstLine="0"/>
              <w:jc w:val="center"/>
            </w:pPr>
            <w:r w:rsidRPr="0021550A">
              <w:t>Compositor 2</w:t>
            </w:r>
          </w:p>
        </w:tc>
      </w:tr>
      <w:tr w:rsidR="00613C75" w:rsidRPr="0021550A" w14:paraId="07049B6E" w14:textId="77777777" w:rsidTr="00D905A7">
        <w:tc>
          <w:tcPr>
            <w:tcW w:w="1818" w:type="dxa"/>
          </w:tcPr>
          <w:p w14:paraId="2FF5D2FA" w14:textId="77777777" w:rsidR="00613C75" w:rsidRPr="0084606B" w:rsidRDefault="00613C75" w:rsidP="0084606B">
            <w:pPr>
              <w:ind w:firstLine="0"/>
              <w:jc w:val="center"/>
              <w:rPr>
                <w:i/>
              </w:rPr>
            </w:pPr>
            <w:r w:rsidRPr="0084606B">
              <w:rPr>
                <w:i/>
              </w:rPr>
              <w:t>day</w:t>
            </w:r>
          </w:p>
        </w:tc>
        <w:tc>
          <w:tcPr>
            <w:tcW w:w="2520" w:type="dxa"/>
          </w:tcPr>
          <w:p w14:paraId="04AB7D4B" w14:textId="77777777" w:rsidR="00613C75" w:rsidRPr="0021550A" w:rsidRDefault="00613C75" w:rsidP="0084606B">
            <w:pPr>
              <w:ind w:firstLine="0"/>
              <w:jc w:val="center"/>
            </w:pPr>
            <w:r w:rsidRPr="0021550A">
              <w:t>169</w:t>
            </w:r>
          </w:p>
        </w:tc>
        <w:tc>
          <w:tcPr>
            <w:tcW w:w="2340" w:type="dxa"/>
          </w:tcPr>
          <w:p w14:paraId="41F249C3" w14:textId="77777777" w:rsidR="00613C75" w:rsidRPr="0021550A" w:rsidRDefault="00613C75" w:rsidP="0084606B">
            <w:pPr>
              <w:ind w:firstLine="0"/>
              <w:jc w:val="center"/>
            </w:pPr>
            <w:r w:rsidRPr="0021550A">
              <w:t>29</w:t>
            </w:r>
          </w:p>
        </w:tc>
      </w:tr>
      <w:tr w:rsidR="00613C75" w:rsidRPr="0021550A" w14:paraId="1C453634" w14:textId="77777777" w:rsidTr="00D905A7">
        <w:tc>
          <w:tcPr>
            <w:tcW w:w="1818" w:type="dxa"/>
          </w:tcPr>
          <w:p w14:paraId="56CB796A" w14:textId="77777777" w:rsidR="00613C75" w:rsidRPr="0084606B" w:rsidRDefault="00613C75" w:rsidP="0084606B">
            <w:pPr>
              <w:ind w:firstLine="0"/>
              <w:jc w:val="center"/>
              <w:rPr>
                <w:i/>
              </w:rPr>
            </w:pPr>
            <w:r w:rsidRPr="0084606B">
              <w:rPr>
                <w:i/>
              </w:rPr>
              <w:t>daye</w:t>
            </w:r>
          </w:p>
        </w:tc>
        <w:tc>
          <w:tcPr>
            <w:tcW w:w="2520" w:type="dxa"/>
          </w:tcPr>
          <w:p w14:paraId="56FDC906" w14:textId="77777777" w:rsidR="00613C75" w:rsidRPr="0021550A" w:rsidRDefault="00613C75" w:rsidP="0084606B">
            <w:pPr>
              <w:ind w:firstLine="0"/>
              <w:jc w:val="center"/>
            </w:pPr>
            <w:r w:rsidRPr="0021550A">
              <w:t>23</w:t>
            </w:r>
          </w:p>
        </w:tc>
        <w:tc>
          <w:tcPr>
            <w:tcW w:w="2340" w:type="dxa"/>
          </w:tcPr>
          <w:p w14:paraId="6115CC23" w14:textId="77777777" w:rsidR="00613C75" w:rsidRPr="0021550A" w:rsidRDefault="00613C75" w:rsidP="0084606B">
            <w:pPr>
              <w:ind w:firstLine="0"/>
              <w:jc w:val="center"/>
            </w:pPr>
            <w:r w:rsidRPr="0021550A">
              <w:t>5</w:t>
            </w:r>
          </w:p>
        </w:tc>
      </w:tr>
    </w:tbl>
    <w:p w14:paraId="263D3A6A" w14:textId="001CA01F" w:rsidR="00613C75" w:rsidRPr="0021550A" w:rsidRDefault="00453776" w:rsidP="000737CB">
      <w:pPr>
        <w:pStyle w:val="Caption"/>
      </w:pPr>
      <w:bookmarkStart w:id="177" w:name="_Ref467959297"/>
      <w:bookmarkStart w:id="178" w:name="_Toc499753488"/>
      <w:r>
        <w:t xml:space="preserve">Table 6.4: </w:t>
      </w:r>
      <w:bookmarkEnd w:id="177"/>
      <w:r w:rsidR="00613C75" w:rsidRPr="0021550A">
        <w:t>Frequency of spelling</w:t>
      </w:r>
      <w:r w:rsidR="00176CED">
        <w:t>s</w:t>
      </w:r>
      <w:r w:rsidR="00613C75" w:rsidRPr="0021550A">
        <w:t xml:space="preserve"> used to represent </w:t>
      </w:r>
      <w:r w:rsidR="00613C75" w:rsidRPr="0021550A">
        <w:rPr>
          <w:smallCaps/>
        </w:rPr>
        <w:t>day</w:t>
      </w:r>
      <w:r w:rsidR="00613C75" w:rsidRPr="0021550A">
        <w:t xml:space="preserve"> in the </w:t>
      </w:r>
      <w:r w:rsidR="00613C75" w:rsidRPr="0021550A">
        <w:rPr>
          <w:i/>
        </w:rPr>
        <w:t>Confessio Amantis</w:t>
      </w:r>
      <w:bookmarkEnd w:id="178"/>
    </w:p>
    <w:p w14:paraId="15F6BFF7" w14:textId="77777777" w:rsidR="00613C75" w:rsidRPr="0021550A" w:rsidRDefault="00613C75" w:rsidP="000737CB"/>
    <w:p w14:paraId="6D02100D" w14:textId="77777777" w:rsidR="00A966F6" w:rsidRPr="0021550A" w:rsidRDefault="00613C75" w:rsidP="00A966F6">
      <w:r w:rsidRPr="0021550A">
        <w:t xml:space="preserve">In terms of vectors, the difference in input size is known as a difference of magnitude. Informally, magnitude refers to the length of a vector. We can see magnitude represented graphically in two dimensions in </w:t>
      </w:r>
      <w:r w:rsidR="00AE3C75">
        <w:fldChar w:fldCharType="begin"/>
      </w:r>
      <w:r w:rsidR="00AE3C75">
        <w:instrText xml:space="preserve"> REF _Ref467959401  \* MERGEFORMAT </w:instrText>
      </w:r>
      <w:r w:rsidR="00AE3C75">
        <w:fldChar w:fldCharType="separate"/>
      </w:r>
      <w:r w:rsidR="00D11844" w:rsidRPr="0021550A">
        <w:t xml:space="preserve">Figure </w:t>
      </w:r>
      <w:r w:rsidR="00D11844">
        <w:t>6.2</w:t>
      </w:r>
      <w:r w:rsidR="00AE3C75">
        <w:fldChar w:fldCharType="end"/>
      </w:r>
      <w:r w:rsidRPr="0021550A">
        <w:t xml:space="preserve">. </w:t>
      </w:r>
      <w:r w:rsidR="00AE3C75">
        <w:fldChar w:fldCharType="begin"/>
      </w:r>
      <w:r w:rsidR="00AE3C75">
        <w:instrText xml:space="preserve"> REF _Ref467959401  \* MERGEFORMAT </w:instrText>
      </w:r>
      <w:r w:rsidR="00AE3C75">
        <w:fldChar w:fldCharType="separate"/>
      </w:r>
      <w:r w:rsidR="00D11844" w:rsidRPr="0021550A">
        <w:t xml:space="preserve">Figure </w:t>
      </w:r>
      <w:r w:rsidR="00D11844">
        <w:t>6.2</w:t>
      </w:r>
      <w:r w:rsidR="00AE3C75">
        <w:fldChar w:fldCharType="end"/>
      </w:r>
      <w:r w:rsidR="00A966F6" w:rsidRPr="0021550A">
        <w:t xml:space="preserve"> shows the distribution of the spelling variants </w:t>
      </w:r>
      <w:r w:rsidR="00A966F6" w:rsidRPr="0021550A">
        <w:rPr>
          <w:i/>
          <w:iCs/>
        </w:rPr>
        <w:t>day</w:t>
      </w:r>
      <w:r w:rsidR="00A966F6" w:rsidRPr="0021550A">
        <w:t xml:space="preserve"> and </w:t>
      </w:r>
      <w:r w:rsidR="00A966F6" w:rsidRPr="0021550A">
        <w:rPr>
          <w:i/>
          <w:iCs/>
        </w:rPr>
        <w:t>daye</w:t>
      </w:r>
      <w:r w:rsidR="00A966F6" w:rsidRPr="0021550A">
        <w:t xml:space="preserve"> in the </w:t>
      </w:r>
      <w:r w:rsidR="00A966F6" w:rsidRPr="0021550A">
        <w:rPr>
          <w:i/>
          <w:iCs/>
        </w:rPr>
        <w:t>Confessio Amantis</w:t>
      </w:r>
      <w:r w:rsidR="00A966F6" w:rsidRPr="0021550A">
        <w:t xml:space="preserve">. In </w:t>
      </w:r>
      <w:r w:rsidR="00AE3C75">
        <w:fldChar w:fldCharType="begin"/>
      </w:r>
      <w:r w:rsidR="00AE3C75">
        <w:instrText xml:space="preserve"> REF _Ref467959401  \* MERGEFORMAT </w:instrText>
      </w:r>
      <w:r w:rsidR="00AE3C75">
        <w:fldChar w:fldCharType="separate"/>
      </w:r>
      <w:r w:rsidR="00D11844" w:rsidRPr="0021550A">
        <w:t xml:space="preserve">Figure </w:t>
      </w:r>
      <w:r w:rsidR="00D11844">
        <w:t>6.2</w:t>
      </w:r>
      <w:r w:rsidR="00AE3C75">
        <w:fldChar w:fldCharType="end"/>
      </w:r>
      <w:r w:rsidR="00A966F6" w:rsidRPr="0021550A">
        <w:t xml:space="preserve"> the vector representing Compositor 1 is far longer than the vector representing Compositor 2. Magnitude plays an important role in many similarity measures involving vectors, but the cosine measure is not one of them. The cosine measure only considers the angle between the two vectors, not the magnitude of either one</w:t>
      </w:r>
      <w:r w:rsidR="00A966F6">
        <w:t xml:space="preserve">, through the binding element in the bottom half of </w:t>
      </w:r>
      <w:r w:rsidR="00A966F6">
        <w:fldChar w:fldCharType="begin"/>
      </w:r>
      <w:r w:rsidR="00A966F6">
        <w:instrText xml:space="preserve"> REF _Ref467958217 </w:instrText>
      </w:r>
      <w:r w:rsidR="00A966F6">
        <w:fldChar w:fldCharType="separate"/>
      </w:r>
      <w:r w:rsidR="00D11844" w:rsidRPr="0021550A">
        <w:t xml:space="preserve">Equation </w:t>
      </w:r>
      <w:r w:rsidR="00D11844">
        <w:rPr>
          <w:noProof/>
        </w:rPr>
        <w:t>6</w:t>
      </w:r>
      <w:r w:rsidR="00D11844" w:rsidRPr="0021550A">
        <w:t>.</w:t>
      </w:r>
      <w:r w:rsidR="00D11844">
        <w:rPr>
          <w:noProof/>
        </w:rPr>
        <w:t>1</w:t>
      </w:r>
      <w:r w:rsidR="00A966F6">
        <w:fldChar w:fldCharType="end"/>
      </w:r>
      <w:r w:rsidR="00A966F6" w:rsidRPr="0021550A">
        <w:t xml:space="preserve">. As a result, no matter how long the vector for Compositor 1 becomes, the cosine score for the similarity of Compositor 1 and Compositor 2 will be the same. </w:t>
      </w:r>
    </w:p>
    <w:p w14:paraId="66F713E2" w14:textId="77777777" w:rsidR="00B35FDC" w:rsidRPr="0021550A" w:rsidRDefault="00B35FDC" w:rsidP="0084606B"/>
    <w:p w14:paraId="32D70D83" w14:textId="480CECB1" w:rsidR="00613C75" w:rsidRPr="0021550A" w:rsidRDefault="00613C75" w:rsidP="0084606B">
      <w:pPr>
        <w:ind w:firstLine="0"/>
      </w:pPr>
      <w:r w:rsidRPr="0021550A">
        <w:rPr>
          <w:noProof/>
          <w:lang w:eastAsia="en-GB"/>
        </w:rPr>
        <w:drawing>
          <wp:inline distT="0" distB="0" distL="0" distR="0" wp14:anchorId="38EDFEF1" wp14:editId="5EAAC293">
            <wp:extent cx="4715454" cy="264360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ectors for day.pdf"/>
                    <pic:cNvPicPr/>
                  </pic:nvPicPr>
                  <pic:blipFill rotWithShape="1">
                    <a:blip r:embed="rId59">
                      <a:extLst>
                        <a:ext uri="{28A0092B-C50C-407E-A947-70E740481C1C}">
                          <a14:useLocalDpi xmlns:a14="http://schemas.microsoft.com/office/drawing/2010/main"/>
                        </a:ext>
                      </a:extLst>
                    </a:blip>
                    <a:srcRect l="10282" t="6235" r="43761" b="47963"/>
                    <a:stretch/>
                  </pic:blipFill>
                  <pic:spPr bwMode="auto">
                    <a:xfrm>
                      <a:off x="0" y="0"/>
                      <a:ext cx="4972778" cy="2787862"/>
                    </a:xfrm>
                    <a:prstGeom prst="rect">
                      <a:avLst/>
                    </a:prstGeom>
                    <a:ln>
                      <a:noFill/>
                    </a:ln>
                    <a:extLst>
                      <a:ext uri="{53640926-AAD7-44D8-BBD7-CCE9431645EC}">
                        <a14:shadowObscured xmlns:a14="http://schemas.microsoft.com/office/drawing/2010/main"/>
                      </a:ext>
                    </a:extLst>
                  </pic:spPr>
                </pic:pic>
              </a:graphicData>
            </a:graphic>
          </wp:inline>
        </w:drawing>
      </w:r>
    </w:p>
    <w:p w14:paraId="7F2E2B5C" w14:textId="427549AB" w:rsidR="00613C75" w:rsidRPr="0021550A" w:rsidRDefault="00453776" w:rsidP="000737CB">
      <w:pPr>
        <w:pStyle w:val="Caption"/>
        <w:rPr>
          <w:i/>
        </w:rPr>
      </w:pPr>
      <w:bookmarkStart w:id="179" w:name="_Toc499753540"/>
      <w:r>
        <w:t>Figure 6.5:</w:t>
      </w:r>
      <w:r w:rsidR="00613C75" w:rsidRPr="0021550A">
        <w:t xml:space="preserve"> Graphical representations of </w:t>
      </w:r>
      <w:r w:rsidR="00613C75" w:rsidRPr="0021550A">
        <w:rPr>
          <w:i/>
        </w:rPr>
        <w:t>day</w:t>
      </w:r>
      <w:r w:rsidR="00613C75" w:rsidRPr="0021550A">
        <w:t xml:space="preserve"> and </w:t>
      </w:r>
      <w:r w:rsidR="00613C75" w:rsidRPr="0021550A">
        <w:rPr>
          <w:i/>
        </w:rPr>
        <w:t>daye</w:t>
      </w:r>
      <w:r w:rsidR="00613C75" w:rsidRPr="0021550A">
        <w:t xml:space="preserve"> in the </w:t>
      </w:r>
      <w:r w:rsidR="00613C75" w:rsidRPr="0021550A">
        <w:rPr>
          <w:i/>
        </w:rPr>
        <w:t>Confessio Amantis</w:t>
      </w:r>
      <w:bookmarkEnd w:id="179"/>
    </w:p>
    <w:p w14:paraId="3C1398D1" w14:textId="77777777" w:rsidR="00122AAC" w:rsidRPr="0021550A" w:rsidRDefault="00613C75" w:rsidP="00122AAC">
      <w:r w:rsidRPr="0021550A">
        <w:lastRenderedPageBreak/>
        <w:tab/>
      </w:r>
      <w:r w:rsidR="00122AAC" w:rsidRPr="0021550A">
        <w:t xml:space="preserve">In practical terms, this means that the cosine measure can still be used effectively to test the spelling variants in the </w:t>
      </w:r>
      <w:r w:rsidR="00122AAC" w:rsidRPr="0021550A">
        <w:rPr>
          <w:i/>
          <w:iCs/>
        </w:rPr>
        <w:t>Confessio Amantis</w:t>
      </w:r>
      <w:r w:rsidR="00122AAC" w:rsidRPr="0021550A">
        <w:t xml:space="preserve">, even though the frequencies for Compositor 1 </w:t>
      </w:r>
      <w:r w:rsidR="00122AAC">
        <w:t>may be</w:t>
      </w:r>
      <w:r w:rsidR="00122AAC" w:rsidRPr="0021550A">
        <w:t xml:space="preserve"> far higher than those used by Compositor 2. It is important that the cosine measure works in conditions where the size of the input is unequal. Within the texts that were type-set by two compositors, no two compositors set exactly the same length of text. As a result, the frequencies of spelling variants will always be slightly higher for one compositor than the other. It is therefore necessary that any similarity test can handle data where one part of the input is larger than the other. The ability for the cosine measure to handle input of different sizes is one of the factors that make it a suitable measure for this data. </w:t>
      </w:r>
    </w:p>
    <w:p w14:paraId="6D25FCBE" w14:textId="77777777" w:rsidR="00613C75" w:rsidRPr="0021550A" w:rsidRDefault="00613C75" w:rsidP="000737CB">
      <w:r w:rsidRPr="0021550A">
        <w:t xml:space="preserve">The cosine measure is the most appropriate choice of similarity test for the questions that I am asking and the data that I use. To answer broad questions of similarity, the cosine measure can take account of all spelling variants within a text and assess the similarity of their use between compositors. In addition, the variable nature of the data means that the output must be bound to a range for it to be meaningful as a similarity score. While other studies can use unbound output data, the spelling data and the books themselves necessitate a bound approach. The choice of similarity score was made to suit the data and questions within this study. However, though the cosine measure works well with this data, further changes to its implementation had to be made to suit the research questions. </w:t>
      </w:r>
    </w:p>
    <w:p w14:paraId="655DF75D" w14:textId="77777777" w:rsidR="00613C75" w:rsidRPr="0021550A" w:rsidRDefault="00613C75" w:rsidP="000737CB"/>
    <w:p w14:paraId="60E78BD1" w14:textId="21C00E28" w:rsidR="00613C75" w:rsidRPr="0021550A" w:rsidRDefault="00A966F6" w:rsidP="000737CB">
      <w:pPr>
        <w:pStyle w:val="Heading2"/>
      </w:pPr>
      <w:bookmarkStart w:id="180" w:name="_Ref492365120"/>
      <w:bookmarkStart w:id="181" w:name="_Toc497899865"/>
      <w:r>
        <w:t>Adjusting similarity testing for use on</w:t>
      </w:r>
      <w:r w:rsidR="00613C75" w:rsidRPr="0021550A">
        <w:t xml:space="preserve"> spelling data</w:t>
      </w:r>
      <w:bookmarkEnd w:id="180"/>
      <w:bookmarkEnd w:id="181"/>
    </w:p>
    <w:p w14:paraId="2DEBB362" w14:textId="7AB291AF" w:rsidR="00613C75" w:rsidRPr="0021550A" w:rsidRDefault="00613C75" w:rsidP="000737CB">
      <w:r w:rsidRPr="0021550A">
        <w:t>The cosine similarity measure is widely used in other fields of linguistics. However, because it has not been previously used on historical spelling data, it is necessary to make changes to the way this measure is normally used. I altered the way in which the cosine measure</w:t>
      </w:r>
      <w:r w:rsidR="00FC53B0">
        <w:t xml:space="preserve"> works</w:t>
      </w:r>
      <w:r w:rsidRPr="0021550A">
        <w:t xml:space="preserve"> by changing the types of words that underwent analysis, and by not using a query vector. This section discusses each of these </w:t>
      </w:r>
      <w:r w:rsidR="00FC53B0">
        <w:t>adjustments</w:t>
      </w:r>
      <w:r w:rsidRPr="0021550A">
        <w:t xml:space="preserve"> in turn. </w:t>
      </w:r>
    </w:p>
    <w:p w14:paraId="0F8924A2" w14:textId="77777777" w:rsidR="00FC53B0" w:rsidRPr="0021550A" w:rsidRDefault="00FC53B0" w:rsidP="00FC53B0"/>
    <w:p w14:paraId="1B4F25A2" w14:textId="090CFE92" w:rsidR="00FC53B0" w:rsidRPr="0021550A" w:rsidRDefault="00FC53B0" w:rsidP="00FC53B0">
      <w:pPr>
        <w:pStyle w:val="Heading3"/>
      </w:pPr>
      <w:bookmarkStart w:id="182" w:name="_Ref498410767"/>
      <w:r w:rsidRPr="0021550A">
        <w:t>Query Vector</w:t>
      </w:r>
      <w:bookmarkEnd w:id="182"/>
    </w:p>
    <w:p w14:paraId="466375F8" w14:textId="756A7959" w:rsidR="00FC53B0" w:rsidRPr="0021550A" w:rsidRDefault="00FC53B0" w:rsidP="00FC53B0">
      <w:r w:rsidRPr="0021550A">
        <w:t xml:space="preserve">The cosine measure for similarity is often </w:t>
      </w:r>
      <w:r>
        <w:t>used alongside</w:t>
      </w:r>
      <w:r w:rsidRPr="0021550A">
        <w:t xml:space="preserve"> a query vector. The query vector </w:t>
      </w:r>
      <w:r w:rsidR="00CB6132">
        <w:t>includes</w:t>
      </w:r>
      <w:r w:rsidRPr="0021550A">
        <w:t xml:space="preserve"> the features that the analyst wants to test against, and the result of the similarity testing shows how closely the sample matches the contents of the query vector. Query vectors are particularly useful </w:t>
      </w:r>
      <w:r w:rsidR="00F305BF">
        <w:t xml:space="preserve">for top-down analyses that include </w:t>
      </w:r>
      <w:r w:rsidRPr="0021550A">
        <w:t xml:space="preserve">investigating the contents of a text or searching for specific </w:t>
      </w:r>
      <w:r w:rsidR="00F305BF">
        <w:t xml:space="preserve">textual </w:t>
      </w:r>
      <w:r w:rsidRPr="0021550A">
        <w:t xml:space="preserve">features. For example, </w:t>
      </w:r>
      <w:r w:rsidRPr="0021550A">
        <w:lastRenderedPageBreak/>
        <w:t xml:space="preserve">we could use a query vector to investigate the extent to which texts in the Caxton dataset </w:t>
      </w:r>
      <w:r w:rsidRPr="0021550A">
        <w:lastRenderedPageBreak/>
        <w:t xml:space="preserve">make use of Chancery Standard spellings. Texts can be said to adhere to Chancery Standard if they make use of the eight spelling variants that Samuels </w:t>
      </w:r>
      <w:r w:rsidR="002618FE">
        <w:t xml:space="preserve">(1963) </w:t>
      </w:r>
      <w:r w:rsidRPr="0021550A">
        <w:t xml:space="preserve">used in his original classification. We could test whether a text from the dataset used this set of spellings by creating a query vector made of the spelling variants catalogued by Samuels. The cosine measure would run a comparison of the vector of the spellings in Caxton’s edition of </w:t>
      </w:r>
      <w:r w:rsidRPr="0021550A">
        <w:rPr>
          <w:i/>
          <w:iCs/>
        </w:rPr>
        <w:t>Paris and Vienne</w:t>
      </w:r>
      <w:r w:rsidRPr="0021550A">
        <w:t>, for example, against the query vector. The higher the score, the greater the frequency of Chancery Standard spellings in the text.</w:t>
      </w:r>
    </w:p>
    <w:p w14:paraId="70B174D2" w14:textId="77777777" w:rsidR="00FC53B0" w:rsidRPr="0021550A" w:rsidRDefault="00FC53B0" w:rsidP="00FC53B0">
      <w:pPr>
        <w:rPr>
          <w:i/>
          <w:iCs/>
        </w:rPr>
      </w:pPr>
      <w:r w:rsidRPr="0021550A">
        <w:t>The present study does not make use of a query vector. Instead of selecting individual spellings to look for, the vectors are made from the spellings used by each compositor when setting the same text. The similarity score gives an indication of the similarity between the spellings of the two compositors, not the similarity of each compositor compared to a yardstick measure.</w:t>
      </w:r>
    </w:p>
    <w:p w14:paraId="464D8401" w14:textId="77777777" w:rsidR="00613C75" w:rsidRPr="0021550A" w:rsidRDefault="00613C75" w:rsidP="000737CB"/>
    <w:p w14:paraId="26CDE631" w14:textId="77777777" w:rsidR="00613C75" w:rsidRPr="0021550A" w:rsidRDefault="00613C75" w:rsidP="000737CB">
      <w:pPr>
        <w:pStyle w:val="Heading3"/>
      </w:pPr>
      <w:r w:rsidRPr="0021550A">
        <w:t>Function words</w:t>
      </w:r>
    </w:p>
    <w:p w14:paraId="4404B8BF" w14:textId="40FD1A58" w:rsidR="00613C75" w:rsidRPr="0021550A" w:rsidRDefault="00613C75" w:rsidP="000737CB">
      <w:r w:rsidRPr="0021550A">
        <w:t xml:space="preserve">When using the cosine measure (or any other measure of similarity) for stylometric analysis, the analyst does not usually measure all the words that appear in the text. Instead, stylometric analyses tend to limit their comparison to function words </w:t>
      </w:r>
      <w:r w:rsidR="00F305BF" w:rsidRPr="00F305BF">
        <w:t>(Juola 2008:</w:t>
      </w:r>
      <w:r w:rsidR="00F305BF">
        <w:t xml:space="preserve"> </w:t>
      </w:r>
      <w:r w:rsidR="00F305BF" w:rsidRPr="00F305BF">
        <w:t>264).</w:t>
      </w:r>
      <w:r w:rsidRPr="0021550A">
        <w:t xml:space="preserve"> Function words are words such as </w:t>
      </w:r>
      <w:r w:rsidRPr="0021550A">
        <w:rPr>
          <w:i/>
          <w:iCs/>
        </w:rPr>
        <w:t>the</w:t>
      </w:r>
      <w:r w:rsidRPr="0021550A">
        <w:t xml:space="preserve">, </w:t>
      </w:r>
      <w:r w:rsidRPr="0021550A">
        <w:rPr>
          <w:i/>
          <w:iCs/>
        </w:rPr>
        <w:t>and</w:t>
      </w:r>
      <w:r w:rsidRPr="0021550A">
        <w:t xml:space="preserve">, </w:t>
      </w:r>
      <w:r w:rsidRPr="0021550A">
        <w:rPr>
          <w:i/>
          <w:iCs/>
        </w:rPr>
        <w:t>of</w:t>
      </w:r>
      <w:r w:rsidRPr="0021550A">
        <w:t>, etc., that fulfil a syntactic function through describing relationships between content words. Function words are always amongst the most frequent words used in a</w:t>
      </w:r>
      <w:r w:rsidR="00854569">
        <w:t>ny</w:t>
      </w:r>
      <w:r w:rsidRPr="0021550A">
        <w:t xml:space="preserve"> text, regardless of topic or genre, which makes their use particularly useful in stylometry. Stylometry works by comparing the way that an individual uses language and looks for similar patterns across other texts, but if an individual has written on a range of different topics, comparing his/her language use can be difficult. However, because function words are so frequent, their use can be assessed across texts that are different genres and written on different topics.</w:t>
      </w:r>
    </w:p>
    <w:p w14:paraId="04305427" w14:textId="764EFBF8" w:rsidR="00613C75" w:rsidRPr="0021550A" w:rsidRDefault="00613C75" w:rsidP="000737CB">
      <w:r w:rsidRPr="0021550A">
        <w:t xml:space="preserve">Function words are not a useful measure for spelling variation, however. Within the Caxton dataset, there is little variation in the spelling of function words. Within </w:t>
      </w:r>
      <w:r w:rsidRPr="0021550A">
        <w:rPr>
          <w:i/>
          <w:iCs/>
        </w:rPr>
        <w:t>Troilus and Criseyde</w:t>
      </w:r>
      <w:r w:rsidRPr="0021550A">
        <w:t xml:space="preserve">, there are no variant spellings for the words </w:t>
      </w:r>
      <w:r w:rsidRPr="0021550A">
        <w:rPr>
          <w:smallCaps/>
        </w:rPr>
        <w:t>and</w:t>
      </w:r>
      <w:r w:rsidRPr="0021550A">
        <w:t xml:space="preserve">, </w:t>
      </w:r>
      <w:r w:rsidRPr="0021550A">
        <w:rPr>
          <w:smallCaps/>
        </w:rPr>
        <w:t>of</w:t>
      </w:r>
      <w:r w:rsidRPr="0021550A">
        <w:t xml:space="preserve">, or </w:t>
      </w:r>
      <w:r w:rsidRPr="0021550A">
        <w:rPr>
          <w:smallCaps/>
        </w:rPr>
        <w:t>the</w:t>
      </w:r>
      <w:r w:rsidR="00854569">
        <w:t>, for example</w:t>
      </w:r>
      <w:r w:rsidRPr="0021550A">
        <w:t xml:space="preserve">. There is some slight variation in spelling variants for </w:t>
      </w:r>
      <w:r w:rsidRPr="0021550A">
        <w:rPr>
          <w:smallCaps/>
        </w:rPr>
        <w:t>in</w:t>
      </w:r>
      <w:r w:rsidRPr="0021550A">
        <w:t xml:space="preserve">, but most tokens are represented by </w:t>
      </w:r>
      <w:r w:rsidRPr="0021550A">
        <w:rPr>
          <w:i/>
          <w:iCs/>
        </w:rPr>
        <w:t>in</w:t>
      </w:r>
      <w:r w:rsidRPr="0021550A">
        <w:t xml:space="preserve"> (see </w:t>
      </w:r>
      <w:r w:rsidR="001F5127">
        <w:t>Table 6.6, below</w:t>
      </w:r>
      <w:r w:rsidRPr="0021550A">
        <w:t xml:space="preserve">). </w:t>
      </w:r>
    </w:p>
    <w:p w14:paraId="4D190AB3" w14:textId="77777777" w:rsidR="00613C75" w:rsidRPr="0021550A" w:rsidRDefault="00613C75" w:rsidP="000737CB"/>
    <w:tbl>
      <w:tblPr>
        <w:tblStyle w:val="GridTable1Light1"/>
        <w:tblW w:w="7488" w:type="dxa"/>
        <w:tblLayout w:type="fixed"/>
        <w:tblLook w:val="0020" w:firstRow="1" w:lastRow="0" w:firstColumn="0" w:lastColumn="0" w:noHBand="0" w:noVBand="0"/>
      </w:tblPr>
      <w:tblGrid>
        <w:gridCol w:w="1998"/>
        <w:gridCol w:w="2700"/>
        <w:gridCol w:w="2790"/>
      </w:tblGrid>
      <w:tr w:rsidR="00613C75" w:rsidRPr="0021550A" w14:paraId="30BDF10D" w14:textId="77777777" w:rsidTr="00D905A7">
        <w:trPr>
          <w:cnfStyle w:val="100000000000" w:firstRow="1" w:lastRow="0" w:firstColumn="0" w:lastColumn="0" w:oddVBand="0" w:evenVBand="0" w:oddHBand="0" w:evenHBand="0" w:firstRowFirstColumn="0" w:firstRowLastColumn="0" w:lastRowFirstColumn="0" w:lastRowLastColumn="0"/>
        </w:trPr>
        <w:tc>
          <w:tcPr>
            <w:tcW w:w="1998" w:type="dxa"/>
          </w:tcPr>
          <w:p w14:paraId="54BC4726" w14:textId="77777777" w:rsidR="00613C75" w:rsidRPr="0021550A" w:rsidRDefault="00613C75" w:rsidP="0084606B">
            <w:pPr>
              <w:ind w:firstLine="0"/>
              <w:jc w:val="center"/>
            </w:pPr>
          </w:p>
        </w:tc>
        <w:tc>
          <w:tcPr>
            <w:tcW w:w="2700" w:type="dxa"/>
          </w:tcPr>
          <w:p w14:paraId="560259A4" w14:textId="77777777" w:rsidR="00613C75" w:rsidRPr="0021550A" w:rsidRDefault="00613C75" w:rsidP="0084606B">
            <w:pPr>
              <w:ind w:firstLine="0"/>
              <w:jc w:val="center"/>
            </w:pPr>
            <w:r w:rsidRPr="0021550A">
              <w:t>Compositor 1</w:t>
            </w:r>
          </w:p>
        </w:tc>
        <w:tc>
          <w:tcPr>
            <w:tcW w:w="2790" w:type="dxa"/>
          </w:tcPr>
          <w:p w14:paraId="3335C471" w14:textId="77777777" w:rsidR="00613C75" w:rsidRPr="0021550A" w:rsidRDefault="00613C75" w:rsidP="0084606B">
            <w:pPr>
              <w:ind w:firstLine="0"/>
              <w:jc w:val="center"/>
            </w:pPr>
            <w:r w:rsidRPr="0021550A">
              <w:t>Compositor 2</w:t>
            </w:r>
          </w:p>
        </w:tc>
      </w:tr>
      <w:tr w:rsidR="00613C75" w:rsidRPr="0021550A" w14:paraId="336AAB9E" w14:textId="77777777" w:rsidTr="00D905A7">
        <w:tc>
          <w:tcPr>
            <w:tcW w:w="1998" w:type="dxa"/>
          </w:tcPr>
          <w:p w14:paraId="01D55CF0" w14:textId="77777777" w:rsidR="00613C75" w:rsidRPr="0084606B" w:rsidRDefault="00613C75" w:rsidP="0084606B">
            <w:pPr>
              <w:ind w:firstLine="0"/>
              <w:jc w:val="center"/>
              <w:rPr>
                <w:i/>
              </w:rPr>
            </w:pPr>
            <w:r w:rsidRPr="0084606B">
              <w:rPr>
                <w:i/>
              </w:rPr>
              <w:t>inne</w:t>
            </w:r>
          </w:p>
        </w:tc>
        <w:tc>
          <w:tcPr>
            <w:tcW w:w="2700" w:type="dxa"/>
          </w:tcPr>
          <w:p w14:paraId="715B1529" w14:textId="77777777" w:rsidR="00613C75" w:rsidRPr="0021550A" w:rsidRDefault="00613C75" w:rsidP="0084606B">
            <w:pPr>
              <w:ind w:firstLine="0"/>
              <w:jc w:val="center"/>
            </w:pPr>
            <w:r w:rsidRPr="0021550A">
              <w:t>0</w:t>
            </w:r>
          </w:p>
        </w:tc>
        <w:tc>
          <w:tcPr>
            <w:tcW w:w="2790" w:type="dxa"/>
          </w:tcPr>
          <w:p w14:paraId="4E47CC05" w14:textId="77777777" w:rsidR="00613C75" w:rsidRPr="0021550A" w:rsidRDefault="00613C75" w:rsidP="0084606B">
            <w:pPr>
              <w:ind w:firstLine="0"/>
              <w:jc w:val="center"/>
            </w:pPr>
            <w:r w:rsidRPr="0021550A">
              <w:t>3</w:t>
            </w:r>
          </w:p>
        </w:tc>
      </w:tr>
      <w:tr w:rsidR="00613C75" w:rsidRPr="0021550A" w14:paraId="5A587968" w14:textId="77777777" w:rsidTr="00D905A7">
        <w:tc>
          <w:tcPr>
            <w:tcW w:w="1998" w:type="dxa"/>
          </w:tcPr>
          <w:p w14:paraId="1E469109" w14:textId="77777777" w:rsidR="00613C75" w:rsidRPr="0084606B" w:rsidRDefault="00613C75" w:rsidP="0084606B">
            <w:pPr>
              <w:ind w:firstLine="0"/>
              <w:jc w:val="center"/>
              <w:rPr>
                <w:i/>
              </w:rPr>
            </w:pPr>
            <w:r w:rsidRPr="0084606B">
              <w:rPr>
                <w:i/>
              </w:rPr>
              <w:t>ynne</w:t>
            </w:r>
          </w:p>
        </w:tc>
        <w:tc>
          <w:tcPr>
            <w:tcW w:w="2700" w:type="dxa"/>
          </w:tcPr>
          <w:p w14:paraId="1436C86F" w14:textId="77777777" w:rsidR="00613C75" w:rsidRPr="0021550A" w:rsidRDefault="00613C75" w:rsidP="0084606B">
            <w:pPr>
              <w:ind w:firstLine="0"/>
              <w:jc w:val="center"/>
            </w:pPr>
            <w:r w:rsidRPr="0021550A">
              <w:t>5</w:t>
            </w:r>
          </w:p>
        </w:tc>
        <w:tc>
          <w:tcPr>
            <w:tcW w:w="2790" w:type="dxa"/>
          </w:tcPr>
          <w:p w14:paraId="14B40CB7" w14:textId="77777777" w:rsidR="00613C75" w:rsidRPr="0021550A" w:rsidRDefault="00613C75" w:rsidP="0084606B">
            <w:pPr>
              <w:ind w:firstLine="0"/>
              <w:jc w:val="center"/>
            </w:pPr>
            <w:r w:rsidRPr="0021550A">
              <w:t>0</w:t>
            </w:r>
          </w:p>
        </w:tc>
      </w:tr>
      <w:tr w:rsidR="00613C75" w:rsidRPr="0021550A" w14:paraId="0C347A2D" w14:textId="77777777" w:rsidTr="00D905A7">
        <w:tc>
          <w:tcPr>
            <w:tcW w:w="1998" w:type="dxa"/>
          </w:tcPr>
          <w:p w14:paraId="0F367C13" w14:textId="77777777" w:rsidR="00613C75" w:rsidRPr="0084606B" w:rsidRDefault="00613C75" w:rsidP="0084606B">
            <w:pPr>
              <w:ind w:firstLine="0"/>
              <w:jc w:val="center"/>
              <w:rPr>
                <w:i/>
              </w:rPr>
            </w:pPr>
            <w:r w:rsidRPr="0084606B">
              <w:rPr>
                <w:i/>
              </w:rPr>
              <w:t>in</w:t>
            </w:r>
          </w:p>
        </w:tc>
        <w:tc>
          <w:tcPr>
            <w:tcW w:w="2700" w:type="dxa"/>
          </w:tcPr>
          <w:p w14:paraId="3842B0F5" w14:textId="77777777" w:rsidR="00613C75" w:rsidRPr="0021550A" w:rsidRDefault="00613C75" w:rsidP="0084606B">
            <w:pPr>
              <w:ind w:firstLine="0"/>
              <w:jc w:val="center"/>
            </w:pPr>
            <w:r w:rsidRPr="0021550A">
              <w:t>623</w:t>
            </w:r>
          </w:p>
        </w:tc>
        <w:tc>
          <w:tcPr>
            <w:tcW w:w="2790" w:type="dxa"/>
          </w:tcPr>
          <w:p w14:paraId="718B687D" w14:textId="77777777" w:rsidR="00613C75" w:rsidRPr="0021550A" w:rsidRDefault="00613C75" w:rsidP="0084606B">
            <w:pPr>
              <w:ind w:firstLine="0"/>
              <w:jc w:val="center"/>
            </w:pPr>
            <w:r w:rsidRPr="0021550A">
              <w:t>623</w:t>
            </w:r>
          </w:p>
        </w:tc>
      </w:tr>
    </w:tbl>
    <w:p w14:paraId="543FC013" w14:textId="1C97F126" w:rsidR="00613C75" w:rsidRPr="0021550A" w:rsidRDefault="00453776" w:rsidP="000737CB">
      <w:pPr>
        <w:pStyle w:val="Caption"/>
        <w:rPr>
          <w:i/>
        </w:rPr>
      </w:pPr>
      <w:bookmarkStart w:id="183" w:name="_Toc499753489"/>
      <w:r>
        <w:lastRenderedPageBreak/>
        <w:t>Table 6.6:</w:t>
      </w:r>
      <w:r w:rsidR="00613C75" w:rsidRPr="0021550A">
        <w:t xml:space="preserve"> Distribution of spelling variants for </w:t>
      </w:r>
      <w:r w:rsidR="00613C75" w:rsidRPr="0021550A">
        <w:rPr>
          <w:smallCaps/>
        </w:rPr>
        <w:t>in</w:t>
      </w:r>
      <w:r w:rsidR="00613C75" w:rsidRPr="0021550A">
        <w:t xml:space="preserve"> in </w:t>
      </w:r>
      <w:r w:rsidR="00613C75" w:rsidRPr="0021550A">
        <w:rPr>
          <w:i/>
        </w:rPr>
        <w:t>Troilus and Criseyde</w:t>
      </w:r>
      <w:bookmarkEnd w:id="183"/>
    </w:p>
    <w:p w14:paraId="2CB88DCB" w14:textId="77777777" w:rsidR="00613C75" w:rsidRPr="0021550A" w:rsidRDefault="00613C75" w:rsidP="000737CB"/>
    <w:p w14:paraId="3F246602" w14:textId="1EA775E9" w:rsidR="00613C75" w:rsidRPr="0021550A" w:rsidRDefault="00613C75" w:rsidP="000737CB">
      <w:r w:rsidRPr="0021550A">
        <w:t xml:space="preserve">Function words are not the best way to examine spelling variation in fifteenth-century printed texts due to this lack of variation. That is not to say that there is not enough spelling variation to examine the way in which different compositors make use of spellings (see the strong distinction between uses of </w:t>
      </w:r>
      <w:r w:rsidRPr="0021550A">
        <w:rPr>
          <w:smallCaps/>
        </w:rPr>
        <w:t>alone</w:t>
      </w:r>
      <w:r w:rsidRPr="0021550A">
        <w:t xml:space="preserve"> spelling variants in </w:t>
      </w:r>
      <w:r w:rsidR="00AE3C75">
        <w:fldChar w:fldCharType="begin"/>
      </w:r>
      <w:r w:rsidR="00AE3C75">
        <w:instrText xml:space="preserve"> REF _Ref467956762  \* MERGEFORMAT </w:instrText>
      </w:r>
      <w:r w:rsidR="00AE3C75">
        <w:fldChar w:fldCharType="separate"/>
      </w:r>
      <w:r w:rsidR="00D11844" w:rsidRPr="0021550A">
        <w:t xml:space="preserve">Table </w:t>
      </w:r>
      <w:r w:rsidR="00D11844">
        <w:t>6.1</w:t>
      </w:r>
      <w:r w:rsidR="00AE3C75">
        <w:fldChar w:fldCharType="end"/>
      </w:r>
      <w:r w:rsidRPr="0021550A">
        <w:t>, for example). In this study, instead of limiting the range of words used to function words (as in stylometric analyses), or to a particular semantic field (as in semantic analyses), I include all words that are spelt in more than one way by an individual compositor.</w:t>
      </w:r>
      <w:r w:rsidR="00D15AA7">
        <w:t xml:space="preserve"> By including all the spellings for words with variable orthography the data is as representative of the compositors’ orthographic idiolect as possible.</w:t>
      </w:r>
    </w:p>
    <w:p w14:paraId="6A52DE51" w14:textId="77777777" w:rsidR="00613C75" w:rsidRDefault="00613C75" w:rsidP="000737CB"/>
    <w:p w14:paraId="3EBBB418" w14:textId="59721009" w:rsidR="008B780C" w:rsidRPr="0021550A" w:rsidRDefault="008B780C" w:rsidP="008B780C">
      <w:pPr>
        <w:pStyle w:val="Heading2"/>
      </w:pPr>
      <w:bookmarkStart w:id="184" w:name="_Ref499629608"/>
      <w:r>
        <w:t xml:space="preserve">Case study: </w:t>
      </w:r>
      <w:r>
        <w:rPr>
          <w:i/>
        </w:rPr>
        <w:t>Reynard the Fox</w:t>
      </w:r>
      <w:bookmarkEnd w:id="184"/>
    </w:p>
    <w:p w14:paraId="463997FD" w14:textId="29EC173E" w:rsidR="008B780C" w:rsidRPr="00627121" w:rsidRDefault="008B780C" w:rsidP="008B780C">
      <w:r>
        <w:t>One of the key aims of this</w:t>
      </w:r>
      <w:r w:rsidR="002B3671">
        <w:t xml:space="preserve"> thesis is to devise methods for identifying and isolating different orthographic idiolects that were used by the compositors who typeset Caxton’s texts and the scribes who wrote the copy texts that the compositors used. To find out whether changes in idiolect have taken pla</w:t>
      </w:r>
      <w:r w:rsidR="003E69A1">
        <w:t xml:space="preserve">ce, it is important to know the extent to which the spellings used by the individuals working on Caxton’s texts were stable, that is, whether they used the same spellings at the same rates throughout the work that they undertook. </w:t>
      </w:r>
      <w:r w:rsidR="00627121">
        <w:t xml:space="preserve">This case study makes use of Caxton’s first edition of </w:t>
      </w:r>
      <w:r w:rsidR="00627121">
        <w:rPr>
          <w:i/>
        </w:rPr>
        <w:t>Reynard the Fox</w:t>
      </w:r>
      <w:r w:rsidR="00627121">
        <w:t xml:space="preserve"> to find out whether the compositor who set the type for this text used the same spellings throughout the text. </w:t>
      </w:r>
    </w:p>
    <w:p w14:paraId="0EB0F847" w14:textId="746F9579" w:rsidR="00627121" w:rsidRDefault="008B780C" w:rsidP="008B780C">
      <w:r w:rsidRPr="0021550A">
        <w:t xml:space="preserve">The similarity </w:t>
      </w:r>
      <w:r>
        <w:t>testing</w:t>
      </w:r>
      <w:r w:rsidRPr="0021550A">
        <w:t xml:space="preserve"> tells us how similar two sets of numerical data are. By determining how similar different parts of the same text are, it is possible to use the similarity measure to investigate two main features of the texts: we can find out whether the spellings used throughout any given section of text remain the same, and we can find out how different two sections of the same text are to one another. </w:t>
      </w:r>
      <w:r w:rsidR="00627121">
        <w:t xml:space="preserve">In reality, these two features are explored in the same way; to find out whether </w:t>
      </w:r>
      <w:r w:rsidR="00573282">
        <w:t>one orthographic idiolect remains stable throughout a text</w:t>
      </w:r>
      <w:r w:rsidR="00F456F1">
        <w:t xml:space="preserve">, I divide the text into smaller sections and compare these sections against each other to find out whether the similarity remains high throughout the text. </w:t>
      </w:r>
    </w:p>
    <w:p w14:paraId="072A7CB7" w14:textId="77777777" w:rsidR="00FA6E02" w:rsidRDefault="00DE22AF" w:rsidP="008B780C">
      <w:r>
        <w:t xml:space="preserve">The results from the cluster analysis undertaken on </w:t>
      </w:r>
      <w:r>
        <w:rPr>
          <w:i/>
        </w:rPr>
        <w:t>Troilus and Criseyde</w:t>
      </w:r>
      <w:r>
        <w:t xml:space="preserve"> in Section </w:t>
      </w:r>
      <w:r>
        <w:fldChar w:fldCharType="begin"/>
      </w:r>
      <w:r>
        <w:instrText xml:space="preserve"> REF _Ref497478756 \r </w:instrText>
      </w:r>
      <w:r>
        <w:fldChar w:fldCharType="separate"/>
      </w:r>
      <w:r w:rsidR="00D11844">
        <w:t>5.4</w:t>
      </w:r>
      <w:r>
        <w:fldChar w:fldCharType="end"/>
      </w:r>
      <w:r>
        <w:t xml:space="preserve"> suggest implicitly that the compositors broadly used the same spellings throughout their typesetting work. The cluster analysis showed that the quires that were typeset by a single compositor were clustered together because they contain similar spellings to each other. </w:t>
      </w:r>
      <w:r w:rsidR="008B780C" w:rsidRPr="0021550A">
        <w:t xml:space="preserve">Were the compositors changing their spellings partway through </w:t>
      </w:r>
      <w:r w:rsidR="008B780C" w:rsidRPr="0021550A">
        <w:lastRenderedPageBreak/>
        <w:t xml:space="preserve">their typesetting, we would expect that some of the quires typeset by a compositor would </w:t>
      </w:r>
      <w:r w:rsidR="008B780C" w:rsidRPr="0021550A">
        <w:lastRenderedPageBreak/>
        <w:t xml:space="preserve">be clustered separately </w:t>
      </w:r>
      <w:r w:rsidR="008B780C">
        <w:t>from</w:t>
      </w:r>
      <w:r w:rsidR="008B780C" w:rsidRPr="0021550A">
        <w:t xml:space="preserve"> the others. Thus, the previous work in this thesis suggests that compositors do not appear to change their spellings partway through typesetting. </w:t>
      </w:r>
    </w:p>
    <w:p w14:paraId="00BF667A" w14:textId="03FF2118" w:rsidR="008B780C" w:rsidRPr="0021550A" w:rsidRDefault="008B780C" w:rsidP="008B780C">
      <w:r w:rsidRPr="0021550A">
        <w:t xml:space="preserve">It is possible to corroborate the findings from previous chapters by measuring the similarity between different sections of text that were typeset by the same compositor. By measuring the difference in the spellings used by one compositor, we ensure that compositors’ use of spelling variants remains stable throughout their typesetting within a single text. Additionally, by measuring the difference between the spellings that are used by one compositor at intervals within a text, we then know the level of similarity expected between text that was typeset by one compositor within the same book. In this way, we create a baseline measure that incorporates the variation in spellings that we can expect within the language of one compositor. In exploring this research question this section begins by taking Caxton’s text of </w:t>
      </w:r>
      <w:r w:rsidRPr="0021550A">
        <w:rPr>
          <w:i/>
        </w:rPr>
        <w:t>Reynard the Fox</w:t>
      </w:r>
      <w:r w:rsidRPr="0021550A">
        <w:t xml:space="preserve"> as a case study, before expanding the analysis into the wider dataset. </w:t>
      </w:r>
    </w:p>
    <w:p w14:paraId="49CAF989" w14:textId="4C83B507" w:rsidR="008B780C" w:rsidRPr="0021550A" w:rsidRDefault="008B780C" w:rsidP="008B780C">
      <w:r w:rsidRPr="0021550A">
        <w:t xml:space="preserve">Caxton’s </w:t>
      </w:r>
      <w:r w:rsidRPr="0021550A">
        <w:rPr>
          <w:i/>
        </w:rPr>
        <w:t>Reynard</w:t>
      </w:r>
      <w:r w:rsidRPr="0021550A">
        <w:t xml:space="preserve"> is ideal for this study, because the text is typeset by one compositor and there is no evidence to suggest that there is a change in the copy text that was used to create Caxton’s edition. Additionally, cluster analysis undertaken </w:t>
      </w:r>
      <w:r w:rsidR="00F27D38">
        <w:t>on the quires of the text does</w:t>
      </w:r>
      <w:r w:rsidRPr="0021550A">
        <w:t xml:space="preserve"> not yield coherent clusters of quires, which suggests that there is no broad difference in the spelling variants used throughout the text. We therefore know what the results of measuring the similarity of sections of </w:t>
      </w:r>
      <w:r w:rsidRPr="0021550A">
        <w:rPr>
          <w:i/>
        </w:rPr>
        <w:t>Reynard the Fox</w:t>
      </w:r>
      <w:r w:rsidRPr="0021550A">
        <w:t xml:space="preserve"> against one another should be—the sections of text should be similar throughout, because no changes in the spelling, compositor, or the copy text have been detected. </w:t>
      </w:r>
      <w:r w:rsidR="00085517">
        <w:t xml:space="preserve">The similarity testing should add to our existing knowledge of the text to provide a numeric idea of the similarity score expected of other texts or sections of texts that were typeset by one compositor. </w:t>
      </w:r>
    </w:p>
    <w:p w14:paraId="0AD3E4DA" w14:textId="1634BC07" w:rsidR="008B780C" w:rsidRPr="0021550A" w:rsidRDefault="008B780C" w:rsidP="008B780C">
      <w:r w:rsidRPr="0021550A">
        <w:t xml:space="preserve">To find out whether the same spellings are used throughout the text for </w:t>
      </w:r>
      <w:r w:rsidRPr="0021550A">
        <w:rPr>
          <w:i/>
        </w:rPr>
        <w:t>Reynard the Fox</w:t>
      </w:r>
      <w:r w:rsidRPr="0021550A">
        <w:t xml:space="preserve"> we can take similarity measurements over different samples of the text. The sampling is best undertaken </w:t>
      </w:r>
      <w:r w:rsidR="00085517">
        <w:t>on a range of different samples of the text</w:t>
      </w:r>
      <w:r w:rsidRPr="0021550A">
        <w:t xml:space="preserve"> and the mean of the similarity scores </w:t>
      </w:r>
      <w:r w:rsidR="00085517">
        <w:t>calculated</w:t>
      </w:r>
      <w:r w:rsidRPr="0021550A">
        <w:t xml:space="preserve"> so that the overall similarity throughout the text can be obtained. We expect a low standard deviation from the mean for similarity scores taken over the text; </w:t>
      </w:r>
      <w:r w:rsidR="00085517">
        <w:t xml:space="preserve">that is, we do not expect there to be a big difference between the mean similarity score for </w:t>
      </w:r>
      <w:r w:rsidR="00085517">
        <w:rPr>
          <w:i/>
        </w:rPr>
        <w:t xml:space="preserve">Reynard the Fox </w:t>
      </w:r>
      <w:r w:rsidR="00085517">
        <w:t>overall when compared with the individual similarity scores for smaller sections of the text. A</w:t>
      </w:r>
      <w:r w:rsidRPr="0021550A">
        <w:t xml:space="preserve"> high standard deviation would suggest that a change in the spellings in one part of the text has taken place. </w:t>
      </w:r>
    </w:p>
    <w:p w14:paraId="63AE1E52" w14:textId="77777777" w:rsidR="00B81C16" w:rsidRDefault="008B780C" w:rsidP="00B81C16">
      <w:r w:rsidRPr="0021550A">
        <w:t xml:space="preserve">The mean similarity score for the spellings used throughout Caxton’s first edition of </w:t>
      </w:r>
      <w:r w:rsidRPr="0021550A">
        <w:rPr>
          <w:i/>
        </w:rPr>
        <w:t>Reynard the Fox</w:t>
      </w:r>
      <w:r w:rsidRPr="0021550A">
        <w:t xml:space="preserve"> is 0.92, which is a particularly high score on the scale from 0 to 1. The standard deviation from the mean similarity score is 0.014, which means that the similarity scores for different sections of </w:t>
      </w:r>
      <w:r w:rsidRPr="0021550A">
        <w:rPr>
          <w:i/>
        </w:rPr>
        <w:t>Reynard the Fox</w:t>
      </w:r>
      <w:r w:rsidRPr="0021550A">
        <w:t xml:space="preserve"> are usually within the range of 0.906 and </w:t>
      </w:r>
      <w:r w:rsidRPr="0021550A">
        <w:lastRenderedPageBreak/>
        <w:t>0.934.</w:t>
      </w:r>
      <w:r w:rsidR="00085517">
        <w:rPr>
          <w:rStyle w:val="FootnoteReference"/>
        </w:rPr>
        <w:footnoteReference w:id="15"/>
      </w:r>
      <w:r w:rsidRPr="0021550A">
        <w:t xml:space="preserve"> The standard deviation is low, because it accounts for only 1.5% of the mean, </w:t>
      </w:r>
      <w:r w:rsidR="00085517">
        <w:t xml:space="preserve">and so this means that similarity scores undertaken on different parts of the text all tend to be close to the mean. There are no cases of similarity scores that are far lower than the mean, which would have suggested that </w:t>
      </w:r>
      <w:r w:rsidRPr="0021550A">
        <w:t xml:space="preserve">there are no locations within the text where the similarity score is drastically lower than the mean. </w:t>
      </w:r>
    </w:p>
    <w:p w14:paraId="7DFF233B" w14:textId="19438383" w:rsidR="008B780C" w:rsidRPr="00B81C16" w:rsidRDefault="00B81C16" w:rsidP="00B81C16">
      <w:r>
        <w:t xml:space="preserve">The spellings within </w:t>
      </w:r>
      <w:r>
        <w:rPr>
          <w:i/>
        </w:rPr>
        <w:t>Reynard the Fox</w:t>
      </w:r>
      <w:r>
        <w:t xml:space="preserve"> do not have a one-to-one relationship with the words that they are used to represent. In this text, as in other fifteenth-century writing, one word can be represented by the use of more than one spelling. </w:t>
      </w:r>
      <w:r w:rsidR="008B780C" w:rsidRPr="0021550A">
        <w:t xml:space="preserve">This basic statistical analysis suggests that the spellings used throughout the text of Caxton’s first edition of </w:t>
      </w:r>
      <w:r w:rsidR="008B780C" w:rsidRPr="0021550A">
        <w:rPr>
          <w:i/>
        </w:rPr>
        <w:t>Reynard the Fox</w:t>
      </w:r>
      <w:r w:rsidR="008B780C" w:rsidRPr="0021550A">
        <w:t xml:space="preserve"> are stable; the compositor does not change the spellings that he uses in any part of the text, nor does he change the ratios of use for the spellings in the text.</w:t>
      </w:r>
    </w:p>
    <w:p w14:paraId="09A62B4A" w14:textId="77777777" w:rsidR="008B780C" w:rsidRPr="0021550A" w:rsidRDefault="008B780C" w:rsidP="000737CB"/>
    <w:p w14:paraId="23CABEE1" w14:textId="0BF49BD7" w:rsidR="007A7710" w:rsidRDefault="007A7710" w:rsidP="007A7710">
      <w:pPr>
        <w:pStyle w:val="Heading2"/>
      </w:pPr>
      <w:bookmarkStart w:id="185" w:name="_Toc497899868"/>
      <w:r>
        <w:t xml:space="preserve">Chapter </w:t>
      </w:r>
      <w:bookmarkEnd w:id="185"/>
      <w:r w:rsidR="00B81C16">
        <w:t>conclusions</w:t>
      </w:r>
    </w:p>
    <w:p w14:paraId="265D48E6" w14:textId="77777777" w:rsidR="00D7760F" w:rsidRDefault="0084606B" w:rsidP="0084606B">
      <w:r>
        <w:t xml:space="preserve">This chapter has introduced the use of similarity testing to find out whether two sections of text include similar spellings. </w:t>
      </w:r>
      <w:r w:rsidR="00C87509">
        <w:t xml:space="preserve">Section </w:t>
      </w:r>
      <w:r w:rsidR="00C87509">
        <w:fldChar w:fldCharType="begin"/>
      </w:r>
      <w:r w:rsidR="00C87509">
        <w:instrText xml:space="preserve"> REF _Ref498440970 \r </w:instrText>
      </w:r>
      <w:r w:rsidR="00C87509">
        <w:fldChar w:fldCharType="separate"/>
      </w:r>
      <w:r w:rsidR="00D11844">
        <w:t>6.1</w:t>
      </w:r>
      <w:r w:rsidR="00C87509">
        <w:fldChar w:fldCharType="end"/>
      </w:r>
      <w:r w:rsidR="00C87509">
        <w:t xml:space="preserve"> provides detail on how similarity testing works, and I discuss the benefits of using the cosine measure as a test for similarity on the current dataset. </w:t>
      </w:r>
      <w:r>
        <w:t xml:space="preserve">The necessary adjustments for similarity measurements to work on spelling data are discussed in Section </w:t>
      </w:r>
      <w:r>
        <w:fldChar w:fldCharType="begin"/>
      </w:r>
      <w:r>
        <w:instrText xml:space="preserve"> REF _Ref492365120 \r </w:instrText>
      </w:r>
      <w:r>
        <w:fldChar w:fldCharType="separate"/>
      </w:r>
      <w:r w:rsidR="00D11844">
        <w:t>6.2</w:t>
      </w:r>
      <w:r>
        <w:fldChar w:fldCharType="end"/>
      </w:r>
      <w:r w:rsidR="00C87509">
        <w:t>, including the use of function words and the decision not to make use of a query vector as part of the analysis</w:t>
      </w:r>
      <w:r>
        <w:t xml:space="preserve">. In Section </w:t>
      </w:r>
      <w:r w:rsidR="00B81C16">
        <w:fldChar w:fldCharType="begin"/>
      </w:r>
      <w:r w:rsidR="00B81C16">
        <w:instrText xml:space="preserve"> REF _Ref499629608 \r </w:instrText>
      </w:r>
      <w:r w:rsidR="00B81C16">
        <w:fldChar w:fldCharType="separate"/>
      </w:r>
      <w:r w:rsidR="00D11844">
        <w:t>6.3</w:t>
      </w:r>
      <w:r w:rsidR="00B81C16">
        <w:fldChar w:fldCharType="end"/>
      </w:r>
      <w:r>
        <w:t xml:space="preserve"> I show that similarity testing can be used to show whether the same spellings are used throughout a section of text. </w:t>
      </w:r>
    </w:p>
    <w:p w14:paraId="1D1209D7" w14:textId="65722189" w:rsidR="005114E6" w:rsidRPr="005114E6" w:rsidRDefault="00B81C16" w:rsidP="0084606B">
      <w:r>
        <w:t xml:space="preserve">Through exploring the text of </w:t>
      </w:r>
      <w:r>
        <w:rPr>
          <w:i/>
        </w:rPr>
        <w:t>Reynard the Fox</w:t>
      </w:r>
      <w:r>
        <w:t>, this chapter shows that the spellings used by the individual compositor are stable—there is no change in the spellings that the compositor uses, nor a change in the rates at which each of those spellings are used thro</w:t>
      </w:r>
      <w:r w:rsidR="00D7760F">
        <w:t>ughout the text, though the compositor uses a variable set of spellings where more than one spelling is used to represent one word.</w:t>
      </w:r>
      <w:r w:rsidR="005114E6">
        <w:t xml:space="preserve"> In </w:t>
      </w:r>
      <w:r w:rsidR="005114E6">
        <w:rPr>
          <w:i/>
        </w:rPr>
        <w:t>Reynard the Fox</w:t>
      </w:r>
      <w:r w:rsidR="005114E6">
        <w:t xml:space="preserve"> the similarity testing scored the spellings at 0.91 for their similarity throughout the text. In Section </w:t>
      </w:r>
      <w:r w:rsidR="005114E6">
        <w:fldChar w:fldCharType="begin"/>
      </w:r>
      <w:r w:rsidR="005114E6">
        <w:instrText xml:space="preserve"> REF _Ref498622569 \r </w:instrText>
      </w:r>
      <w:r w:rsidR="005114E6">
        <w:fldChar w:fldCharType="separate"/>
      </w:r>
      <w:r w:rsidR="00D11844">
        <w:t>8.1</w:t>
      </w:r>
      <w:r w:rsidR="005114E6">
        <w:fldChar w:fldCharType="end"/>
      </w:r>
      <w:r w:rsidR="005114E6">
        <w:t xml:space="preserve"> I expand on this score to show that the similarity scores for other texts that were typeset by one compositor are also around the same figure. </w:t>
      </w:r>
    </w:p>
    <w:p w14:paraId="0B41DDF0" w14:textId="667D7562" w:rsidR="0084606B" w:rsidRDefault="00D7760F" w:rsidP="0084606B">
      <w:r>
        <w:t xml:space="preserve"> This result suggests not only that the spellings used by compositors are highly stable, but also that the copy texts that the compositors used were also highly stable in their spelling use. Had the copy text of </w:t>
      </w:r>
      <w:r>
        <w:rPr>
          <w:i/>
        </w:rPr>
        <w:t>Reynard the Fox</w:t>
      </w:r>
      <w:r>
        <w:t xml:space="preserve"> contained sections of text in which different </w:t>
      </w:r>
      <w:r w:rsidR="000C728F">
        <w:t xml:space="preserve">spellings were used, then some of these spellings would have been copied into the printed text by the compositor. In that case, the same sections that contained different </w:t>
      </w:r>
      <w:r w:rsidR="000C728F">
        <w:lastRenderedPageBreak/>
        <w:t>spellings would also have been detectable i</w:t>
      </w:r>
      <w:r w:rsidR="005114E6">
        <w:t>n the printed text. In Chapter 8</w:t>
      </w:r>
      <w:r w:rsidR="000C728F">
        <w:t>, I discuss some such texts where one compositor typeset a text or section of text that includes different orthographic idiolects within th</w:t>
      </w:r>
      <w:r w:rsidR="005114E6">
        <w:t xml:space="preserve">e copy text. </w:t>
      </w:r>
      <w:r w:rsidR="005B098B">
        <w:t xml:space="preserve">This section has developed quantitative methods for the study of spelling variation, and </w:t>
      </w:r>
      <w:r w:rsidR="00CE67BF">
        <w:t xml:space="preserve">the next section, </w:t>
      </w:r>
      <w:r w:rsidR="005B098B">
        <w:t>Section Three</w:t>
      </w:r>
      <w:r w:rsidR="00CE67BF">
        <w:t>,</w:t>
      </w:r>
      <w:r>
        <w:t xml:space="preserve"> applies these methods </w:t>
      </w:r>
      <w:r w:rsidR="005B098B">
        <w:t xml:space="preserve">to </w:t>
      </w:r>
      <w:r w:rsidR="00CE67BF">
        <w:t xml:space="preserve">Caxton’s texts. </w:t>
      </w:r>
    </w:p>
    <w:p w14:paraId="6F4E35E9" w14:textId="77777777" w:rsidR="00E13B92" w:rsidRDefault="00E13B92" w:rsidP="000737CB"/>
    <w:p w14:paraId="64E4F6AC" w14:textId="77777777" w:rsidR="003E685F" w:rsidRDefault="003E685F" w:rsidP="000737CB">
      <w:pPr>
        <w:sectPr w:rsidR="003E685F" w:rsidSect="00BB5184">
          <w:headerReference w:type="default" r:id="rId60"/>
          <w:footerReference w:type="even" r:id="rId61"/>
          <w:footerReference w:type="default" r:id="rId62"/>
          <w:pgSz w:w="11900" w:h="16840"/>
          <w:pgMar w:top="1440" w:right="1440" w:bottom="1440" w:left="1440" w:header="720" w:footer="1008" w:gutter="1152"/>
          <w:cols w:space="720"/>
          <w:docGrid w:linePitch="360"/>
        </w:sectPr>
      </w:pPr>
    </w:p>
    <w:p w14:paraId="296BD881" w14:textId="07E48592" w:rsidR="0084606B" w:rsidRDefault="0084606B" w:rsidP="000737CB"/>
    <w:p w14:paraId="7E72BBCD" w14:textId="77777777" w:rsidR="0084606B" w:rsidRDefault="0084606B" w:rsidP="000737CB"/>
    <w:p w14:paraId="2186B580" w14:textId="77777777" w:rsidR="0084606B" w:rsidRDefault="0084606B" w:rsidP="000737CB"/>
    <w:p w14:paraId="26771020" w14:textId="77777777" w:rsidR="00E13B92" w:rsidRDefault="00E13B92" w:rsidP="000737CB"/>
    <w:p w14:paraId="0816F5FD" w14:textId="34A4AFBB" w:rsidR="00A97164" w:rsidRDefault="007C1FE6" w:rsidP="003E685F">
      <w:pPr>
        <w:pStyle w:val="Title"/>
      </w:pPr>
      <w:r>
        <w:br w:type="page"/>
      </w:r>
    </w:p>
    <w:p w14:paraId="5770F4CC" w14:textId="77777777" w:rsidR="007D3676" w:rsidRDefault="007D3676" w:rsidP="007D3676"/>
    <w:p w14:paraId="4C2FE836" w14:textId="77777777" w:rsidR="007D3676" w:rsidRDefault="007D3676" w:rsidP="007D3676">
      <w:pPr>
        <w:ind w:firstLine="0"/>
      </w:pPr>
    </w:p>
    <w:p w14:paraId="6F333E44" w14:textId="77777777" w:rsidR="003E685F" w:rsidRDefault="003E685F" w:rsidP="003E685F">
      <w:bookmarkStart w:id="186" w:name="_Toc497899869"/>
    </w:p>
    <w:p w14:paraId="686B61BF" w14:textId="77777777" w:rsidR="003E685F" w:rsidRDefault="003E685F" w:rsidP="007A5994">
      <w:pPr>
        <w:pStyle w:val="Title"/>
      </w:pPr>
    </w:p>
    <w:p w14:paraId="541A534D" w14:textId="0A301859" w:rsidR="003E685F" w:rsidRDefault="007D3676" w:rsidP="007D3676">
      <w:pPr>
        <w:pStyle w:val="Title"/>
        <w:spacing w:line="240" w:lineRule="auto"/>
        <w:jc w:val="center"/>
        <w:rPr>
          <w:smallCaps/>
        </w:rPr>
      </w:pPr>
      <w:r>
        <w:rPr>
          <w:smallCaps/>
        </w:rPr>
        <w:t>Section Three – A</w:t>
      </w:r>
      <w:r w:rsidR="00E13B92" w:rsidRPr="007D3676">
        <w:rPr>
          <w:smallCaps/>
        </w:rPr>
        <w:t>pplication</w:t>
      </w:r>
      <w:r w:rsidR="006A2745">
        <w:rPr>
          <w:smallCaps/>
        </w:rPr>
        <w:t xml:space="preserve">s of quantitative methodology </w:t>
      </w:r>
      <w:r w:rsidR="00E13B92" w:rsidRPr="007D3676">
        <w:rPr>
          <w:smallCaps/>
        </w:rPr>
        <w:t>to Caxton’s texts</w:t>
      </w:r>
      <w:bookmarkEnd w:id="186"/>
    </w:p>
    <w:p w14:paraId="4A1AFC69" w14:textId="77777777" w:rsidR="003E685F" w:rsidRDefault="003E685F" w:rsidP="003E685F"/>
    <w:p w14:paraId="085233E5" w14:textId="77777777" w:rsidR="003E685F" w:rsidRDefault="003E685F" w:rsidP="003E685F"/>
    <w:p w14:paraId="549D934F" w14:textId="77777777" w:rsidR="003E685F" w:rsidRDefault="003E685F" w:rsidP="003E685F"/>
    <w:p w14:paraId="3C29239A" w14:textId="77777777" w:rsidR="003E685F" w:rsidRDefault="003E685F" w:rsidP="003E685F"/>
    <w:p w14:paraId="1147A5FD" w14:textId="77777777" w:rsidR="003E685F" w:rsidRDefault="003E685F" w:rsidP="003E685F"/>
    <w:p w14:paraId="04B782A0" w14:textId="77777777" w:rsidR="003E685F" w:rsidRDefault="003E685F" w:rsidP="003E685F"/>
    <w:p w14:paraId="0F1AF1F2" w14:textId="77777777" w:rsidR="003E685F" w:rsidRDefault="003E685F" w:rsidP="003E685F"/>
    <w:p w14:paraId="17C07EC6" w14:textId="77777777" w:rsidR="003E685F" w:rsidRDefault="003E685F" w:rsidP="003E685F"/>
    <w:p w14:paraId="4ECC2BB3" w14:textId="77777777" w:rsidR="003E685F" w:rsidRDefault="003E685F" w:rsidP="003E685F"/>
    <w:p w14:paraId="65D25B99" w14:textId="77777777" w:rsidR="003E685F" w:rsidRDefault="003E685F" w:rsidP="003E685F">
      <w:pPr>
        <w:sectPr w:rsidR="003E685F" w:rsidSect="003E685F">
          <w:footerReference w:type="default" r:id="rId63"/>
          <w:type w:val="continuous"/>
          <w:pgSz w:w="11900" w:h="16840"/>
          <w:pgMar w:top="1440" w:right="1440" w:bottom="1440" w:left="1440" w:header="720" w:footer="720" w:gutter="1152"/>
          <w:cols w:space="720"/>
          <w:docGrid w:linePitch="360"/>
        </w:sectPr>
      </w:pPr>
    </w:p>
    <w:p w14:paraId="53A171D9" w14:textId="77777777" w:rsidR="003E685F" w:rsidRDefault="003E685F" w:rsidP="003E685F">
      <w:pPr>
        <w:sectPr w:rsidR="003E685F" w:rsidSect="003E685F">
          <w:footerReference w:type="default" r:id="rId64"/>
          <w:pgSz w:w="11900" w:h="16840"/>
          <w:pgMar w:top="1440" w:right="1440" w:bottom="1440" w:left="1440" w:header="720" w:footer="720" w:gutter="1152"/>
          <w:cols w:space="720"/>
          <w:docGrid w:linePitch="360"/>
        </w:sectPr>
      </w:pPr>
    </w:p>
    <w:p w14:paraId="2A981DB5" w14:textId="301748EE" w:rsidR="00E13B92" w:rsidRDefault="00C87509" w:rsidP="00173DDA">
      <w:pPr>
        <w:pStyle w:val="Heading1"/>
      </w:pPr>
      <w:r>
        <w:lastRenderedPageBreak/>
        <w:t>Locating individuals in Caxton’s texts</w:t>
      </w:r>
    </w:p>
    <w:p w14:paraId="129EA3D9" w14:textId="407BF278" w:rsidR="00CE67BF" w:rsidRPr="00DC094F" w:rsidRDefault="00CE67BF" w:rsidP="00CE67BF">
      <w:r>
        <w:t>This section applies the met</w:t>
      </w:r>
      <w:r w:rsidR="00D86A0A">
        <w:t xml:space="preserve">hods developed in Section Two </w:t>
      </w:r>
      <w:r>
        <w:t xml:space="preserve">to a selection of Caxton’s texts, and in doing so explores Caxton’s editorial practices and the processes of book making used in Caxton’s printing house. This section is divided into three chapters. The present chapter, Chapter 7, </w:t>
      </w:r>
      <w:r w:rsidR="00DC094F">
        <w:t>shows how it is possible to use cluster analysis to explore the layers of spellings present in Caxton’s texts</w:t>
      </w:r>
      <w:r w:rsidR="00CC0468">
        <w:t xml:space="preserve"> and to differentiate between the orthographic idiolects </w:t>
      </w:r>
      <w:r w:rsidR="006A2745">
        <w:t>of the individuals who were involved in creating the book—the compositor(s) who set the type and the scribe(s) who wrote the copy text</w:t>
      </w:r>
      <w:r w:rsidR="00CC0468">
        <w:t xml:space="preserve">. </w:t>
      </w:r>
      <w:r w:rsidR="00647CA3">
        <w:t xml:space="preserve">Following the application of cluster analysis onto Caxton’s texts, Chapter 8 applies the similarity </w:t>
      </w:r>
      <w:r w:rsidR="000F1937">
        <w:t>testing</w:t>
      </w:r>
      <w:r w:rsidR="00647CA3">
        <w:t xml:space="preserve"> methods </w:t>
      </w:r>
      <w:r w:rsidR="000738FD">
        <w:t xml:space="preserve">that were </w:t>
      </w:r>
      <w:r w:rsidR="00647CA3">
        <w:t xml:space="preserve">developed in Chapter 6. </w:t>
      </w:r>
      <w:r w:rsidR="000F1937">
        <w:t>While</w:t>
      </w:r>
      <w:r w:rsidR="00647CA3">
        <w:t xml:space="preserve"> Chapter 7 shows where in Caxton’s texts changes in spellings take place, Chapter 8 shows the extent to which spellings differ between sections of text. </w:t>
      </w:r>
      <w:r w:rsidR="00E705C0">
        <w:t xml:space="preserve">Finally, Chapter 9 combines both </w:t>
      </w:r>
      <w:r w:rsidR="000F1937">
        <w:t>cluster analysis and similarity testing</w:t>
      </w:r>
      <w:r w:rsidR="00E705C0">
        <w:t xml:space="preserve"> to explore </w:t>
      </w:r>
      <w:r w:rsidR="0023111F">
        <w:t xml:space="preserve">the extent to which Caxton had input into the texts his printing house produced, and to resolve the remaining research questions that are raised in Chapter 7 and Chapter 8. </w:t>
      </w:r>
    </w:p>
    <w:p w14:paraId="0A5EFF83" w14:textId="77777777" w:rsidR="00CE67BF" w:rsidRDefault="00CE67BF" w:rsidP="00CE67BF"/>
    <w:p w14:paraId="0A4D87D6" w14:textId="6E7521EC" w:rsidR="00CE67BF" w:rsidRDefault="001666FF" w:rsidP="001666FF">
      <w:pPr>
        <w:pStyle w:val="Heading2"/>
      </w:pPr>
      <w:r>
        <w:t xml:space="preserve">Clustering the quires of Caxton’s texts </w:t>
      </w:r>
    </w:p>
    <w:p w14:paraId="03D4D96C" w14:textId="11FF7AE7" w:rsidR="008E248C" w:rsidRPr="0021550A" w:rsidRDefault="00A064B8" w:rsidP="00CC0468">
      <w:r w:rsidRPr="0021550A">
        <w:t xml:space="preserve">This study </w:t>
      </w:r>
      <w:r w:rsidR="000F1937">
        <w:t>uses</w:t>
      </w:r>
      <w:r w:rsidRPr="0021550A">
        <w:t xml:space="preserve"> cluster analysis to </w:t>
      </w:r>
      <w:r w:rsidR="000F1937">
        <w:t>differentiate</w:t>
      </w:r>
      <w:r w:rsidRPr="0021550A">
        <w:t xml:space="preserve"> </w:t>
      </w:r>
      <w:r w:rsidR="00CC0468">
        <w:t xml:space="preserve">between the orthographic idiolects of individuals working on Caxton’s texts in cases where more than one compositor was involved in typesetting or more than one scribe wrote the copy text. </w:t>
      </w:r>
      <w:r w:rsidR="008E248C" w:rsidRPr="0021550A">
        <w:t xml:space="preserve">By simultaneously comparing the use of all spelling variants, this study shows how we can use cluster analysis to </w:t>
      </w:r>
      <w:r w:rsidR="000F1937">
        <w:t>locate</w:t>
      </w:r>
      <w:r w:rsidR="008E248C" w:rsidRPr="0021550A">
        <w:t xml:space="preserve"> changes in compositor or in the copy text. In undertaking this investigation, this study asks three research questions:</w:t>
      </w:r>
    </w:p>
    <w:p w14:paraId="17A5BB02" w14:textId="6587127D" w:rsidR="008E248C" w:rsidRPr="00BD0662" w:rsidRDefault="00453776" w:rsidP="008E248C">
      <w:pPr>
        <w:ind w:left="1170" w:hanging="450"/>
      </w:pPr>
      <w:r>
        <w:t>A</w:t>
      </w:r>
      <w:r w:rsidR="008E248C">
        <w:t>:</w:t>
      </w:r>
      <w:r w:rsidR="008E248C">
        <w:tab/>
      </w:r>
      <w:r w:rsidR="008E248C" w:rsidRPr="00BD0662">
        <w:t xml:space="preserve">Can cluster analysis be used to </w:t>
      </w:r>
      <w:r w:rsidR="000F1937">
        <w:t>locate</w:t>
      </w:r>
      <w:r w:rsidR="008E248C" w:rsidRPr="00BD0662">
        <w:t xml:space="preserve"> changes in either the copy text or the compositor of a printed text?</w:t>
      </w:r>
    </w:p>
    <w:p w14:paraId="4C040D19" w14:textId="09DD326F" w:rsidR="008E248C" w:rsidRPr="00BD0662" w:rsidRDefault="00453776" w:rsidP="008E248C">
      <w:pPr>
        <w:ind w:left="1170" w:hanging="450"/>
      </w:pPr>
      <w:r>
        <w:t>B</w:t>
      </w:r>
      <w:r w:rsidR="008E248C">
        <w:t>:</w:t>
      </w:r>
      <w:r w:rsidR="008E248C">
        <w:tab/>
      </w:r>
      <w:r w:rsidR="008E248C" w:rsidRPr="00BD0662">
        <w:t>Which source of input has the greater amount of influence over the spellings that appear in the new text, the compositor or the copy text?</w:t>
      </w:r>
    </w:p>
    <w:p w14:paraId="52775BF6" w14:textId="05E48AD1" w:rsidR="008E248C" w:rsidRDefault="00453776" w:rsidP="008E248C">
      <w:pPr>
        <w:ind w:left="1170" w:hanging="450"/>
      </w:pPr>
      <w:r>
        <w:t>C</w:t>
      </w:r>
      <w:r w:rsidR="008E248C">
        <w:t>:</w:t>
      </w:r>
      <w:r w:rsidR="008E248C">
        <w:tab/>
      </w:r>
      <w:r w:rsidR="008E248C" w:rsidRPr="00BD0662">
        <w:t>What can we find out about the way in which Caxton’s printing house produced books using cluster analysis?</w:t>
      </w:r>
    </w:p>
    <w:p w14:paraId="438A2403" w14:textId="40A7027C" w:rsidR="00CC0468" w:rsidRPr="00BD0662" w:rsidRDefault="00CC0468" w:rsidP="00CC0468">
      <w:r>
        <w:t xml:space="preserve">In exploring these research questions, Section </w:t>
      </w:r>
      <w:r>
        <w:fldChar w:fldCharType="begin"/>
      </w:r>
      <w:r>
        <w:instrText xml:space="preserve"> REF _Ref497478760 \r </w:instrText>
      </w:r>
      <w:r>
        <w:fldChar w:fldCharType="separate"/>
      </w:r>
      <w:r w:rsidR="00D11844">
        <w:t>7.2</w:t>
      </w:r>
      <w:r>
        <w:fldChar w:fldCharType="end"/>
      </w:r>
      <w:r>
        <w:t xml:space="preserve"> explores Caxton’s first edition of the </w:t>
      </w:r>
      <w:r>
        <w:rPr>
          <w:i/>
        </w:rPr>
        <w:t>Canterbury Tales</w:t>
      </w:r>
      <w:r>
        <w:t xml:space="preserve"> and </w:t>
      </w:r>
      <w:r w:rsidR="00EA2B64">
        <w:t xml:space="preserve">Section </w:t>
      </w:r>
      <w:r w:rsidR="00EA2B64">
        <w:fldChar w:fldCharType="begin"/>
      </w:r>
      <w:r w:rsidR="00EA2B64">
        <w:instrText xml:space="preserve"> REF _Ref498675067 \r </w:instrText>
      </w:r>
      <w:r w:rsidR="00EA2B64">
        <w:fldChar w:fldCharType="separate"/>
      </w:r>
      <w:r w:rsidR="00D11844">
        <w:t>7.3</w:t>
      </w:r>
      <w:r w:rsidR="00EA2B64">
        <w:fldChar w:fldCharType="end"/>
      </w:r>
      <w:r w:rsidR="00EA2B64">
        <w:t xml:space="preserve"> investigates </w:t>
      </w:r>
      <w:r>
        <w:t xml:space="preserve">the </w:t>
      </w:r>
      <w:r>
        <w:rPr>
          <w:i/>
        </w:rPr>
        <w:t>Book of Good Manners</w:t>
      </w:r>
      <w:r>
        <w:t xml:space="preserve"> </w:t>
      </w:r>
      <w:r w:rsidR="00080639">
        <w:t xml:space="preserve">to find out whether more than one compositor or scribe was involved with the creation of the texts. </w:t>
      </w:r>
      <w:r>
        <w:t xml:space="preserve">Section </w:t>
      </w:r>
      <w:r>
        <w:fldChar w:fldCharType="begin"/>
      </w:r>
      <w:r>
        <w:instrText xml:space="preserve"> REF _Ref497834336 \r </w:instrText>
      </w:r>
      <w:r>
        <w:fldChar w:fldCharType="separate"/>
      </w:r>
      <w:r w:rsidR="00D11844">
        <w:t>7.4</w:t>
      </w:r>
      <w:r>
        <w:fldChar w:fldCharType="end"/>
      </w:r>
      <w:r>
        <w:t xml:space="preserve"> </w:t>
      </w:r>
      <w:r w:rsidR="000F1937">
        <w:t xml:space="preserve">discusses the </w:t>
      </w:r>
      <w:r w:rsidR="00080639">
        <w:t xml:space="preserve">changes in compositor suggested by Hellinga and Painter (2007), and the changes in the copy text that George Macaulay (1901) says occur within </w:t>
      </w:r>
      <w:r w:rsidR="00080639">
        <w:lastRenderedPageBreak/>
        <w:t>the text</w:t>
      </w:r>
      <w:r>
        <w:t xml:space="preserve">. Finally, Section </w:t>
      </w:r>
      <w:r>
        <w:fldChar w:fldCharType="begin"/>
      </w:r>
      <w:r>
        <w:instrText xml:space="preserve"> REF _Ref498617500 \r </w:instrText>
      </w:r>
      <w:r>
        <w:fldChar w:fldCharType="separate"/>
      </w:r>
      <w:r w:rsidR="00D11844">
        <w:t>7.5</w:t>
      </w:r>
      <w:r>
        <w:fldChar w:fldCharType="end"/>
      </w:r>
      <w:r>
        <w:t xml:space="preserve"> shows how we can find out about the printing processes used in Caxton’s printing house by clustering the</w:t>
      </w:r>
      <w:r w:rsidR="00EB3F55">
        <w:t xml:space="preserve"> quires of the</w:t>
      </w:r>
      <w:r>
        <w:t xml:space="preserve"> </w:t>
      </w:r>
      <w:r>
        <w:rPr>
          <w:i/>
        </w:rPr>
        <w:t>Polychronicon</w:t>
      </w:r>
      <w:r>
        <w:t xml:space="preserve"> and the </w:t>
      </w:r>
      <w:r>
        <w:rPr>
          <w:i/>
        </w:rPr>
        <w:t>Golden Legend</w:t>
      </w:r>
      <w:r>
        <w:t>.</w:t>
      </w:r>
    </w:p>
    <w:p w14:paraId="08558F88" w14:textId="77777777" w:rsidR="00C87509" w:rsidRPr="00C87509" w:rsidRDefault="00C87509" w:rsidP="00C87509"/>
    <w:p w14:paraId="22AF99DA" w14:textId="1EA2298E" w:rsidR="006F6B58" w:rsidRPr="0021550A" w:rsidRDefault="006F6B58" w:rsidP="00FC56E8">
      <w:pPr>
        <w:pStyle w:val="Heading2"/>
        <w:jc w:val="left"/>
      </w:pPr>
      <w:bookmarkStart w:id="187" w:name="_Ref497478760"/>
      <w:bookmarkStart w:id="188" w:name="_Ref497480685"/>
      <w:bookmarkStart w:id="189" w:name="_Toc497899871"/>
      <w:bookmarkStart w:id="190" w:name="_Ref499753468"/>
      <w:r w:rsidRPr="0021550A">
        <w:t xml:space="preserve">Clustering </w:t>
      </w:r>
      <w:bookmarkEnd w:id="187"/>
      <w:bookmarkEnd w:id="188"/>
      <w:bookmarkEnd w:id="189"/>
      <w:r w:rsidR="00EA2B64">
        <w:t xml:space="preserve">Caxton’s first edition of the </w:t>
      </w:r>
      <w:r w:rsidR="00EA2B64">
        <w:rPr>
          <w:i/>
        </w:rPr>
        <w:t>Canterbury Tales</w:t>
      </w:r>
      <w:bookmarkEnd w:id="190"/>
    </w:p>
    <w:p w14:paraId="4ACB73CD" w14:textId="374A1456" w:rsidR="00B20708" w:rsidRPr="0021550A" w:rsidRDefault="006F6B58" w:rsidP="000737CB">
      <w:r w:rsidRPr="0021550A">
        <w:t xml:space="preserve">When we </w:t>
      </w:r>
      <w:r w:rsidR="000A3F89">
        <w:t>cluster</w:t>
      </w:r>
      <w:r w:rsidRPr="0021550A">
        <w:t xml:space="preserve"> Caxton’s first edition of the </w:t>
      </w:r>
      <w:r w:rsidRPr="0021550A">
        <w:rPr>
          <w:i/>
        </w:rPr>
        <w:t>Canterbury Tales</w:t>
      </w:r>
      <w:r w:rsidRPr="0021550A">
        <w:t xml:space="preserve">, we can begin by thinking about the number of compositors we would expect to </w:t>
      </w:r>
      <w:r w:rsidR="00B20708">
        <w:t>have been involved with creating the text</w:t>
      </w:r>
      <w:r w:rsidRPr="0021550A">
        <w:t xml:space="preserve">. Hellinga </w:t>
      </w:r>
      <w:r w:rsidR="00EB3F55">
        <w:t>and</w:t>
      </w:r>
      <w:r w:rsidRPr="0021550A">
        <w:t xml:space="preserve"> Painter </w:t>
      </w:r>
      <w:r w:rsidR="000A3F89" w:rsidRPr="00B51567">
        <w:t>(2007:</w:t>
      </w:r>
      <w:r w:rsidR="000A3F89">
        <w:t xml:space="preserve"> </w:t>
      </w:r>
      <w:r w:rsidR="000A3F89" w:rsidRPr="00B51567">
        <w:t>104, 132)</w:t>
      </w:r>
      <w:r w:rsidR="000A3F89">
        <w:t xml:space="preserve"> </w:t>
      </w:r>
      <w:r w:rsidRPr="0021550A">
        <w:t xml:space="preserve">state that both </w:t>
      </w:r>
      <w:r w:rsidR="00EB3F55">
        <w:t xml:space="preserve">of </w:t>
      </w:r>
      <w:r w:rsidRPr="0021550A">
        <w:t xml:space="preserve">Caxton’s editions of the </w:t>
      </w:r>
      <w:r w:rsidRPr="0021550A">
        <w:rPr>
          <w:i/>
        </w:rPr>
        <w:t>Canterbury Tales</w:t>
      </w:r>
      <w:r w:rsidRPr="0021550A">
        <w:t xml:space="preserve"> were typeset by two compositors</w:t>
      </w:r>
      <w:r w:rsidR="00B51567" w:rsidRPr="00B51567">
        <w:t xml:space="preserve">. </w:t>
      </w:r>
      <w:r w:rsidRPr="0021550A">
        <w:t xml:space="preserve">In the first edition, </w:t>
      </w:r>
      <w:r w:rsidR="00B20708">
        <w:t xml:space="preserve">Hellinga and Painter </w:t>
      </w:r>
      <w:r w:rsidR="000A3F89">
        <w:t>say that</w:t>
      </w:r>
      <w:r w:rsidR="00B20708">
        <w:t xml:space="preserve"> </w:t>
      </w:r>
      <w:r w:rsidRPr="0021550A">
        <w:t xml:space="preserve">the point at which Compositor 1’s text ends and the text typeset by Compositor 2 begins </w:t>
      </w:r>
      <w:r w:rsidR="00B20708">
        <w:t>is at the beginning of Quire L, which marks the beginning of the Tale of Melibee</w:t>
      </w:r>
      <w:r w:rsidRPr="0021550A">
        <w:t xml:space="preserve">. </w:t>
      </w:r>
      <w:r w:rsidR="00B20708">
        <w:t xml:space="preserve">The start of the Tale of Melibee is a likely point in the text for a change in compositor to take place because </w:t>
      </w:r>
      <w:r w:rsidRPr="0021550A">
        <w:t xml:space="preserve">it comes at the start of a quire and the section begins at the top of the page. There is also half a blank page preceding the start of the Tale of Melibee, </w:t>
      </w:r>
      <w:r w:rsidR="00B20708">
        <w:t xml:space="preserve">which could also be a sign of a change in compositor. </w:t>
      </w:r>
      <w:r w:rsidR="000A3F89">
        <w:t>There are no other blank pages in the text</w:t>
      </w:r>
      <w:r w:rsidRPr="0021550A">
        <w:t xml:space="preserve"> between the end of one </w:t>
      </w:r>
      <w:r w:rsidR="00B20708">
        <w:t>t</w:t>
      </w:r>
      <w:r w:rsidRPr="0021550A">
        <w:t xml:space="preserve">ale and the start of another. If we cluster the </w:t>
      </w:r>
      <w:r w:rsidRPr="0021550A">
        <w:rPr>
          <w:i/>
        </w:rPr>
        <w:t>Canterbury Tales</w:t>
      </w:r>
      <w:r w:rsidRPr="0021550A">
        <w:t xml:space="preserve"> into two clusters using all the spellings, the results are presented in </w:t>
      </w:r>
      <w:r w:rsidRPr="0021550A">
        <w:fldChar w:fldCharType="begin"/>
      </w:r>
      <w:r w:rsidRPr="0021550A">
        <w:instrText xml:space="preserve"> REF _Ref491255624 \h </w:instrText>
      </w:r>
      <w:r w:rsidRPr="0021550A">
        <w:fldChar w:fldCharType="separate"/>
      </w:r>
      <w:r w:rsidR="00D11844" w:rsidRPr="0021550A">
        <w:t xml:space="preserve">Figure </w:t>
      </w:r>
      <w:r w:rsidR="00D11844">
        <w:rPr>
          <w:noProof/>
        </w:rPr>
        <w:t>7</w:t>
      </w:r>
      <w:r w:rsidR="00D11844">
        <w:t>.</w:t>
      </w:r>
      <w:r w:rsidR="00D11844">
        <w:rPr>
          <w:noProof/>
        </w:rPr>
        <w:t>1</w:t>
      </w:r>
      <w:r w:rsidRPr="0021550A">
        <w:fldChar w:fldCharType="end"/>
      </w:r>
      <w:r w:rsidRPr="0021550A">
        <w:t>.</w:t>
      </w:r>
    </w:p>
    <w:p w14:paraId="4D44912C" w14:textId="7AB175D2" w:rsidR="006F6B58" w:rsidRPr="0021550A" w:rsidRDefault="006F6B58" w:rsidP="00C87509">
      <w:pPr>
        <w:ind w:firstLine="0"/>
      </w:pPr>
      <w:r w:rsidRPr="0021550A">
        <w:rPr>
          <w:noProof/>
          <w:lang w:eastAsia="en-GB"/>
        </w:rPr>
        <w:drawing>
          <wp:inline distT="0" distB="0" distL="0" distR="0" wp14:anchorId="25F48AB0" wp14:editId="375E326B">
            <wp:extent cx="4985385" cy="756490"/>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nterbury Tales k = 2 rev.pdf"/>
                    <pic:cNvPicPr/>
                  </pic:nvPicPr>
                  <pic:blipFill rotWithShape="1">
                    <a:blip r:embed="rId65">
                      <a:extLst>
                        <a:ext uri="{28A0092B-C50C-407E-A947-70E740481C1C}">
                          <a14:useLocalDpi xmlns:a14="http://schemas.microsoft.com/office/drawing/2010/main"/>
                        </a:ext>
                      </a:extLst>
                    </a:blip>
                    <a:srcRect r="50633" b="86683"/>
                    <a:stretch/>
                  </pic:blipFill>
                  <pic:spPr bwMode="auto">
                    <a:xfrm>
                      <a:off x="0" y="0"/>
                      <a:ext cx="5209491" cy="790496"/>
                    </a:xfrm>
                    <a:prstGeom prst="rect">
                      <a:avLst/>
                    </a:prstGeom>
                    <a:ln>
                      <a:noFill/>
                    </a:ln>
                    <a:extLst>
                      <a:ext uri="{53640926-AAD7-44D8-BBD7-CCE9431645EC}">
                        <a14:shadowObscured xmlns:a14="http://schemas.microsoft.com/office/drawing/2010/main"/>
                      </a:ext>
                    </a:extLst>
                  </pic:spPr>
                </pic:pic>
              </a:graphicData>
            </a:graphic>
          </wp:inline>
        </w:drawing>
      </w:r>
    </w:p>
    <w:p w14:paraId="5A821708" w14:textId="1CCF3D0A" w:rsidR="006F6B58" w:rsidRPr="0021550A" w:rsidRDefault="00453776" w:rsidP="000737CB">
      <w:pPr>
        <w:pStyle w:val="Caption"/>
      </w:pPr>
      <w:bookmarkStart w:id="191" w:name="_Toc499753541"/>
      <w:r>
        <w:t>Figure 7.1:</w:t>
      </w:r>
      <w:r w:rsidR="006F6B58" w:rsidRPr="0021550A">
        <w:t xml:space="preserve"> </w:t>
      </w:r>
      <w:r w:rsidR="00104CBE">
        <w:t>Clustering</w:t>
      </w:r>
      <w:r w:rsidR="006F6B58" w:rsidRPr="0021550A">
        <w:t xml:space="preserve"> the </w:t>
      </w:r>
      <w:r w:rsidR="006F6B58" w:rsidRPr="00B51567">
        <w:rPr>
          <w:i/>
        </w:rPr>
        <w:t>Canterbury Tales</w:t>
      </w:r>
      <w:r w:rsidR="00104CBE">
        <w:rPr>
          <w:i/>
        </w:rPr>
        <w:t>,</w:t>
      </w:r>
      <w:r w:rsidR="006F6B58" w:rsidRPr="0021550A">
        <w:t xml:space="preserve"> </w:t>
      </w:r>
      <w:r w:rsidR="006F6B58" w:rsidRPr="00104CBE">
        <w:rPr>
          <w:i/>
        </w:rPr>
        <w:t>k</w:t>
      </w:r>
      <w:r w:rsidR="006F6B58" w:rsidRPr="0021550A">
        <w:t xml:space="preserve"> = 2</w:t>
      </w:r>
      <w:bookmarkEnd w:id="191"/>
    </w:p>
    <w:p w14:paraId="4BBA63C6" w14:textId="77777777" w:rsidR="006F6B58" w:rsidRPr="0021550A" w:rsidRDefault="006F6B58" w:rsidP="000737CB"/>
    <w:p w14:paraId="393C7F36" w14:textId="77777777" w:rsidR="00850916" w:rsidRDefault="00B20708" w:rsidP="000737CB">
      <w:r w:rsidRPr="0021550A">
        <w:fldChar w:fldCharType="begin"/>
      </w:r>
      <w:r w:rsidRPr="0021550A">
        <w:instrText xml:space="preserve"> REF _Ref491255624 \h </w:instrText>
      </w:r>
      <w:r w:rsidRPr="0021550A">
        <w:fldChar w:fldCharType="separate"/>
      </w:r>
      <w:r w:rsidR="00D11844" w:rsidRPr="0021550A">
        <w:t xml:space="preserve">Figure </w:t>
      </w:r>
      <w:r w:rsidR="00D11844">
        <w:rPr>
          <w:noProof/>
        </w:rPr>
        <w:t>7</w:t>
      </w:r>
      <w:r w:rsidR="00D11844">
        <w:t>.</w:t>
      </w:r>
      <w:r w:rsidR="00D11844">
        <w:rPr>
          <w:noProof/>
        </w:rPr>
        <w:t>1</w:t>
      </w:r>
      <w:r w:rsidRPr="0021550A">
        <w:fldChar w:fldCharType="end"/>
      </w:r>
      <w:r>
        <w:t xml:space="preserve"> shows that when the </w:t>
      </w:r>
      <w:r>
        <w:rPr>
          <w:i/>
        </w:rPr>
        <w:t>Canterbury Tales</w:t>
      </w:r>
      <w:r>
        <w:t xml:space="preserve"> is clustered </w:t>
      </w:r>
      <w:r w:rsidR="004A13CF">
        <w:t xml:space="preserve">into two groups, the quires that form each group are not consecutive. Instead, the first cluster shown in </w:t>
      </w:r>
      <w:r w:rsidR="004A13CF" w:rsidRPr="0021550A">
        <w:fldChar w:fldCharType="begin"/>
      </w:r>
      <w:r w:rsidR="004A13CF" w:rsidRPr="0021550A">
        <w:instrText xml:space="preserve"> REF _Ref491255624 \h </w:instrText>
      </w:r>
      <w:r w:rsidR="004A13CF" w:rsidRPr="0021550A">
        <w:fldChar w:fldCharType="separate"/>
      </w:r>
      <w:r w:rsidR="00D11844" w:rsidRPr="0021550A">
        <w:t xml:space="preserve">Figure </w:t>
      </w:r>
      <w:r w:rsidR="00D11844">
        <w:rPr>
          <w:noProof/>
        </w:rPr>
        <w:t>7</w:t>
      </w:r>
      <w:r w:rsidR="00D11844">
        <w:t>.</w:t>
      </w:r>
      <w:r w:rsidR="00D11844">
        <w:rPr>
          <w:noProof/>
        </w:rPr>
        <w:t>1</w:t>
      </w:r>
      <w:r w:rsidR="004A13CF" w:rsidRPr="0021550A">
        <w:fldChar w:fldCharType="end"/>
      </w:r>
      <w:r w:rsidR="004A13CF">
        <w:t xml:space="preserve"> in yellow includes the quires </w:t>
      </w:r>
      <w:r w:rsidR="006F6B58" w:rsidRPr="0021550A">
        <w:t xml:space="preserve">that run from Quire a to Quire K, and also from Quire O to Quire S. </w:t>
      </w:r>
      <w:r w:rsidR="004A13CF">
        <w:t xml:space="preserve">The second cluster is marked in blue in </w:t>
      </w:r>
      <w:r w:rsidR="004A13CF" w:rsidRPr="0021550A">
        <w:fldChar w:fldCharType="begin"/>
      </w:r>
      <w:r w:rsidR="004A13CF" w:rsidRPr="0021550A">
        <w:instrText xml:space="preserve"> REF _Ref491255624 \h </w:instrText>
      </w:r>
      <w:r w:rsidR="004A13CF" w:rsidRPr="0021550A">
        <w:fldChar w:fldCharType="separate"/>
      </w:r>
      <w:r w:rsidR="00D11844" w:rsidRPr="0021550A">
        <w:t xml:space="preserve">Figure </w:t>
      </w:r>
      <w:r w:rsidR="00D11844">
        <w:rPr>
          <w:noProof/>
        </w:rPr>
        <w:t>7</w:t>
      </w:r>
      <w:r w:rsidR="00D11844">
        <w:t>.</w:t>
      </w:r>
      <w:r w:rsidR="00D11844">
        <w:rPr>
          <w:noProof/>
        </w:rPr>
        <w:t>1</w:t>
      </w:r>
      <w:r w:rsidR="004A13CF" w:rsidRPr="0021550A">
        <w:fldChar w:fldCharType="end"/>
      </w:r>
      <w:r w:rsidR="004A13CF">
        <w:t xml:space="preserve">, and includes the quires between </w:t>
      </w:r>
      <w:r w:rsidR="006F6B58" w:rsidRPr="0021550A">
        <w:t xml:space="preserve">Quire L to Quire N and </w:t>
      </w:r>
      <w:r w:rsidR="004A13CF">
        <w:t>then the quires from Quire</w:t>
      </w:r>
      <w:r w:rsidR="006F6B58" w:rsidRPr="0021550A">
        <w:t xml:space="preserve"> T to the end of the text at Quire aa. </w:t>
      </w:r>
    </w:p>
    <w:p w14:paraId="7B63CAD4" w14:textId="27859B5F" w:rsidR="002518A9" w:rsidRDefault="00850916" w:rsidP="00850916">
      <w:r>
        <w:t xml:space="preserve">This distribution of quires is not what we might expect given that Hellinga and Painter state that a single change in compositor takes place at the beginning of quire L. </w:t>
      </w:r>
      <w:r w:rsidR="002518A9">
        <w:t>While this</w:t>
      </w:r>
      <w:r>
        <w:t xml:space="preserve"> location is the same point</w:t>
      </w:r>
      <w:r w:rsidR="004A13CF">
        <w:t xml:space="preserve"> which </w:t>
      </w:r>
      <w:r>
        <w:t xml:space="preserve">marks the change from the first cluster in </w:t>
      </w:r>
      <w:r w:rsidRPr="0021550A">
        <w:fldChar w:fldCharType="begin"/>
      </w:r>
      <w:r w:rsidRPr="0021550A">
        <w:instrText xml:space="preserve"> REF _Ref491255624 \h </w:instrText>
      </w:r>
      <w:r w:rsidRPr="0021550A">
        <w:fldChar w:fldCharType="separate"/>
      </w:r>
      <w:r w:rsidR="00D11844" w:rsidRPr="0021550A">
        <w:t xml:space="preserve">Figure </w:t>
      </w:r>
      <w:r w:rsidR="00D11844">
        <w:rPr>
          <w:noProof/>
        </w:rPr>
        <w:t>7</w:t>
      </w:r>
      <w:r w:rsidR="00D11844">
        <w:t>.</w:t>
      </w:r>
      <w:r w:rsidR="00D11844">
        <w:rPr>
          <w:noProof/>
        </w:rPr>
        <w:t>1</w:t>
      </w:r>
      <w:r w:rsidRPr="0021550A">
        <w:fldChar w:fldCharType="end"/>
      </w:r>
      <w:r>
        <w:t xml:space="preserve"> to the second cluster, </w:t>
      </w:r>
      <w:r w:rsidR="002518A9">
        <w:t xml:space="preserve">the quires between Quire O to Quire S are also part of this first cluster. In this case, the spellings used in the section from Quire O to Quire S contain </w:t>
      </w:r>
      <w:r w:rsidR="002518A9">
        <w:lastRenderedPageBreak/>
        <w:t xml:space="preserve">similar spellings to those used by Compositor 1, even though Hellinga and Painter </w:t>
      </w:r>
      <w:r w:rsidR="000A3F89">
        <w:t>believe</w:t>
      </w:r>
      <w:r w:rsidR="002518A9">
        <w:t xml:space="preserve"> that this section was typeset by Compositor 2.</w:t>
      </w:r>
    </w:p>
    <w:p w14:paraId="489282EA" w14:textId="53FD20D5" w:rsidR="006F6B58" w:rsidRPr="0021550A" w:rsidRDefault="00850916" w:rsidP="002518A9">
      <w:r>
        <w:t xml:space="preserve">  </w:t>
      </w:r>
      <w:r w:rsidR="006F6B58" w:rsidRPr="0021550A">
        <w:t>We can look more closely at the quires that were typeset by Compositor 2 to find out what is causing the c</w:t>
      </w:r>
      <w:r w:rsidR="00B51567">
        <w:t>hange in spellings. In the second half of the text</w:t>
      </w:r>
      <w:r w:rsidR="006F6B58" w:rsidRPr="0021550A">
        <w:t xml:space="preserve">, the Quires L to N marked in blue comprise </w:t>
      </w:r>
      <w:r w:rsidR="002518A9">
        <w:t xml:space="preserve">the Tale of Melibee. </w:t>
      </w:r>
      <w:r w:rsidR="006F6B58" w:rsidRPr="0021550A">
        <w:t xml:space="preserve">Quire O to Quire S </w:t>
      </w:r>
      <w:r w:rsidR="002518A9">
        <w:t xml:space="preserve">(in yellow) </w:t>
      </w:r>
      <w:r w:rsidR="006F6B58" w:rsidRPr="0021550A">
        <w:t>revert to using the same spellings as those in the section typeset by Compositor 1 and include the Tales of the Monk, the Nun’s Priest, and the Manciple’s</w:t>
      </w:r>
      <w:r w:rsidR="006F6B58">
        <w:t xml:space="preserve"> Tale</w:t>
      </w:r>
      <w:r w:rsidR="006F6B58" w:rsidRPr="0021550A">
        <w:t xml:space="preserve"> (as well as the very beginning of the Parson’s Tale). Quires T to the end of the book cover the Parson’s Tale, and an epilogue from Caxton. In other words, when we look at the division of text, the Tales that were written in verse form Cluster 1, and the prose tales form Cluster 2. </w:t>
      </w:r>
    </w:p>
    <w:p w14:paraId="37B518A2" w14:textId="4BA661AE" w:rsidR="006F6B58" w:rsidRPr="0021550A" w:rsidRDefault="006F6B58" w:rsidP="000737CB">
      <w:r w:rsidRPr="0021550A">
        <w:t>There should be no reason that the spellings used in the prose are different to the spellings</w:t>
      </w:r>
      <w:r w:rsidR="00B15FA0">
        <w:t xml:space="preserve"> used in the verse. In Chapter 3</w:t>
      </w:r>
      <w:r w:rsidRPr="0021550A">
        <w:t xml:space="preserve"> we saw that the visual justification required for the prose in Caxton’s texts did not affect the spellings used by compositors</w:t>
      </w:r>
      <w:r w:rsidR="00B15FA0">
        <w:t xml:space="preserve">, and that compositors justified their type through other means than changing spellings. The two different clusters of spellings in the </w:t>
      </w:r>
      <w:r w:rsidR="00B15FA0">
        <w:rPr>
          <w:i/>
        </w:rPr>
        <w:t>Canterbury Tales</w:t>
      </w:r>
      <w:r w:rsidR="00B15FA0">
        <w:t xml:space="preserve"> suggests that two different orthographic idiolects are present in this text, and </w:t>
      </w:r>
      <w:r w:rsidR="000A3F89">
        <w:t xml:space="preserve">therefore </w:t>
      </w:r>
      <w:r w:rsidR="00B15FA0">
        <w:t xml:space="preserve">at some point two separate people worked on this text simultaneously—either two compositors typeset the text, or two scribes wrote the copy text. </w:t>
      </w:r>
      <w:r w:rsidRPr="0021550A">
        <w:t xml:space="preserve">Increasing the value of </w:t>
      </w:r>
      <w:r w:rsidRPr="0021550A">
        <w:rPr>
          <w:i/>
        </w:rPr>
        <w:t>k</w:t>
      </w:r>
      <w:r w:rsidR="00B15FA0">
        <w:t xml:space="preserve"> to three</w:t>
      </w:r>
      <w:r w:rsidRPr="0021550A">
        <w:t xml:space="preserve"> does not aid the analysis—the clustering becomes unstable at this point, and coherent clusters do not form. The optimal number of clusters for the </w:t>
      </w:r>
      <w:r w:rsidRPr="0021550A">
        <w:rPr>
          <w:i/>
        </w:rPr>
        <w:t>Canterbury Tales</w:t>
      </w:r>
      <w:r w:rsidR="00B15FA0">
        <w:t xml:space="preserve"> data appears to be two</w:t>
      </w:r>
      <w:r w:rsidRPr="0021550A">
        <w:t xml:space="preserve">. </w:t>
      </w:r>
    </w:p>
    <w:p w14:paraId="397EDF96" w14:textId="77777777" w:rsidR="006F6B58" w:rsidRPr="0021550A" w:rsidRDefault="006F6B58" w:rsidP="000737CB">
      <w:r w:rsidRPr="0021550A">
        <w:t xml:space="preserve">We can restrict the set of spelling variants used in the analysis to those that are used in all the quires, to ensure that changes in the topic of the text do not affect the clustering. The results of clustering the quires of the </w:t>
      </w:r>
      <w:r w:rsidRPr="0021550A">
        <w:rPr>
          <w:i/>
        </w:rPr>
        <w:t>Canterbury Tales</w:t>
      </w:r>
      <w:r w:rsidRPr="0021550A">
        <w:t xml:space="preserve"> on a restricted set of spelling variants is shown in </w:t>
      </w:r>
      <w:r w:rsidRPr="0021550A">
        <w:fldChar w:fldCharType="begin"/>
      </w:r>
      <w:r w:rsidRPr="0021550A">
        <w:instrText xml:space="preserve"> REF _Ref491260503 \h </w:instrText>
      </w:r>
      <w:r w:rsidRPr="0021550A">
        <w:fldChar w:fldCharType="separate"/>
      </w:r>
      <w:r w:rsidR="00D11844" w:rsidRPr="0021550A">
        <w:t xml:space="preserve">Figure </w:t>
      </w:r>
      <w:r w:rsidR="00D11844">
        <w:rPr>
          <w:noProof/>
        </w:rPr>
        <w:t>7</w:t>
      </w:r>
      <w:r w:rsidR="00D11844">
        <w:t>.</w:t>
      </w:r>
      <w:r w:rsidR="00D11844">
        <w:rPr>
          <w:noProof/>
        </w:rPr>
        <w:t>2</w:t>
      </w:r>
      <w:r w:rsidRPr="0021550A">
        <w:fldChar w:fldCharType="end"/>
      </w:r>
      <w:r w:rsidRPr="0021550A">
        <w:t>.</w:t>
      </w:r>
    </w:p>
    <w:p w14:paraId="53544413" w14:textId="77777777" w:rsidR="006F6B58" w:rsidRPr="0021550A" w:rsidRDefault="006F6B58" w:rsidP="000737CB"/>
    <w:p w14:paraId="62C46AC9" w14:textId="105C3D80" w:rsidR="006F6B58" w:rsidRPr="0021550A" w:rsidRDefault="006F6B58" w:rsidP="00C87509">
      <w:pPr>
        <w:ind w:firstLine="0"/>
      </w:pPr>
      <w:r w:rsidRPr="0021550A">
        <w:rPr>
          <w:noProof/>
          <w:lang w:eastAsia="en-GB"/>
        </w:rPr>
        <w:drawing>
          <wp:inline distT="0" distB="0" distL="0" distR="0" wp14:anchorId="12FD09EE" wp14:editId="1BAE0985">
            <wp:extent cx="5024161" cy="699381"/>
            <wp:effectExtent l="0" t="0" r="5080" b="1206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anterbury Tales k = 2 restricted vars.pdf"/>
                    <pic:cNvPicPr/>
                  </pic:nvPicPr>
                  <pic:blipFill rotWithShape="1">
                    <a:blip r:embed="rId66">
                      <a:extLst>
                        <a:ext uri="{28A0092B-C50C-407E-A947-70E740481C1C}">
                          <a14:useLocalDpi xmlns:a14="http://schemas.microsoft.com/office/drawing/2010/main"/>
                        </a:ext>
                      </a:extLst>
                    </a:blip>
                    <a:srcRect l="7002" t="11792" r="44493" b="76205"/>
                    <a:stretch/>
                  </pic:blipFill>
                  <pic:spPr bwMode="auto">
                    <a:xfrm>
                      <a:off x="0" y="0"/>
                      <a:ext cx="5500006" cy="765620"/>
                    </a:xfrm>
                    <a:prstGeom prst="rect">
                      <a:avLst/>
                    </a:prstGeom>
                    <a:ln>
                      <a:noFill/>
                    </a:ln>
                    <a:extLst>
                      <a:ext uri="{53640926-AAD7-44D8-BBD7-CCE9431645EC}">
                        <a14:shadowObscured xmlns:a14="http://schemas.microsoft.com/office/drawing/2010/main"/>
                      </a:ext>
                    </a:extLst>
                  </pic:spPr>
                </pic:pic>
              </a:graphicData>
            </a:graphic>
          </wp:inline>
        </w:drawing>
      </w:r>
    </w:p>
    <w:p w14:paraId="244191B7" w14:textId="495D102C" w:rsidR="006F6B58" w:rsidRPr="0021550A" w:rsidRDefault="00453776" w:rsidP="000737CB">
      <w:pPr>
        <w:pStyle w:val="Caption"/>
      </w:pPr>
      <w:bookmarkStart w:id="192" w:name="_Toc499753542"/>
      <w:r>
        <w:t>Figure 7.2:</w:t>
      </w:r>
      <w:r w:rsidR="006F6B58" w:rsidRPr="0021550A">
        <w:t xml:space="preserve"> </w:t>
      </w:r>
      <w:r w:rsidR="00F90A3F">
        <w:t xml:space="preserve">Clustering </w:t>
      </w:r>
      <w:r w:rsidR="00104CBE">
        <w:t>the</w:t>
      </w:r>
      <w:r w:rsidR="006F6B58" w:rsidRPr="0021550A">
        <w:t xml:space="preserve"> </w:t>
      </w:r>
      <w:r w:rsidR="006F6B58" w:rsidRPr="0021550A">
        <w:rPr>
          <w:i/>
        </w:rPr>
        <w:t>Canterbury Tales</w:t>
      </w:r>
      <w:r w:rsidR="006F6B58" w:rsidRPr="0021550A">
        <w:t xml:space="preserve"> with restricted spelling</w:t>
      </w:r>
      <w:r w:rsidR="00104CBE">
        <w:t>s</w:t>
      </w:r>
      <w:r w:rsidR="006F6B58">
        <w:t>,</w:t>
      </w:r>
      <w:r w:rsidR="006F6B58" w:rsidRPr="0021550A">
        <w:rPr>
          <w:i/>
        </w:rPr>
        <w:t xml:space="preserve"> k</w:t>
      </w:r>
      <w:r w:rsidR="006F6B58" w:rsidRPr="0021550A">
        <w:t xml:space="preserve"> = 2</w:t>
      </w:r>
      <w:bookmarkEnd w:id="192"/>
    </w:p>
    <w:p w14:paraId="027FD427" w14:textId="77777777" w:rsidR="006F6B58" w:rsidRPr="0021550A" w:rsidRDefault="006F6B58" w:rsidP="000737CB"/>
    <w:p w14:paraId="5EDECEEF" w14:textId="61384195" w:rsidR="00B66A16" w:rsidRDefault="006F6B58" w:rsidP="00436E80">
      <w:r w:rsidRPr="0021550A">
        <w:t xml:space="preserve">When we cluster </w:t>
      </w:r>
      <w:r w:rsidR="00B15FA0">
        <w:t xml:space="preserve">the quires of the </w:t>
      </w:r>
      <w:r w:rsidR="00B15FA0">
        <w:rPr>
          <w:i/>
        </w:rPr>
        <w:t xml:space="preserve">Canterbury Tales </w:t>
      </w:r>
      <w:r w:rsidR="00B15FA0">
        <w:t xml:space="preserve">using a limited set of high-frequency spellings </w:t>
      </w:r>
      <w:r w:rsidRPr="0021550A">
        <w:t xml:space="preserve">(in this case, </w:t>
      </w:r>
      <w:r w:rsidR="00B15FA0">
        <w:t>spellings</w:t>
      </w:r>
      <w:r w:rsidRPr="0021550A">
        <w:t xml:space="preserve"> that appear in</w:t>
      </w:r>
      <w:r w:rsidR="00B15FA0">
        <w:t xml:space="preserve"> every single quire of the text</w:t>
      </w:r>
      <w:r w:rsidRPr="0021550A">
        <w:t>), we find almost an identical distribution of quires</w:t>
      </w:r>
      <w:r w:rsidR="00B15FA0">
        <w:t xml:space="preserve"> to that in </w:t>
      </w:r>
      <w:r w:rsidR="00B15FA0" w:rsidRPr="00B15FA0">
        <w:t>Figure 7.1</w:t>
      </w:r>
      <w:r w:rsidRPr="0021550A">
        <w:t xml:space="preserve">. The only difference is that the group of </w:t>
      </w:r>
      <w:r w:rsidR="00DF41F2">
        <w:t xml:space="preserve">yellow </w:t>
      </w:r>
      <w:r w:rsidRPr="0021550A">
        <w:t xml:space="preserve">quires </w:t>
      </w:r>
      <w:r w:rsidR="00436E80">
        <w:t xml:space="preserve">in the second half of the text (i.e. Quire O to Quire S) is reduced </w:t>
      </w:r>
      <w:r w:rsidR="00EA2B64">
        <w:t xml:space="preserve">by one quire </w:t>
      </w:r>
      <w:r w:rsidR="00436E80">
        <w:t xml:space="preserve">to </w:t>
      </w:r>
      <w:r w:rsidR="00EA2B64">
        <w:t>the quires between Quire</w:t>
      </w:r>
      <w:r w:rsidR="00B66A16">
        <w:t xml:space="preserve"> P </w:t>
      </w:r>
      <w:r w:rsidR="00EA2B64">
        <w:t>and</w:t>
      </w:r>
      <w:r w:rsidR="00B66A16">
        <w:t xml:space="preserve"> </w:t>
      </w:r>
      <w:r w:rsidR="00EA2B64">
        <w:t xml:space="preserve">Quire </w:t>
      </w:r>
      <w:r w:rsidR="00B66A16">
        <w:t xml:space="preserve">S. In this second clustering of the quires with fewer spellings, </w:t>
      </w:r>
      <w:r w:rsidRPr="0021550A">
        <w:t xml:space="preserve">Quire O is </w:t>
      </w:r>
      <w:r w:rsidR="00B66A16">
        <w:t>grouped into Cluster 2</w:t>
      </w:r>
      <w:r w:rsidRPr="0021550A">
        <w:t xml:space="preserve">. </w:t>
      </w:r>
      <w:r w:rsidR="00B66A16">
        <w:t xml:space="preserve">The shift of Quire O </w:t>
      </w:r>
      <w:r w:rsidR="00B66A16">
        <w:lastRenderedPageBreak/>
        <w:t>from one cluster into another</w:t>
      </w:r>
      <w:r w:rsidR="00436E80">
        <w:t xml:space="preserve"> is not </w:t>
      </w:r>
      <w:r w:rsidRPr="0021550A">
        <w:t>surprising; the Tale of Melibee ends</w:t>
      </w:r>
      <w:r w:rsidR="00CB675C">
        <w:t xml:space="preserve"> almost halfway through Quire O. If</w:t>
      </w:r>
      <w:r w:rsidR="00B66A16">
        <w:t xml:space="preserve"> the distinction between spellings is caused by different people working on the prose and the verse at some point in the text’s creation, then we</w:t>
      </w:r>
      <w:r w:rsidRPr="0021550A">
        <w:t xml:space="preserve"> might expect Quire O to fall on either side of the divide </w:t>
      </w:r>
      <w:r w:rsidR="00B66A16">
        <w:t xml:space="preserve">because Quire O includes verse and prose from different Tales. The cluster analysis reproduces a very similar distinction between the clusters when we use a reduced set of spelling variants, which </w:t>
      </w:r>
      <w:r w:rsidR="00CB675C">
        <w:t>shows</w:t>
      </w:r>
      <w:r w:rsidR="00B66A16">
        <w:t xml:space="preserve"> that the quires are clustered based on spellings and not based on the words used in the text. </w:t>
      </w:r>
    </w:p>
    <w:p w14:paraId="34B00FBE" w14:textId="0F83F317" w:rsidR="006F6B58" w:rsidRDefault="00436E80" w:rsidP="005E1FAF">
      <w:r>
        <w:t xml:space="preserve">The cluster analysis is not able to tell us whether the change in idiolect that takes place between the verse and the prose of the text takes place at the level of the compositor or the copy text. </w:t>
      </w:r>
      <w:r w:rsidR="00B66A16">
        <w:t xml:space="preserve">There is no bibliographical evidence that supports </w:t>
      </w:r>
      <w:r w:rsidR="005E1FAF">
        <w:t xml:space="preserve">a change in compositor taking place at the end of the prose; the changeover between verse to prose takes place midway through Quire O and then from prose back to verse partway through Quire S. It would be difficult for compositors to align their work to begin and end midway through a quire, and thus it is unlikely that a change in compositors took place at the end of the Tale of Melibee at Quire O and just before the start of the Parson’s Tale in Quire S. Additionally, there is a change in </w:t>
      </w:r>
      <w:r w:rsidR="00CB675C">
        <w:t xml:space="preserve">the </w:t>
      </w:r>
      <w:r w:rsidR="005E1FAF">
        <w:t>paper</w:t>
      </w:r>
      <w:r w:rsidR="00CB675C">
        <w:t xml:space="preserve"> stocks</w:t>
      </w:r>
      <w:r w:rsidR="005E1FAF">
        <w:t xml:space="preserve"> that takes place at the beginning of Quire L, which lines up with the location for a change in compositors suggested by Hellinga and Painter. </w:t>
      </w:r>
    </w:p>
    <w:p w14:paraId="5CB1120F" w14:textId="67E00D6F" w:rsidR="002A3BD0" w:rsidRDefault="002A3BD0" w:rsidP="000737CB">
      <w:r>
        <w:t xml:space="preserve">There is also no bibliographical evidence that supports the use of two separate copy texts in the creation of the text. </w:t>
      </w:r>
      <w:r w:rsidR="006F6B58" w:rsidRPr="0021550A">
        <w:t xml:space="preserve">The copy text used for Caxton’s first edition of the </w:t>
      </w:r>
      <w:r w:rsidR="006F6B58" w:rsidRPr="0021550A">
        <w:rPr>
          <w:i/>
        </w:rPr>
        <w:t>Canterbury Tales</w:t>
      </w:r>
      <w:r w:rsidR="006F6B58" w:rsidRPr="0021550A">
        <w:t xml:space="preserve"> is not known </w:t>
      </w:r>
      <w:r>
        <w:t xml:space="preserve">(Manly &amp; Rickert 1940a), and it is possible </w:t>
      </w:r>
      <w:r w:rsidR="00CB675C">
        <w:t xml:space="preserve">that </w:t>
      </w:r>
      <w:r>
        <w:t>two different copy texts were used to create the text—one for the verse and one for the prose.</w:t>
      </w:r>
      <w:r w:rsidR="00B51567" w:rsidRPr="00B51567">
        <w:t xml:space="preserve"> </w:t>
      </w:r>
      <w:r>
        <w:t xml:space="preserve">The </w:t>
      </w:r>
      <w:r w:rsidRPr="0021550A">
        <w:t xml:space="preserve">Tale of Melibee in particular is known to exist in the form of many individual copies separate to the rest of the </w:t>
      </w:r>
      <w:r w:rsidRPr="0021550A">
        <w:rPr>
          <w:i/>
        </w:rPr>
        <w:t>Canterbury Tales</w:t>
      </w:r>
      <w:r w:rsidRPr="0021550A">
        <w:t xml:space="preserve"> </w:t>
      </w:r>
      <w:r w:rsidRPr="00B51567">
        <w:t>(Manly &amp; Rickert 1940b:</w:t>
      </w:r>
      <w:r>
        <w:t xml:space="preserve"> </w:t>
      </w:r>
      <w:r w:rsidRPr="00B51567">
        <w:t>388).</w:t>
      </w:r>
      <w:r>
        <w:t xml:space="preserve"> </w:t>
      </w:r>
      <w:r w:rsidRPr="0021550A">
        <w:t xml:space="preserve">However, Manly </w:t>
      </w:r>
      <w:r w:rsidR="00CB675C">
        <w:t>and</w:t>
      </w:r>
      <w:r w:rsidRPr="0021550A">
        <w:t xml:space="preserve"> Rickert in their study of the </w:t>
      </w:r>
      <w:r w:rsidRPr="0021550A">
        <w:rPr>
          <w:i/>
        </w:rPr>
        <w:t>Canterbury Tales</w:t>
      </w:r>
      <w:r w:rsidRPr="0021550A">
        <w:t xml:space="preserve"> state that Caxton’s first edition is so similar to that of Oxford, New College, MS D.314 “that the language is evidently that of their common ancestor” </w:t>
      </w:r>
      <w:r w:rsidRPr="00B51567">
        <w:t>(Manly &amp; Rickert 1940b:</w:t>
      </w:r>
      <w:r>
        <w:t xml:space="preserve"> </w:t>
      </w:r>
      <w:r w:rsidRPr="00B51567">
        <w:t>180).</w:t>
      </w:r>
      <w:r>
        <w:t xml:space="preserve"> </w:t>
      </w:r>
      <w:r w:rsidRPr="0021550A">
        <w:t>They do not note a difference between the prose and verse sections of text</w:t>
      </w:r>
      <w:r>
        <w:t xml:space="preserve"> (which they do when comparing some other manuscript versions of the text)</w:t>
      </w:r>
      <w:r w:rsidRPr="0021550A">
        <w:t>.</w:t>
      </w:r>
    </w:p>
    <w:p w14:paraId="18EA0F3F" w14:textId="53C95F13" w:rsidR="002A3BD0" w:rsidRPr="00391B67" w:rsidRDefault="002A3BD0" w:rsidP="000737CB">
      <w:r>
        <w:t xml:space="preserve">The lack of evidence either way means that it is possible that the text was typeset by two compositors—one who typeset the prose and one who typeset the verse. The use of two compositors would explain the blank page at the end of Quire K. </w:t>
      </w:r>
      <w:r w:rsidR="00391B67">
        <w:t>But the</w:t>
      </w:r>
      <w:r>
        <w:t xml:space="preserve"> lack of evidence also means that it is possible that the text was typeset by one compositor using two copy texts</w:t>
      </w:r>
      <w:r w:rsidR="00436E80">
        <w:t xml:space="preserve">, which would explain </w:t>
      </w:r>
      <w:r w:rsidR="00391B67">
        <w:t xml:space="preserve">how it was possible for the join between the verse and prose sections to be seamless. </w:t>
      </w:r>
      <w:r w:rsidR="005E66A0">
        <w:t xml:space="preserve">It is also possible that Caxton’s single compositor used one copy text, but that copy text had been copied from two separate copies of the text, written by two separate scribes. </w:t>
      </w:r>
      <w:r w:rsidR="00391B67">
        <w:t xml:space="preserve">In </w:t>
      </w:r>
      <w:r w:rsidR="005E66A0">
        <w:t>this scenario</w:t>
      </w:r>
      <w:r w:rsidR="00391B67">
        <w:t xml:space="preserve">, the blank page at the end of Quire K could </w:t>
      </w:r>
      <w:r w:rsidR="00391B67">
        <w:lastRenderedPageBreak/>
        <w:t xml:space="preserve">be explained by the printer having to break off from the </w:t>
      </w:r>
      <w:r w:rsidR="00391B67">
        <w:rPr>
          <w:i/>
        </w:rPr>
        <w:t>Canterbury Tales</w:t>
      </w:r>
      <w:r w:rsidR="00391B67">
        <w:t xml:space="preserve"> job to print something shorter that guaranteed a quick financial return for the printing house, such as the advertisement that Caxton prints for his business in </w:t>
      </w:r>
      <w:r w:rsidR="00640DA9">
        <w:t xml:space="preserve">the same year, 1477. </w:t>
      </w:r>
    </w:p>
    <w:p w14:paraId="6158CEDA" w14:textId="1025623B" w:rsidR="006F6B58" w:rsidRPr="0021550A" w:rsidRDefault="005E66A0" w:rsidP="005E66A0">
      <w:r>
        <w:t>The cluster analysis does provide evidence to suggest</w:t>
      </w:r>
      <w:r w:rsidR="00A45B8B">
        <w:t xml:space="preserve"> that Hellinga and Painter are not correct in their suggestion that one compositor typeset from the beginning of the text to Quire L, and the second compositor typeset the second half of the text. The two orthographic idiolects detected in the text do not match up to these sections, but map onto the distinction between prose and verse in the text instead. </w:t>
      </w:r>
      <w:r>
        <w:t xml:space="preserve">At present, the cluster analysis does not provide enough evidence to suggest either way which of these scenarios is the most likely. </w:t>
      </w:r>
      <w:r w:rsidR="00AC73F4">
        <w:t xml:space="preserve">The uncertainty raises a further research question </w:t>
      </w:r>
      <w:r w:rsidR="005376D4">
        <w:t>D</w:t>
      </w:r>
      <w:r w:rsidR="00AC73F4">
        <w:t xml:space="preserve">: </w:t>
      </w:r>
      <w:r w:rsidR="00AC73F4" w:rsidRPr="00AC73F4">
        <w:t xml:space="preserve">What is the source of the change in spelling variants in Caxton’s first edition of the </w:t>
      </w:r>
      <w:r w:rsidR="00AC73F4" w:rsidRPr="00AC73F4">
        <w:rPr>
          <w:i/>
        </w:rPr>
        <w:t>Canterbury Tales</w:t>
      </w:r>
      <w:r w:rsidR="00AC73F4" w:rsidRPr="00AC73F4">
        <w:t>?</w:t>
      </w:r>
      <w:r w:rsidR="00AC73F4">
        <w:t xml:space="preserve"> This question is</w:t>
      </w:r>
      <w:r>
        <w:t xml:space="preserve"> revisited </w:t>
      </w:r>
      <w:r w:rsidR="00235559">
        <w:t xml:space="preserve">in Section </w:t>
      </w:r>
      <w:r w:rsidR="00235559">
        <w:fldChar w:fldCharType="begin"/>
      </w:r>
      <w:r w:rsidR="00235559">
        <w:instrText xml:space="preserve"> REF _Ref497210599 \r </w:instrText>
      </w:r>
      <w:r w:rsidR="00235559">
        <w:fldChar w:fldCharType="separate"/>
      </w:r>
      <w:r w:rsidR="00D11844">
        <w:t>8.3.1</w:t>
      </w:r>
      <w:r w:rsidR="00235559">
        <w:fldChar w:fldCharType="end"/>
      </w:r>
      <w:r w:rsidR="006F6B58">
        <w:t xml:space="preserve">, when </w:t>
      </w:r>
      <w:r>
        <w:t>I use similarity testing to explore how alike the spellings are in the sections of the text</w:t>
      </w:r>
      <w:r w:rsidR="006F6B58">
        <w:t xml:space="preserve">. </w:t>
      </w:r>
    </w:p>
    <w:p w14:paraId="27047171" w14:textId="77777777" w:rsidR="006F6B58" w:rsidRPr="0021550A" w:rsidRDefault="006F6B58" w:rsidP="000737CB"/>
    <w:p w14:paraId="7080B345" w14:textId="16E28C1E" w:rsidR="006F6B58" w:rsidRPr="0021550A" w:rsidRDefault="006F6B58" w:rsidP="00EA2B64">
      <w:pPr>
        <w:pStyle w:val="Heading2"/>
      </w:pPr>
      <w:bookmarkStart w:id="193" w:name="_Ref498675067"/>
      <w:r w:rsidRPr="0021550A">
        <w:t xml:space="preserve">Clustering the </w:t>
      </w:r>
      <w:r w:rsidRPr="00EA2B64">
        <w:rPr>
          <w:i/>
        </w:rPr>
        <w:t>Book of Good Manners</w:t>
      </w:r>
      <w:bookmarkEnd w:id="193"/>
    </w:p>
    <w:p w14:paraId="146A5940" w14:textId="77777777" w:rsidR="006F6B58" w:rsidRPr="0021550A" w:rsidRDefault="006F6B58" w:rsidP="000737CB">
      <w:r w:rsidRPr="0021550A">
        <w:t xml:space="preserve">Caxton’s edition of the </w:t>
      </w:r>
      <w:r w:rsidRPr="0021550A">
        <w:rPr>
          <w:i/>
        </w:rPr>
        <w:t>Book of Good Manners</w:t>
      </w:r>
      <w:r w:rsidRPr="0021550A">
        <w:t xml:space="preserve"> was printed in 1487, allegedly at the dying wish of one of Caxton’s friends from his days as a mercer. In his prologue to this text, Caxton says:</w:t>
      </w:r>
    </w:p>
    <w:p w14:paraId="4EEEB767" w14:textId="77777777" w:rsidR="006F6B58" w:rsidRPr="0021550A" w:rsidRDefault="006F6B58" w:rsidP="000737CB"/>
    <w:p w14:paraId="290FF3DF" w14:textId="6F091402" w:rsidR="00B51567" w:rsidRDefault="006F6B58" w:rsidP="00B51567">
      <w:pPr>
        <w:spacing w:line="240" w:lineRule="auto"/>
        <w:ind w:left="720" w:firstLine="0"/>
      </w:pPr>
      <w:r w:rsidRPr="0021550A">
        <w:t xml:space="preserve">a mercer of London named Wylliam Praat, which late departed out of this lyf on whos soule God have mercy, not long tofore his deth delyverd to me in Frenshe a lytel book named the </w:t>
      </w:r>
      <w:r w:rsidRPr="0021550A">
        <w:rPr>
          <w:i/>
        </w:rPr>
        <w:t>Book of Good Maners</w:t>
      </w:r>
      <w:r w:rsidR="002B0A79">
        <w:t xml:space="preserve"> … </w:t>
      </w:r>
      <w:r w:rsidRPr="0021550A">
        <w:t>and desired me instantl</w:t>
      </w:r>
      <w:r w:rsidR="00B51567">
        <w:t>y to translate it into Englyssh</w:t>
      </w:r>
      <w:r w:rsidRPr="0021550A">
        <w:t xml:space="preserve"> </w:t>
      </w:r>
    </w:p>
    <w:p w14:paraId="36FECB60" w14:textId="4DE72E42" w:rsidR="006F6B58" w:rsidRPr="0021550A" w:rsidRDefault="00B51567" w:rsidP="00B51567">
      <w:pPr>
        <w:spacing w:line="276" w:lineRule="auto"/>
        <w:ind w:left="720" w:firstLine="0"/>
        <w:jc w:val="right"/>
      </w:pPr>
      <w:r w:rsidRPr="00B51567">
        <w:t>(Blake 1973:</w:t>
      </w:r>
      <w:r w:rsidR="002B0A79">
        <w:t xml:space="preserve"> </w:t>
      </w:r>
      <w:r w:rsidRPr="00B51567">
        <w:t>60)</w:t>
      </w:r>
    </w:p>
    <w:p w14:paraId="67CCFD5C" w14:textId="77777777" w:rsidR="006F6B58" w:rsidRPr="0021550A" w:rsidRDefault="006F6B58" w:rsidP="000737CB"/>
    <w:p w14:paraId="401193FE" w14:textId="77777777" w:rsidR="002B0A79" w:rsidRDefault="006F6B58" w:rsidP="000737CB">
      <w:r w:rsidRPr="0021550A">
        <w:t xml:space="preserve">The book that was delivered to Caxton has been identified as the French text </w:t>
      </w:r>
      <w:r w:rsidRPr="0021550A">
        <w:rPr>
          <w:i/>
        </w:rPr>
        <w:t>Livre de bonnes moeurs</w:t>
      </w:r>
      <w:r w:rsidRPr="0021550A">
        <w:t xml:space="preserve"> written by Jacques le Grand </w:t>
      </w:r>
      <w:r w:rsidR="00235559" w:rsidRPr="00235559">
        <w:t xml:space="preserve">(Hellinga 2010), </w:t>
      </w:r>
      <w:r w:rsidRPr="0021550A">
        <w:t>and it has been widely accepted that Caxton created the translation</w:t>
      </w:r>
      <w:r w:rsidR="002B0A79">
        <w:t xml:space="preserve"> from this text to create </w:t>
      </w:r>
      <w:r w:rsidRPr="0021550A">
        <w:t xml:space="preserve">the </w:t>
      </w:r>
      <w:r w:rsidRPr="0021550A">
        <w:rPr>
          <w:i/>
        </w:rPr>
        <w:t xml:space="preserve">Book of Good Manners </w:t>
      </w:r>
      <w:r w:rsidR="00235559">
        <w:t xml:space="preserve">(Blake </w:t>
      </w:r>
      <w:r w:rsidR="007D3068">
        <w:t>1969, Blades 1971, Painter 1976</w:t>
      </w:r>
      <w:r w:rsidR="00235559">
        <w:t>,</w:t>
      </w:r>
      <w:r w:rsidR="00235559" w:rsidRPr="00235559">
        <w:t xml:space="preserve"> Hellinga 2010). </w:t>
      </w:r>
    </w:p>
    <w:p w14:paraId="3E20AA4F" w14:textId="5DEDD5C8" w:rsidR="006F6B58" w:rsidRPr="0021550A" w:rsidRDefault="00A466CF" w:rsidP="000737CB">
      <w:r>
        <w:t xml:space="preserve">We would not expect the </w:t>
      </w:r>
      <w:r>
        <w:rPr>
          <w:i/>
        </w:rPr>
        <w:t>Book of Good Manners</w:t>
      </w:r>
      <w:r>
        <w:t xml:space="preserve"> to include more than one orthographic idiolect at either the level of the compositor or the copy text. </w:t>
      </w:r>
      <w:r w:rsidR="002B0A79">
        <w:t xml:space="preserve">Because Caxton created the translation, we would expect the copy text to include Caxton’s orthographic idiolect only. However, it is also possible that Caxton’s handwritten version was copied again in order to create a copy text that the master printer could mark up for composition. </w:t>
      </w:r>
      <w:r w:rsidR="006F6B58" w:rsidRPr="0021550A">
        <w:t xml:space="preserve">The text is also short, running to only eight quires long, and so it is unlikely that the text was typeset by two compositors working concurrently. However, when we cluster the </w:t>
      </w:r>
      <w:r w:rsidR="006F6B58" w:rsidRPr="0021550A">
        <w:lastRenderedPageBreak/>
        <w:t xml:space="preserve">quires of the </w:t>
      </w:r>
      <w:r w:rsidR="006F6B58" w:rsidRPr="0021550A">
        <w:rPr>
          <w:i/>
        </w:rPr>
        <w:t>Book of Good Manners</w:t>
      </w:r>
      <w:r w:rsidR="006F6B58" w:rsidRPr="0021550A">
        <w:t xml:space="preserve"> when </w:t>
      </w:r>
      <w:r w:rsidR="006F6B58" w:rsidRPr="0021550A">
        <w:rPr>
          <w:i/>
        </w:rPr>
        <w:t>k</w:t>
      </w:r>
      <w:r w:rsidR="006F6B58" w:rsidRPr="0021550A">
        <w:t xml:space="preserve"> = 2 there is a change in spellings that takes place halfway through the text. </w:t>
      </w:r>
    </w:p>
    <w:p w14:paraId="06326428" w14:textId="77777777" w:rsidR="006F6B58" w:rsidRPr="0021550A" w:rsidRDefault="006F6B58" w:rsidP="000737CB"/>
    <w:p w14:paraId="563902A2" w14:textId="0F511533" w:rsidR="006F6B58" w:rsidRPr="0021550A" w:rsidRDefault="006F6B58" w:rsidP="000737CB">
      <w:r w:rsidRPr="0021550A">
        <w:rPr>
          <w:noProof/>
          <w:lang w:eastAsia="en-GB"/>
        </w:rPr>
        <w:drawing>
          <wp:inline distT="0" distB="0" distL="0" distR="0" wp14:anchorId="1C935850" wp14:editId="5BAFC157">
            <wp:extent cx="2680335" cy="625304"/>
            <wp:effectExtent l="0" t="0" r="0" b="1016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ook of Good Manners k = 2.pdf"/>
                    <pic:cNvPicPr/>
                  </pic:nvPicPr>
                  <pic:blipFill rotWithShape="1">
                    <a:blip r:embed="rId67">
                      <a:extLst>
                        <a:ext uri="{28A0092B-C50C-407E-A947-70E740481C1C}">
                          <a14:useLocalDpi xmlns:a14="http://schemas.microsoft.com/office/drawing/2010/main"/>
                        </a:ext>
                      </a:extLst>
                    </a:blip>
                    <a:srcRect l="4054" t="68767" r="72246" b="21405"/>
                    <a:stretch/>
                  </pic:blipFill>
                  <pic:spPr bwMode="auto">
                    <a:xfrm>
                      <a:off x="0" y="0"/>
                      <a:ext cx="2746048" cy="640634"/>
                    </a:xfrm>
                    <a:prstGeom prst="rect">
                      <a:avLst/>
                    </a:prstGeom>
                    <a:ln>
                      <a:noFill/>
                    </a:ln>
                    <a:extLst>
                      <a:ext uri="{53640926-AAD7-44D8-BBD7-CCE9431645EC}">
                        <a14:shadowObscured xmlns:a14="http://schemas.microsoft.com/office/drawing/2010/main"/>
                      </a:ext>
                    </a:extLst>
                  </pic:spPr>
                </pic:pic>
              </a:graphicData>
            </a:graphic>
          </wp:inline>
        </w:drawing>
      </w:r>
    </w:p>
    <w:p w14:paraId="6426F237" w14:textId="776ECE87" w:rsidR="006F6B58" w:rsidRPr="0021550A" w:rsidRDefault="00453776" w:rsidP="000737CB">
      <w:pPr>
        <w:pStyle w:val="Caption"/>
      </w:pPr>
      <w:bookmarkStart w:id="194" w:name="_Toc499753543"/>
      <w:r>
        <w:t>Figure 7.3:</w:t>
      </w:r>
      <w:r w:rsidR="00D36157">
        <w:t xml:space="preserve"> C</w:t>
      </w:r>
      <w:r w:rsidR="006F6B58" w:rsidRPr="0021550A">
        <w:t xml:space="preserve">lustering the </w:t>
      </w:r>
      <w:r w:rsidR="006F6B58" w:rsidRPr="00C87509">
        <w:rPr>
          <w:i/>
        </w:rPr>
        <w:t>Book of Good Manners</w:t>
      </w:r>
      <w:r w:rsidR="00F90A3F">
        <w:t>,</w:t>
      </w:r>
      <w:r w:rsidR="006F6B58" w:rsidRPr="0021550A">
        <w:t xml:space="preserve"> k = 2</w:t>
      </w:r>
      <w:bookmarkEnd w:id="194"/>
    </w:p>
    <w:p w14:paraId="4527215D" w14:textId="77777777" w:rsidR="006F6B58" w:rsidRPr="0021550A" w:rsidRDefault="006F6B58" w:rsidP="000737CB"/>
    <w:p w14:paraId="0937D085" w14:textId="1835E586" w:rsidR="006F6B58" w:rsidRPr="0021550A" w:rsidRDefault="006F6B58" w:rsidP="000737CB">
      <w:r w:rsidRPr="0021550A">
        <w:fldChar w:fldCharType="begin"/>
      </w:r>
      <w:r w:rsidRPr="0021550A">
        <w:instrText xml:space="preserve"> REF _Ref491264203 \h </w:instrText>
      </w:r>
      <w:r w:rsidRPr="0021550A">
        <w:fldChar w:fldCharType="separate"/>
      </w:r>
      <w:r w:rsidR="00D11844" w:rsidRPr="0021550A">
        <w:t xml:space="preserve">Figure </w:t>
      </w:r>
      <w:r w:rsidR="00D11844">
        <w:rPr>
          <w:noProof/>
        </w:rPr>
        <w:t>7</w:t>
      </w:r>
      <w:r w:rsidR="00D11844">
        <w:t>.</w:t>
      </w:r>
      <w:r w:rsidR="00D11844">
        <w:rPr>
          <w:noProof/>
        </w:rPr>
        <w:t>3</w:t>
      </w:r>
      <w:r w:rsidRPr="0021550A">
        <w:fldChar w:fldCharType="end"/>
      </w:r>
      <w:r w:rsidRPr="0021550A">
        <w:t xml:space="preserve"> shows that the text divides into two clusters at the halfway point. The beginning of Quire e is not a likely location for a changeover of compositors; the first page of the quire does not begin a new section, but continues from the previous page and the new quire begins mid-sentence. Because Quire e does not begin a new section, and because the text is relatively short and shows no other compositorial evidence, it appears that the </w:t>
      </w:r>
      <w:r w:rsidRPr="0021550A">
        <w:rPr>
          <w:i/>
        </w:rPr>
        <w:t>Book of Good Manners</w:t>
      </w:r>
      <w:r w:rsidRPr="0021550A">
        <w:t xml:space="preserve"> was typeset by one compositor and that the change in spelling var</w:t>
      </w:r>
      <w:r w:rsidR="00A466CF">
        <w:t>iants comes from the copy text.</w:t>
      </w:r>
    </w:p>
    <w:p w14:paraId="3D4728BA" w14:textId="70D25E44" w:rsidR="006F6B58" w:rsidRPr="0021550A" w:rsidRDefault="006F6B58" w:rsidP="000737CB">
      <w:r w:rsidRPr="0021550A">
        <w:t xml:space="preserve">We can test the clustering of the </w:t>
      </w:r>
      <w:r w:rsidRPr="0021550A">
        <w:rPr>
          <w:i/>
        </w:rPr>
        <w:t>Book of Good Manners</w:t>
      </w:r>
      <w:r w:rsidRPr="0021550A">
        <w:t xml:space="preserve"> further by restricting the number of spelling variants that we allow the algorithm to consider. By reducing the spelling variants to those that are used in all the quires of the text, we can ensure that the cluster analysis does not model the topic of the text. The revised clustering is presented in </w:t>
      </w:r>
      <w:r w:rsidRPr="0021550A">
        <w:fldChar w:fldCharType="begin"/>
      </w:r>
      <w:r w:rsidRPr="0021550A">
        <w:instrText xml:space="preserve"> REF _Ref491264655 \h </w:instrText>
      </w:r>
      <w:r w:rsidRPr="0021550A">
        <w:fldChar w:fldCharType="separate"/>
      </w:r>
      <w:r w:rsidR="00D11844" w:rsidRPr="0021550A">
        <w:t xml:space="preserve">Figure </w:t>
      </w:r>
      <w:r w:rsidR="00D11844">
        <w:rPr>
          <w:noProof/>
        </w:rPr>
        <w:t>7</w:t>
      </w:r>
      <w:r w:rsidR="00D11844">
        <w:t>.</w:t>
      </w:r>
      <w:r w:rsidR="00D11844">
        <w:rPr>
          <w:noProof/>
        </w:rPr>
        <w:t>4</w:t>
      </w:r>
      <w:r w:rsidRPr="0021550A">
        <w:fldChar w:fldCharType="end"/>
      </w:r>
      <w:r w:rsidRPr="0021550A">
        <w:t>.</w:t>
      </w:r>
    </w:p>
    <w:p w14:paraId="6DF23A10" w14:textId="77777777" w:rsidR="006F6B58" w:rsidRPr="0021550A" w:rsidRDefault="006F6B58" w:rsidP="000737CB"/>
    <w:p w14:paraId="00AA777F" w14:textId="56077726" w:rsidR="006F6B58" w:rsidRPr="0021550A" w:rsidRDefault="006F6B58" w:rsidP="000737CB">
      <w:r w:rsidRPr="0021550A">
        <w:rPr>
          <w:noProof/>
          <w:lang w:eastAsia="en-GB"/>
        </w:rPr>
        <w:drawing>
          <wp:inline distT="0" distB="0" distL="0" distR="0" wp14:anchorId="0098FD01" wp14:editId="082EAD0A">
            <wp:extent cx="2680335" cy="597113"/>
            <wp:effectExtent l="0" t="0" r="0" b="1270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ook of Good Manners restricted k = 2.pdf"/>
                    <pic:cNvPicPr/>
                  </pic:nvPicPr>
                  <pic:blipFill rotWithShape="1">
                    <a:blip r:embed="rId68">
                      <a:extLst>
                        <a:ext uri="{28A0092B-C50C-407E-A947-70E740481C1C}">
                          <a14:useLocalDpi xmlns:a14="http://schemas.microsoft.com/office/drawing/2010/main"/>
                        </a:ext>
                      </a:extLst>
                    </a:blip>
                    <a:srcRect l="4177" t="68820" r="72246" b="21843"/>
                    <a:stretch/>
                  </pic:blipFill>
                  <pic:spPr bwMode="auto">
                    <a:xfrm>
                      <a:off x="0" y="0"/>
                      <a:ext cx="2804881" cy="624859"/>
                    </a:xfrm>
                    <a:prstGeom prst="rect">
                      <a:avLst/>
                    </a:prstGeom>
                    <a:ln>
                      <a:noFill/>
                    </a:ln>
                    <a:extLst>
                      <a:ext uri="{53640926-AAD7-44D8-BBD7-CCE9431645EC}">
                        <a14:shadowObscured xmlns:a14="http://schemas.microsoft.com/office/drawing/2010/main"/>
                      </a:ext>
                    </a:extLst>
                  </pic:spPr>
                </pic:pic>
              </a:graphicData>
            </a:graphic>
          </wp:inline>
        </w:drawing>
      </w:r>
    </w:p>
    <w:p w14:paraId="26B6E408" w14:textId="6B47A1F5" w:rsidR="006F6B58" w:rsidRPr="0021550A" w:rsidRDefault="00453776" w:rsidP="000737CB">
      <w:pPr>
        <w:pStyle w:val="Caption"/>
      </w:pPr>
      <w:bookmarkStart w:id="195" w:name="_Toc499753544"/>
      <w:r>
        <w:t>Figure 7.4:</w:t>
      </w:r>
      <w:r w:rsidR="006F6B58" w:rsidRPr="0021550A">
        <w:t xml:space="preserve"> </w:t>
      </w:r>
      <w:r w:rsidR="00D36157">
        <w:t>Clustering</w:t>
      </w:r>
      <w:r w:rsidR="006F6B58" w:rsidRPr="0021550A">
        <w:t xml:space="preserve"> the </w:t>
      </w:r>
      <w:r w:rsidR="006F6B58" w:rsidRPr="0021550A">
        <w:rPr>
          <w:i/>
        </w:rPr>
        <w:t>Book of Good Manners</w:t>
      </w:r>
      <w:r w:rsidR="003E685F">
        <w:t xml:space="preserve"> </w:t>
      </w:r>
      <w:r w:rsidR="00D36157">
        <w:t>with</w:t>
      </w:r>
      <w:r w:rsidR="003E685F">
        <w:t xml:space="preserve"> </w:t>
      </w:r>
      <w:r w:rsidR="006F6B58" w:rsidRPr="0021550A">
        <w:t xml:space="preserve">restricted spellings, </w:t>
      </w:r>
      <w:r w:rsidR="006F6B58" w:rsidRPr="0021550A">
        <w:rPr>
          <w:i/>
        </w:rPr>
        <w:t>k</w:t>
      </w:r>
      <w:r w:rsidR="006F6B58" w:rsidRPr="0021550A">
        <w:t xml:space="preserve"> = 2</w:t>
      </w:r>
      <w:bookmarkEnd w:id="195"/>
    </w:p>
    <w:p w14:paraId="5156D6C8" w14:textId="77777777" w:rsidR="006F6B58" w:rsidRPr="0021550A" w:rsidRDefault="006F6B58" w:rsidP="000737CB"/>
    <w:p w14:paraId="2EF93823" w14:textId="77777777" w:rsidR="00CB675C" w:rsidRDefault="006F6B58" w:rsidP="000737CB">
      <w:r w:rsidRPr="0021550A">
        <w:fldChar w:fldCharType="begin"/>
      </w:r>
      <w:r w:rsidRPr="0021550A">
        <w:instrText xml:space="preserve"> REF _Ref491264655 \h </w:instrText>
      </w:r>
      <w:r w:rsidRPr="0021550A">
        <w:fldChar w:fldCharType="separate"/>
      </w:r>
      <w:r w:rsidR="00D11844" w:rsidRPr="0021550A">
        <w:t xml:space="preserve">Figure </w:t>
      </w:r>
      <w:r w:rsidR="00D11844">
        <w:rPr>
          <w:noProof/>
        </w:rPr>
        <w:t>7</w:t>
      </w:r>
      <w:r w:rsidR="00D11844">
        <w:t>.</w:t>
      </w:r>
      <w:r w:rsidR="00D11844">
        <w:rPr>
          <w:noProof/>
        </w:rPr>
        <w:t>4</w:t>
      </w:r>
      <w:r w:rsidRPr="0021550A">
        <w:fldChar w:fldCharType="end"/>
      </w:r>
      <w:r w:rsidRPr="0021550A">
        <w:t xml:space="preserve"> shows a slightly different clustering to that in </w:t>
      </w:r>
      <w:r w:rsidR="00E12429">
        <w:fldChar w:fldCharType="begin"/>
      </w:r>
      <w:r w:rsidR="00E12429">
        <w:instrText xml:space="preserve"> REF _Ref491264203 </w:instrText>
      </w:r>
      <w:r w:rsidR="00E12429">
        <w:fldChar w:fldCharType="separate"/>
      </w:r>
      <w:r w:rsidR="00D11844" w:rsidRPr="0021550A">
        <w:t xml:space="preserve">Figure </w:t>
      </w:r>
      <w:r w:rsidR="00D11844">
        <w:rPr>
          <w:noProof/>
        </w:rPr>
        <w:t>7</w:t>
      </w:r>
      <w:r w:rsidR="00D11844">
        <w:t>.</w:t>
      </w:r>
      <w:r w:rsidR="00D11844">
        <w:rPr>
          <w:noProof/>
        </w:rPr>
        <w:t>3</w:t>
      </w:r>
      <w:r w:rsidR="00E12429">
        <w:rPr>
          <w:noProof/>
        </w:rPr>
        <w:fldChar w:fldCharType="end"/>
      </w:r>
      <w:r w:rsidRPr="0021550A">
        <w:t xml:space="preserve">. In </w:t>
      </w:r>
      <w:r w:rsidR="00E12429">
        <w:fldChar w:fldCharType="begin"/>
      </w:r>
      <w:r w:rsidR="00E12429">
        <w:instrText xml:space="preserve"> REF _Ref491264203 </w:instrText>
      </w:r>
      <w:r w:rsidR="00E12429">
        <w:fldChar w:fldCharType="separate"/>
      </w:r>
      <w:r w:rsidR="00D11844" w:rsidRPr="0021550A">
        <w:t xml:space="preserve">Figure </w:t>
      </w:r>
      <w:r w:rsidR="00D11844">
        <w:rPr>
          <w:noProof/>
        </w:rPr>
        <w:t>7</w:t>
      </w:r>
      <w:r w:rsidR="00D11844">
        <w:t>.</w:t>
      </w:r>
      <w:r w:rsidR="00D11844">
        <w:rPr>
          <w:noProof/>
        </w:rPr>
        <w:t>3</w:t>
      </w:r>
      <w:r w:rsidR="00E12429">
        <w:rPr>
          <w:noProof/>
        </w:rPr>
        <w:fldChar w:fldCharType="end"/>
      </w:r>
      <w:r w:rsidRPr="0021550A">
        <w:t xml:space="preserve"> the divide between the two clusters came halfway through the text at the beginning of Quire e. When we limit the spellings to those that are used in every text Quire e is part of the first quire and the divide between clusters occurs at the start of Quire f. The change in the group that Quire e is clustered into suggests that Quire e is close to the centre of both clusters and </w:t>
      </w:r>
      <w:r w:rsidR="008535C4">
        <w:t xml:space="preserve">therefore </w:t>
      </w:r>
      <w:r w:rsidRPr="0021550A">
        <w:t xml:space="preserve">includes spellings used in quires from both clusters. </w:t>
      </w:r>
    </w:p>
    <w:p w14:paraId="58049B4B" w14:textId="0EFF8961" w:rsidR="00CB675C" w:rsidRPr="0021550A" w:rsidRDefault="006F6B58" w:rsidP="00CB675C">
      <w:r w:rsidRPr="0021550A">
        <w:t xml:space="preserve">We can increase the value of </w:t>
      </w:r>
      <w:r w:rsidRPr="0021550A">
        <w:rPr>
          <w:i/>
        </w:rPr>
        <w:t>k</w:t>
      </w:r>
      <w:r w:rsidRPr="0021550A">
        <w:t xml:space="preserve"> to </w:t>
      </w:r>
      <w:r w:rsidRPr="0021550A">
        <w:rPr>
          <w:i/>
        </w:rPr>
        <w:t>k</w:t>
      </w:r>
      <w:r w:rsidRPr="0021550A">
        <w:t xml:space="preserve"> = 3 t</w:t>
      </w:r>
      <w:r w:rsidR="008535C4">
        <w:t>o look more closely at Quire e.</w:t>
      </w:r>
      <w:r w:rsidR="00CB675C">
        <w:t xml:space="preserve"> </w:t>
      </w:r>
      <w:r w:rsidR="00CB675C">
        <w:fldChar w:fldCharType="begin"/>
      </w:r>
      <w:r w:rsidR="00CB675C">
        <w:instrText xml:space="preserve"> REF _Ref491265292 </w:instrText>
      </w:r>
      <w:r w:rsidR="00CB675C">
        <w:fldChar w:fldCharType="separate"/>
      </w:r>
      <w:r w:rsidR="00D11844" w:rsidRPr="0021550A">
        <w:t xml:space="preserve">Figure </w:t>
      </w:r>
      <w:r w:rsidR="00D11844">
        <w:rPr>
          <w:noProof/>
        </w:rPr>
        <w:t>7</w:t>
      </w:r>
      <w:r w:rsidR="00D11844">
        <w:t>.</w:t>
      </w:r>
      <w:r w:rsidR="00D11844">
        <w:rPr>
          <w:noProof/>
        </w:rPr>
        <w:t>5</w:t>
      </w:r>
      <w:r w:rsidR="00CB675C">
        <w:rPr>
          <w:noProof/>
        </w:rPr>
        <w:fldChar w:fldCharType="end"/>
      </w:r>
      <w:r w:rsidR="00CB675C" w:rsidRPr="0021550A">
        <w:t xml:space="preserve"> shows that Quire e forms a cluster on its own when </w:t>
      </w:r>
      <w:r w:rsidR="00CB675C" w:rsidRPr="0021550A">
        <w:rPr>
          <w:i/>
        </w:rPr>
        <w:t>k</w:t>
      </w:r>
      <w:r w:rsidR="00CB675C" w:rsidRPr="0021550A">
        <w:t xml:space="preserve">-means groups the quires into three clusters. It is not likely that Quire e alone uses different spelling variants to those found in the rest of the text. Instead, it </w:t>
      </w:r>
      <w:r w:rsidR="00CB675C">
        <w:t>is more probable</w:t>
      </w:r>
      <w:r w:rsidR="00CB675C" w:rsidRPr="0021550A">
        <w:t xml:space="preserve"> that Quire e is different to the qu</w:t>
      </w:r>
      <w:r w:rsidR="00CB675C">
        <w:t xml:space="preserve">ires in the </w:t>
      </w:r>
      <w:r w:rsidR="00CB675C">
        <w:lastRenderedPageBreak/>
        <w:t xml:space="preserve">other two clusters </w:t>
      </w:r>
      <w:r w:rsidR="00CB675C" w:rsidRPr="0021550A">
        <w:t xml:space="preserve">because Quire e contains spellings used by the quires on either side. Quire e is therefore neither entirely like the quires in the first cluster nor </w:t>
      </w:r>
      <w:r w:rsidR="00CB675C">
        <w:t xml:space="preserve">entirely like </w:t>
      </w:r>
      <w:r w:rsidR="00CB675C" w:rsidRPr="0021550A">
        <w:t xml:space="preserve">the quires in the second cluster. </w:t>
      </w:r>
      <w:r w:rsidR="00CB675C">
        <w:t>T</w:t>
      </w:r>
      <w:r w:rsidR="00CB675C" w:rsidRPr="0021550A">
        <w:t xml:space="preserve">he distribution in </w:t>
      </w:r>
      <w:r w:rsidR="00CB675C">
        <w:fldChar w:fldCharType="begin"/>
      </w:r>
      <w:r w:rsidR="00CB675C">
        <w:instrText xml:space="preserve"> REF _Ref491265292 </w:instrText>
      </w:r>
      <w:r w:rsidR="00CB675C">
        <w:fldChar w:fldCharType="separate"/>
      </w:r>
      <w:r w:rsidR="00D11844" w:rsidRPr="0021550A">
        <w:t xml:space="preserve">Figure </w:t>
      </w:r>
      <w:r w:rsidR="00D11844">
        <w:rPr>
          <w:noProof/>
        </w:rPr>
        <w:t>7</w:t>
      </w:r>
      <w:r w:rsidR="00D11844">
        <w:t>.</w:t>
      </w:r>
      <w:r w:rsidR="00D11844">
        <w:rPr>
          <w:noProof/>
        </w:rPr>
        <w:t>5</w:t>
      </w:r>
      <w:r w:rsidR="00CB675C">
        <w:rPr>
          <w:noProof/>
        </w:rPr>
        <w:fldChar w:fldCharType="end"/>
      </w:r>
      <w:r w:rsidR="00CB675C" w:rsidRPr="0021550A">
        <w:t xml:space="preserve"> </w:t>
      </w:r>
      <w:r w:rsidR="00CB675C">
        <w:t xml:space="preserve">suggests </w:t>
      </w:r>
      <w:r w:rsidR="00CB675C" w:rsidRPr="0021550A">
        <w:t xml:space="preserve">that the change in spelling variants </w:t>
      </w:r>
      <w:r w:rsidR="00CB675C">
        <w:t xml:space="preserve">in the </w:t>
      </w:r>
      <w:r w:rsidR="00CB675C">
        <w:rPr>
          <w:i/>
        </w:rPr>
        <w:t xml:space="preserve">Book of Good Manners </w:t>
      </w:r>
      <w:r w:rsidR="00CB675C" w:rsidRPr="0021550A">
        <w:t xml:space="preserve">takes place within Quire e, rather than at the start of Quire e or the start of Quire f. </w:t>
      </w:r>
    </w:p>
    <w:p w14:paraId="779D3E90" w14:textId="77777777" w:rsidR="006F6B58" w:rsidRPr="0021550A" w:rsidRDefault="006F6B58" w:rsidP="000737CB"/>
    <w:p w14:paraId="66761A83" w14:textId="452CC26C" w:rsidR="006F6B58" w:rsidRPr="0021550A" w:rsidRDefault="006F6B58" w:rsidP="00C87509">
      <w:r w:rsidRPr="0021550A">
        <w:rPr>
          <w:noProof/>
          <w:lang w:eastAsia="en-GB"/>
        </w:rPr>
        <w:drawing>
          <wp:inline distT="0" distB="0" distL="0" distR="0" wp14:anchorId="01B1096B" wp14:editId="7FC2EFFF">
            <wp:extent cx="2794635" cy="622959"/>
            <wp:effectExtent l="0" t="0" r="0" b="1206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ook of Good Manners k = 3.pdf"/>
                    <pic:cNvPicPr/>
                  </pic:nvPicPr>
                  <pic:blipFill rotWithShape="1">
                    <a:blip r:embed="rId69">
                      <a:extLst>
                        <a:ext uri="{28A0092B-C50C-407E-A947-70E740481C1C}">
                          <a14:useLocalDpi xmlns:a14="http://schemas.microsoft.com/office/drawing/2010/main"/>
                        </a:ext>
                      </a:extLst>
                    </a:blip>
                    <a:srcRect l="4054" t="68985" r="72246" b="21624"/>
                    <a:stretch/>
                  </pic:blipFill>
                  <pic:spPr bwMode="auto">
                    <a:xfrm>
                      <a:off x="0" y="0"/>
                      <a:ext cx="2892413" cy="644755"/>
                    </a:xfrm>
                    <a:prstGeom prst="rect">
                      <a:avLst/>
                    </a:prstGeom>
                    <a:ln>
                      <a:noFill/>
                    </a:ln>
                    <a:extLst>
                      <a:ext uri="{53640926-AAD7-44D8-BBD7-CCE9431645EC}">
                        <a14:shadowObscured xmlns:a14="http://schemas.microsoft.com/office/drawing/2010/main"/>
                      </a:ext>
                    </a:extLst>
                  </pic:spPr>
                </pic:pic>
              </a:graphicData>
            </a:graphic>
          </wp:inline>
        </w:drawing>
      </w:r>
    </w:p>
    <w:p w14:paraId="5BE40BB3" w14:textId="455E6B63" w:rsidR="006F6B58" w:rsidRPr="0021550A" w:rsidRDefault="00453776" w:rsidP="000737CB">
      <w:pPr>
        <w:pStyle w:val="Caption"/>
      </w:pPr>
      <w:bookmarkStart w:id="196" w:name="_Toc499753545"/>
      <w:r>
        <w:t>Figure 7.5:</w:t>
      </w:r>
      <w:r w:rsidR="006F6B58" w:rsidRPr="0021550A">
        <w:t xml:space="preserve"> Cluster</w:t>
      </w:r>
      <w:r w:rsidR="00D36157">
        <w:t xml:space="preserve">ing </w:t>
      </w:r>
      <w:r w:rsidR="006F6B58" w:rsidRPr="0021550A">
        <w:t xml:space="preserve">the </w:t>
      </w:r>
      <w:r w:rsidR="006F6B58" w:rsidRPr="0021550A">
        <w:rPr>
          <w:i/>
        </w:rPr>
        <w:t>Book of Good Manners</w:t>
      </w:r>
      <w:r w:rsidR="006F6B58" w:rsidRPr="0021550A">
        <w:t xml:space="preserve">, </w:t>
      </w:r>
      <w:r w:rsidR="006F6B58" w:rsidRPr="0021550A">
        <w:rPr>
          <w:i/>
        </w:rPr>
        <w:t>k</w:t>
      </w:r>
      <w:r w:rsidR="006F6B58" w:rsidRPr="0021550A">
        <w:t xml:space="preserve"> = 3</w:t>
      </w:r>
      <w:bookmarkEnd w:id="196"/>
    </w:p>
    <w:p w14:paraId="56A1B262" w14:textId="77777777" w:rsidR="006F6B58" w:rsidRPr="0021550A" w:rsidRDefault="006F6B58" w:rsidP="000737CB"/>
    <w:p w14:paraId="727B94E4" w14:textId="28BB693A" w:rsidR="00F8711D" w:rsidRDefault="00523F66" w:rsidP="000737CB">
      <w:r>
        <w:t>While the text is short, t</w:t>
      </w:r>
      <w:r w:rsidR="006F6B58" w:rsidRPr="0021550A">
        <w:t xml:space="preserve">he probability is less than P &lt; 0.05 that the </w:t>
      </w:r>
      <w:r w:rsidR="00F8711D">
        <w:t xml:space="preserve">eight </w:t>
      </w:r>
      <w:r w:rsidR="006F6B58" w:rsidRPr="0021550A">
        <w:t xml:space="preserve">quires </w:t>
      </w:r>
      <w:r w:rsidR="00F5723F">
        <w:t xml:space="preserve">within the </w:t>
      </w:r>
      <w:r w:rsidR="00F5723F">
        <w:rPr>
          <w:i/>
        </w:rPr>
        <w:t>Book of Good Manners</w:t>
      </w:r>
      <w:r w:rsidR="00F5723F" w:rsidRPr="0021550A">
        <w:t xml:space="preserve"> </w:t>
      </w:r>
      <w:r w:rsidR="006F6B58" w:rsidRPr="0021550A">
        <w:t>would group into any two continuous clusters by chance</w:t>
      </w:r>
      <w:r>
        <w:t>,</w:t>
      </w:r>
      <w:r w:rsidR="006F6B58" w:rsidRPr="0021550A">
        <w:t xml:space="preserve"> which suggests that the change in spelling variants reflects a change in one of the sources of spellings. The results from clustering the </w:t>
      </w:r>
      <w:r w:rsidR="006F6B58" w:rsidRPr="0021550A">
        <w:rPr>
          <w:i/>
        </w:rPr>
        <w:t>Book of Good Manners</w:t>
      </w:r>
      <w:r w:rsidR="006F6B58" w:rsidRPr="0021550A">
        <w:t xml:space="preserve"> suggest that this change occurs partway through the text somewhere within Quire e. However, neither a change in compositor nor a change in the copy text is very likely for this text. It is unlikely that two compositors were setting the type concurrently, both because the text is so short, and because the point at which the spellings change takes place within Quire e instead of at the start of a Quire. It also appears unlikely that a change of spellings takes place at the level of the copy text, because Caxton tells us explicitly that </w:t>
      </w:r>
      <w:r w:rsidR="00F8711D">
        <w:t xml:space="preserve">he translated the text into English. </w:t>
      </w:r>
    </w:p>
    <w:p w14:paraId="04844895" w14:textId="2D9C838C" w:rsidR="006F6B58" w:rsidRPr="0021550A" w:rsidRDefault="006F6B58" w:rsidP="000737CB">
      <w:r w:rsidRPr="0021550A">
        <w:t xml:space="preserve">There are two possibilities that account for the change in spellings that takes place partway through the </w:t>
      </w:r>
      <w:r w:rsidRPr="0021550A">
        <w:rPr>
          <w:i/>
        </w:rPr>
        <w:t>Book of Good Manners</w:t>
      </w:r>
      <w:r w:rsidRPr="0021550A">
        <w:t xml:space="preserve">. The first possibility is that there is a change in compositor. While it is unlikely that two compositors would set the type concurrently, it is possible that one compositor took over from another compositor partway through the job. The second possibility is that Caxton did not translate the entirety of the </w:t>
      </w:r>
      <w:r w:rsidRPr="0021550A">
        <w:rPr>
          <w:i/>
        </w:rPr>
        <w:t>Book of Good Manners</w:t>
      </w:r>
      <w:r w:rsidRPr="0021550A">
        <w:t xml:space="preserve"> himself, and that either someone else took over in the middle of the text, or the book was delivered to Caxton in English to begin with. There are no manuscript copies of the </w:t>
      </w:r>
      <w:r w:rsidRPr="0021550A">
        <w:rPr>
          <w:i/>
        </w:rPr>
        <w:t>Book of Good Manners</w:t>
      </w:r>
      <w:r w:rsidRPr="0021550A">
        <w:t xml:space="preserve"> dated earlier than Caxton’s printed edition, but that does not preclud</w:t>
      </w:r>
      <w:r w:rsidR="00523F66">
        <w:t>e a manuscript from having existed.</w:t>
      </w:r>
    </w:p>
    <w:p w14:paraId="61E1220A" w14:textId="351B900C" w:rsidR="006F6B58" w:rsidRPr="0021550A" w:rsidRDefault="006F6B58" w:rsidP="000737CB">
      <w:r w:rsidRPr="0021550A">
        <w:t xml:space="preserve">It is not possible with the information we have at present to </w:t>
      </w:r>
      <w:r w:rsidR="00523F66">
        <w:t xml:space="preserve">find out whether the source of the idiolects in the </w:t>
      </w:r>
      <w:r w:rsidR="00523F66">
        <w:rPr>
          <w:i/>
        </w:rPr>
        <w:t xml:space="preserve">Book of Good Manners </w:t>
      </w:r>
      <w:r w:rsidR="00523F66">
        <w:t>is the copy text or the compositors</w:t>
      </w:r>
      <w:r w:rsidRPr="0021550A">
        <w:t>. The uncertainty here raises a further research question whi</w:t>
      </w:r>
      <w:r w:rsidR="00523F66">
        <w:t xml:space="preserve">ch I will return to in Section </w:t>
      </w:r>
      <w:r w:rsidR="00523F66">
        <w:fldChar w:fldCharType="begin"/>
      </w:r>
      <w:r w:rsidR="00523F66">
        <w:instrText xml:space="preserve"> REF _Ref497397371 \r </w:instrText>
      </w:r>
      <w:r w:rsidR="00523F66">
        <w:fldChar w:fldCharType="separate"/>
      </w:r>
      <w:r w:rsidR="00D11844">
        <w:t>9.2</w:t>
      </w:r>
      <w:r w:rsidR="00523F66">
        <w:fldChar w:fldCharType="end"/>
      </w:r>
      <w:r w:rsidR="00DA3D02">
        <w:t>, Research Question</w:t>
      </w:r>
      <w:r w:rsidR="005376D4">
        <w:t xml:space="preserve"> E</w:t>
      </w:r>
      <w:r w:rsidRPr="0021550A">
        <w:t xml:space="preserve">: what is the source of the change in spelling variants in the </w:t>
      </w:r>
      <w:r w:rsidRPr="0021550A">
        <w:rPr>
          <w:i/>
        </w:rPr>
        <w:t>Book of Good Manners</w:t>
      </w:r>
      <w:r w:rsidRPr="0021550A">
        <w:t xml:space="preserve">? The following two sections consider texts with more complicated backgrounds. The next section considers how we can examine a text where there is </w:t>
      </w:r>
      <w:r w:rsidRPr="0021550A">
        <w:lastRenderedPageBreak/>
        <w:t xml:space="preserve">uncertainty about both the change in compositors and the copy text that was used using Caxton’s edition of the </w:t>
      </w:r>
      <w:r w:rsidRPr="0021550A">
        <w:rPr>
          <w:i/>
        </w:rPr>
        <w:t>Confessio Amantis</w:t>
      </w:r>
      <w:r w:rsidRPr="0021550A">
        <w:t>.</w:t>
      </w:r>
    </w:p>
    <w:p w14:paraId="14E3D664" w14:textId="77777777" w:rsidR="006F6B58" w:rsidRPr="0021550A" w:rsidRDefault="006F6B58" w:rsidP="000737CB"/>
    <w:p w14:paraId="03A47E5E" w14:textId="08D996E7" w:rsidR="006F6B58" w:rsidRPr="0021550A" w:rsidRDefault="006F6B58" w:rsidP="00FC56E8">
      <w:pPr>
        <w:pStyle w:val="Heading2"/>
        <w:jc w:val="left"/>
      </w:pPr>
      <w:bookmarkStart w:id="197" w:name="_Ref497834336"/>
      <w:bookmarkStart w:id="198" w:name="_Toc497899872"/>
      <w:r w:rsidRPr="0021550A">
        <w:t xml:space="preserve">Clustering texts with </w:t>
      </w:r>
      <w:r w:rsidR="00523F66">
        <w:t>uncertain numbers of compositors and copy texts</w:t>
      </w:r>
      <w:r w:rsidRPr="0021550A">
        <w:t xml:space="preserve">: </w:t>
      </w:r>
      <w:r w:rsidRPr="00BC52E0">
        <w:rPr>
          <w:i/>
        </w:rPr>
        <w:t>Confessio Amantis</w:t>
      </w:r>
      <w:bookmarkEnd w:id="197"/>
      <w:bookmarkEnd w:id="198"/>
    </w:p>
    <w:p w14:paraId="3427D0AC" w14:textId="1972BA31" w:rsidR="00DA3D02" w:rsidRDefault="006F6B58" w:rsidP="000737CB">
      <w:r w:rsidRPr="0021550A">
        <w:t xml:space="preserve">This section uses the </w:t>
      </w:r>
      <w:r w:rsidRPr="0021550A">
        <w:rPr>
          <w:i/>
        </w:rPr>
        <w:t>k</w:t>
      </w:r>
      <w:r w:rsidRPr="0021550A">
        <w:t xml:space="preserve">-means clustering algorithm </w:t>
      </w:r>
      <w:r w:rsidR="00DA3D02">
        <w:t xml:space="preserve">to explore texts </w:t>
      </w:r>
      <w:r w:rsidRPr="0021550A">
        <w:t xml:space="preserve">where there the number of compositors or the location in which the compositors change over is uncertain. </w:t>
      </w:r>
      <w:r w:rsidR="00DA3D02">
        <w:t>This section focuses on</w:t>
      </w:r>
      <w:r w:rsidRPr="0021550A">
        <w:t xml:space="preserve"> the </w:t>
      </w:r>
      <w:r w:rsidRPr="0021550A">
        <w:rPr>
          <w:i/>
        </w:rPr>
        <w:t>Confessio Amantis</w:t>
      </w:r>
      <w:r w:rsidR="00DA3D02">
        <w:t xml:space="preserve">. </w:t>
      </w:r>
      <w:r w:rsidRPr="0021550A">
        <w:t xml:space="preserve">The </w:t>
      </w:r>
      <w:r w:rsidRPr="0021550A">
        <w:rPr>
          <w:i/>
        </w:rPr>
        <w:t>Confessio Amantis</w:t>
      </w:r>
      <w:r w:rsidRPr="0021550A">
        <w:t xml:space="preserve"> is an interesting text for investigation for two reasons. Firstly, scholars have disagreed over the number of manuscripts that Caxton’s compositors </w:t>
      </w:r>
      <w:r w:rsidR="00FF4C8E">
        <w:t>used</w:t>
      </w:r>
      <w:r w:rsidRPr="0021550A">
        <w:t xml:space="preserve"> when setting the type </w:t>
      </w:r>
      <w:r w:rsidR="00523F66">
        <w:t>(Macaulay 1901,</w:t>
      </w:r>
      <w:r w:rsidR="00DA3D02" w:rsidRPr="00DA3D02">
        <w:t xml:space="preserve"> Blake 1991b). Secondly, </w:t>
      </w:r>
      <w:r w:rsidR="00FF4C8E">
        <w:t xml:space="preserve">the text appears to have been typeset by two compositors but </w:t>
      </w:r>
      <w:r w:rsidR="00DA3D02" w:rsidRPr="00DA3D02">
        <w:t xml:space="preserve">it is unclear where in the text the </w:t>
      </w:r>
      <w:r w:rsidR="00FF4C8E">
        <w:t>change in compositors takes place</w:t>
      </w:r>
      <w:r w:rsidR="00DA3D02" w:rsidRPr="00DA3D02">
        <w:t xml:space="preserve"> (Hellinga &amp; Painter 2007:</w:t>
      </w:r>
      <w:r w:rsidR="00523F66">
        <w:t xml:space="preserve"> </w:t>
      </w:r>
      <w:r w:rsidR="00DA3D02" w:rsidRPr="00DA3D02">
        <w:t>142).</w:t>
      </w:r>
    </w:p>
    <w:p w14:paraId="3C7B4374" w14:textId="7EF5CC7F" w:rsidR="006F6B58" w:rsidRPr="0021550A" w:rsidRDefault="006F6B58" w:rsidP="000737CB">
      <w:r w:rsidRPr="0021550A">
        <w:t xml:space="preserve">There is uncertainty as to the number of manuscripts that Caxton’s compositors made use of when setting the type. </w:t>
      </w:r>
      <w:r w:rsidR="00DA3D02" w:rsidRPr="0021550A">
        <w:t xml:space="preserve">The texts of the </w:t>
      </w:r>
      <w:r w:rsidR="00DA3D02" w:rsidRPr="0021550A">
        <w:rPr>
          <w:i/>
        </w:rPr>
        <w:t>Confessio Amantis</w:t>
      </w:r>
      <w:r w:rsidR="00DA3D02" w:rsidRPr="0021550A">
        <w:t xml:space="preserve"> have been divided broadly into three recensions, and membership of each recension is determined by a series of textual features </w:t>
      </w:r>
      <w:r w:rsidR="00DA3D02">
        <w:t xml:space="preserve">(Peck 2006: </w:t>
      </w:r>
      <w:r w:rsidR="00DA3D02" w:rsidRPr="00DA3D02">
        <w:t>36). For example, one of the characteristics of the first recension is the prologue and conclusion honouring Richard II, while the second recension does not have a prologue but instead includes a dedication to Henry IV (Blake 1991b:</w:t>
      </w:r>
      <w:r w:rsidR="00DA3D02">
        <w:t xml:space="preserve"> </w:t>
      </w:r>
      <w:r w:rsidR="00DA3D02" w:rsidRPr="00DA3D02">
        <w:t xml:space="preserve">189). </w:t>
      </w:r>
      <w:r w:rsidR="00FF4C8E">
        <w:t xml:space="preserve">George Macaulay </w:t>
      </w:r>
      <w:r w:rsidR="00FF4C8E" w:rsidRPr="00DA3D02">
        <w:t>(1901:</w:t>
      </w:r>
      <w:r w:rsidR="00FF4C8E">
        <w:t xml:space="preserve"> clxviii) argues</w:t>
      </w:r>
      <w:r w:rsidRPr="0021550A">
        <w:t xml:space="preserve"> that Caxton used “at least three” manuscripts to make his own edition</w:t>
      </w:r>
      <w:r w:rsidR="00DA3D02">
        <w:t>, each from one of the three recensions of the text.</w:t>
      </w:r>
      <w:r w:rsidR="00DA3D02" w:rsidRPr="00DA3D02">
        <w:t xml:space="preserve"> </w:t>
      </w:r>
      <w:r w:rsidRPr="0021550A">
        <w:t xml:space="preserve">Macaulay states that because the text that Caxton used contained features from all three of the recensions of the </w:t>
      </w:r>
      <w:r w:rsidRPr="0021550A">
        <w:rPr>
          <w:i/>
        </w:rPr>
        <w:t>Confessio Amantis</w:t>
      </w:r>
      <w:r w:rsidRPr="0021550A">
        <w:t xml:space="preserve">, Caxton must have used three separate manuscripts to create his version of the text. Macaulay’s theory is not universally accepted. Norman Blake argues that the features included in Caxton’s text could conceivably have been from the third, intermediate, recension of the </w:t>
      </w:r>
      <w:r w:rsidRPr="0021550A">
        <w:rPr>
          <w:i/>
        </w:rPr>
        <w:t>Confessio Amantis</w:t>
      </w:r>
      <w:r w:rsidRPr="0021550A">
        <w:t xml:space="preserve">, and not necessarily from three separate manuscripts </w:t>
      </w:r>
      <w:r w:rsidR="00DA3D02" w:rsidRPr="00DA3D02">
        <w:t>(1991b:</w:t>
      </w:r>
      <w:r w:rsidR="003E685F">
        <w:t xml:space="preserve"> </w:t>
      </w:r>
      <w:r w:rsidR="00DA3D02" w:rsidRPr="00DA3D02">
        <w:t>194).</w:t>
      </w:r>
    </w:p>
    <w:p w14:paraId="5FD78D6F" w14:textId="56687B0F" w:rsidR="006F6B58" w:rsidRPr="0021550A" w:rsidRDefault="006F6B58" w:rsidP="000737CB">
      <w:r w:rsidRPr="0021550A">
        <w:t xml:space="preserve">The uncertainty as to the location of the crossover comes from conflicting bibliographic evidence. Hellinga </w:t>
      </w:r>
      <w:r w:rsidR="00FF4C8E">
        <w:t>and</w:t>
      </w:r>
      <w:r w:rsidRPr="0021550A">
        <w:t xml:space="preserve"> Painter suggest two different points at which a change in compositor could have occurred, but are undecided as t</w:t>
      </w:r>
      <w:r w:rsidR="00FF4C8E">
        <w:t>o which one is the likely cross</w:t>
      </w:r>
      <w:r w:rsidRPr="0021550A">
        <w:t xml:space="preserve">over point. </w:t>
      </w:r>
      <w:r w:rsidR="002530AD">
        <w:t xml:space="preserve">They </w:t>
      </w:r>
      <w:r w:rsidR="002530AD" w:rsidRPr="0021550A">
        <w:t xml:space="preserve">believe that Compositor 1 set the quires from the beginning to the end of Quire p, and Compositor 2 set the text in the quires from Quire &amp; to the end of the text at Quire C. The quires between Quire q and Quire z are therefore unaccounted for, and could have been typeset by either compositor. </w:t>
      </w:r>
    </w:p>
    <w:p w14:paraId="6B59C26C" w14:textId="12483135" w:rsidR="006F6B58" w:rsidRPr="0021550A" w:rsidRDefault="002530AD" w:rsidP="000737CB">
      <w:r>
        <w:t xml:space="preserve">Bibliographic evidence does not show where a change in compositors took place in the </w:t>
      </w:r>
      <w:r w:rsidR="006F6B58" w:rsidRPr="0021550A">
        <w:rPr>
          <w:i/>
        </w:rPr>
        <w:t>Confessio Amantis</w:t>
      </w:r>
      <w:r w:rsidR="006F6B58" w:rsidRPr="0021550A">
        <w:t xml:space="preserve">. We can often find where a change in compositor has taken place </w:t>
      </w:r>
      <w:r w:rsidR="006F6B58" w:rsidRPr="0021550A">
        <w:lastRenderedPageBreak/>
        <w:t>because the two sections of text do not join neatly together</w:t>
      </w:r>
      <w:r>
        <w:t xml:space="preserve"> (see Section </w:t>
      </w:r>
      <w:r>
        <w:fldChar w:fldCharType="begin"/>
      </w:r>
      <w:r>
        <w:instrText xml:space="preserve"> REF _Ref496620019 \r </w:instrText>
      </w:r>
      <w:r>
        <w:fldChar w:fldCharType="separate"/>
      </w:r>
      <w:r w:rsidR="00D11844">
        <w:t>2.4</w:t>
      </w:r>
      <w:r>
        <w:fldChar w:fldCharType="end"/>
      </w:r>
      <w:r>
        <w:t xml:space="preserve"> for further discussion)</w:t>
      </w:r>
      <w:r w:rsidR="006F6B58" w:rsidRPr="0021550A">
        <w:t xml:space="preserve">. The join between sections typeset by compositors for the </w:t>
      </w:r>
      <w:r w:rsidR="006F6B58" w:rsidRPr="0021550A">
        <w:rPr>
          <w:i/>
        </w:rPr>
        <w:t>Confessio Amantis</w:t>
      </w:r>
      <w:r w:rsidR="006F6B58" w:rsidRPr="0021550A">
        <w:t xml:space="preserve"> is seamless because </w:t>
      </w:r>
      <w:r>
        <w:t>the</w:t>
      </w:r>
      <w:r w:rsidR="006F6B58" w:rsidRPr="0021550A">
        <w:t xml:space="preserve"> text is in verse and the line</w:t>
      </w:r>
      <w:r>
        <w:t>s</w:t>
      </w:r>
      <w:r w:rsidR="006F6B58" w:rsidRPr="0021550A">
        <w:t xml:space="preserve"> of </w:t>
      </w:r>
      <w:r w:rsidR="00270EBB">
        <w:t>are not</w:t>
      </w:r>
      <w:r>
        <w:t xml:space="preserve"> long enough to</w:t>
      </w:r>
      <w:r w:rsidR="006F6B58" w:rsidRPr="0021550A">
        <w:t xml:space="preserve"> approach the right-side margin. Because the verse lines are so short, when casting off from the copy text the master printer’s role is only to count the number of lines needed to fill each page. In this case, the changeover between the compositors’ sections can take place anywhere in the text because the second compositor’s work just needs to start following the end of a quire set by Compositor 1. Additionally, the </w:t>
      </w:r>
      <w:r w:rsidR="006F6B58" w:rsidRPr="0021550A">
        <w:rPr>
          <w:i/>
        </w:rPr>
        <w:t>Confessio Amantis</w:t>
      </w:r>
      <w:r w:rsidR="006F6B58" w:rsidRPr="0021550A">
        <w:t xml:space="preserve"> is written with frequent breaks between small subsections, sometimes several on a page, and so it is often the case that a quire begins at the same place as a small subsection. For these reasons, the place in the text where the compositors change over is difficult to find on bibliographic grounds alone.</w:t>
      </w:r>
    </w:p>
    <w:p w14:paraId="6D84A709" w14:textId="154CA49E" w:rsidR="006F6B58" w:rsidRPr="0021550A" w:rsidRDefault="006F6B58" w:rsidP="000737CB">
      <w:r w:rsidRPr="0021550A">
        <w:t xml:space="preserve">Locating where a copy text may have changed is also difficult. Caxton does not provide any information about the copy text in his prologue to the </w:t>
      </w:r>
      <w:r w:rsidRPr="0021550A">
        <w:rPr>
          <w:i/>
        </w:rPr>
        <w:t>Confessio Amantis</w:t>
      </w:r>
      <w:r w:rsidRPr="0021550A">
        <w:t xml:space="preserve">, and there are no more recent studies into the copy text than Blake’s. Macaulay provides line numbers for the points at which the manuscripts used by Caxton change over that correspond to lines in </w:t>
      </w:r>
      <w:r w:rsidR="00CC3995">
        <w:t>Macaulay’s own</w:t>
      </w:r>
      <w:r w:rsidRPr="0021550A">
        <w:t xml:space="preserve"> edition</w:t>
      </w:r>
      <w:r w:rsidR="00CC3995">
        <w:t xml:space="preserve"> of the text</w:t>
      </w:r>
      <w:r w:rsidRPr="0021550A">
        <w:t xml:space="preserve">; he suggests that changes occur at lines 4500 and 6400, </w:t>
      </w:r>
      <w:r w:rsidR="00CC3995">
        <w:t>which take place on</w:t>
      </w:r>
      <w:r w:rsidRPr="0021550A">
        <w:t xml:space="preserve"> pages 139</w:t>
      </w:r>
      <w:r w:rsidRPr="0021550A">
        <w:rPr>
          <w:vertAlign w:val="superscript"/>
        </w:rPr>
        <w:t>b</w:t>
      </w:r>
      <w:r w:rsidRPr="0021550A">
        <w:t xml:space="preserve"> and 176</w:t>
      </w:r>
      <w:r w:rsidRPr="0021550A">
        <w:rPr>
          <w:vertAlign w:val="superscript"/>
        </w:rPr>
        <w:t>a</w:t>
      </w:r>
      <w:r w:rsidRPr="0021550A">
        <w:t xml:space="preserve"> respectively</w:t>
      </w:r>
      <w:r w:rsidR="002530AD">
        <w:t xml:space="preserve"> in Caxton’s text</w:t>
      </w:r>
      <w:r w:rsidRPr="0021550A">
        <w:t xml:space="preserve">. These pages are close to the two locations suggested by Hellinga </w:t>
      </w:r>
      <w:r w:rsidR="00CC3995">
        <w:t>and</w:t>
      </w:r>
      <w:r w:rsidRPr="0021550A">
        <w:t xml:space="preserve"> Painter as a site for the changeover in compositors, at either page 129</w:t>
      </w:r>
      <w:r w:rsidRPr="0021550A">
        <w:rPr>
          <w:vertAlign w:val="superscript"/>
        </w:rPr>
        <w:t xml:space="preserve">a </w:t>
      </w:r>
      <w:r w:rsidRPr="0021550A">
        <w:t>or page 192</w:t>
      </w:r>
      <w:r w:rsidRPr="0021550A">
        <w:rPr>
          <w:vertAlign w:val="superscript"/>
        </w:rPr>
        <w:t>b</w:t>
      </w:r>
      <w:r w:rsidRPr="0021550A">
        <w:t xml:space="preserve">. In terms of quires, Hellinga </w:t>
      </w:r>
      <w:r w:rsidR="00CC3995">
        <w:t>and</w:t>
      </w:r>
      <w:r w:rsidRPr="0021550A">
        <w:t xml:space="preserve"> Painter believe that a change in compositor takes place at the beginning of Quire q or the beginning of Quire &amp;, and Macaulay believes that a change in the copy text used by Caxton takes place within Quire r and at the beginning of Quire y. </w:t>
      </w:r>
      <w:r w:rsidR="002530AD">
        <w:t>By</w:t>
      </w:r>
      <w:r w:rsidRPr="0021550A">
        <w:t xml:space="preserve"> using cluster analysis, it is possible to determine </w:t>
      </w:r>
      <w:r w:rsidR="00CC3995">
        <w:t>whether any</w:t>
      </w:r>
      <w:r w:rsidR="002530AD">
        <w:t xml:space="preserve"> of the locations </w:t>
      </w:r>
      <w:r w:rsidR="002530AD" w:rsidRPr="0021550A">
        <w:t xml:space="preserve">suggested by Macaulay or Hellinga </w:t>
      </w:r>
      <w:r w:rsidR="00CC3995">
        <w:t>and</w:t>
      </w:r>
      <w:r w:rsidR="002530AD" w:rsidRPr="0021550A">
        <w:t xml:space="preserve"> Painter</w:t>
      </w:r>
      <w:r w:rsidR="002530AD">
        <w:t xml:space="preserve"> are where</w:t>
      </w:r>
      <w:r w:rsidRPr="0021550A">
        <w:t xml:space="preserve"> changes in either compositors or copy texts took place. </w:t>
      </w:r>
    </w:p>
    <w:p w14:paraId="15090393" w14:textId="0BF9781B" w:rsidR="006F6B58" w:rsidRPr="0021550A" w:rsidRDefault="006F6B58" w:rsidP="000737CB">
      <w:r w:rsidRPr="0021550A">
        <w:t xml:space="preserve">We can begin by investigating the </w:t>
      </w:r>
      <w:r w:rsidRPr="0021550A">
        <w:rPr>
          <w:i/>
        </w:rPr>
        <w:t>Confessio Amantis</w:t>
      </w:r>
      <w:r w:rsidRPr="0021550A">
        <w:t xml:space="preserve"> using </w:t>
      </w:r>
      <w:r w:rsidRPr="0021550A">
        <w:rPr>
          <w:i/>
        </w:rPr>
        <w:t>k</w:t>
      </w:r>
      <w:r w:rsidRPr="0021550A">
        <w:t xml:space="preserve">-means clustering, and setting </w:t>
      </w:r>
      <w:r w:rsidRPr="0021550A">
        <w:rPr>
          <w:i/>
        </w:rPr>
        <w:t>k</w:t>
      </w:r>
      <w:r w:rsidRPr="0021550A">
        <w:t xml:space="preserve"> = 2 because Hellinga </w:t>
      </w:r>
      <w:r w:rsidR="00CC3995">
        <w:t>and</w:t>
      </w:r>
      <w:r w:rsidRPr="0021550A">
        <w:t xml:space="preserve"> Painter believe that two compositors set the type. The clustering results are presented in </w:t>
      </w:r>
      <w:r w:rsidR="00E12429">
        <w:fldChar w:fldCharType="begin"/>
      </w:r>
      <w:r w:rsidR="00E12429">
        <w:instrText xml:space="preserve"> REF _Ref491076408 </w:instrText>
      </w:r>
      <w:r w:rsidR="00E12429">
        <w:fldChar w:fldCharType="separate"/>
      </w:r>
      <w:r w:rsidR="00D11844" w:rsidRPr="0021550A">
        <w:t xml:space="preserve">Figure </w:t>
      </w:r>
      <w:r w:rsidR="00D11844">
        <w:rPr>
          <w:noProof/>
        </w:rPr>
        <w:t>7</w:t>
      </w:r>
      <w:r w:rsidR="00D11844">
        <w:t>.</w:t>
      </w:r>
      <w:r w:rsidR="00D11844">
        <w:rPr>
          <w:noProof/>
        </w:rPr>
        <w:t>6</w:t>
      </w:r>
      <w:r w:rsidR="00E12429">
        <w:rPr>
          <w:noProof/>
        </w:rPr>
        <w:fldChar w:fldCharType="end"/>
      </w:r>
      <w:r w:rsidRPr="0021550A">
        <w:t>.</w:t>
      </w:r>
    </w:p>
    <w:p w14:paraId="15DAE942" w14:textId="77777777" w:rsidR="006F6B58" w:rsidRPr="0021550A" w:rsidRDefault="006F6B58" w:rsidP="000737CB"/>
    <w:p w14:paraId="0A334E10" w14:textId="6A92466D" w:rsidR="006F6B58" w:rsidRPr="0021550A" w:rsidRDefault="006F6B58" w:rsidP="00115510">
      <w:pPr>
        <w:ind w:firstLine="0"/>
      </w:pPr>
      <w:r w:rsidRPr="0021550A">
        <w:rPr>
          <w:noProof/>
          <w:lang w:eastAsia="en-GB"/>
        </w:rPr>
        <w:drawing>
          <wp:inline distT="0" distB="0" distL="0" distR="0" wp14:anchorId="747E12F1" wp14:editId="23A9A61B">
            <wp:extent cx="5075054" cy="1259058"/>
            <wp:effectExtent l="0" t="0" r="5080" b="1143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nfessio k = 2 mss.pdf"/>
                    <pic:cNvPicPr/>
                  </pic:nvPicPr>
                  <pic:blipFill rotWithShape="1">
                    <a:blip r:embed="rId70">
                      <a:extLst>
                        <a:ext uri="{28A0092B-C50C-407E-A947-70E740481C1C}">
                          <a14:useLocalDpi xmlns:a14="http://schemas.microsoft.com/office/drawing/2010/main"/>
                        </a:ext>
                      </a:extLst>
                    </a:blip>
                    <a:srcRect l="3562" t="12007" r="49404" b="67250"/>
                    <a:stretch/>
                  </pic:blipFill>
                  <pic:spPr bwMode="auto">
                    <a:xfrm>
                      <a:off x="0" y="0"/>
                      <a:ext cx="5153589" cy="1278542"/>
                    </a:xfrm>
                    <a:prstGeom prst="rect">
                      <a:avLst/>
                    </a:prstGeom>
                    <a:ln>
                      <a:noFill/>
                    </a:ln>
                    <a:extLst>
                      <a:ext uri="{53640926-AAD7-44D8-BBD7-CCE9431645EC}">
                        <a14:shadowObscured xmlns:a14="http://schemas.microsoft.com/office/drawing/2010/main"/>
                      </a:ext>
                    </a:extLst>
                  </pic:spPr>
                </pic:pic>
              </a:graphicData>
            </a:graphic>
          </wp:inline>
        </w:drawing>
      </w:r>
    </w:p>
    <w:p w14:paraId="6D46816B" w14:textId="588D7193" w:rsidR="006F6B58" w:rsidRPr="0021550A" w:rsidRDefault="00453776" w:rsidP="000737CB">
      <w:pPr>
        <w:pStyle w:val="Caption"/>
      </w:pPr>
      <w:bookmarkStart w:id="199" w:name="_Toc499753546"/>
      <w:r>
        <w:t>Figure 7.6:</w:t>
      </w:r>
      <w:r w:rsidR="006F6B58" w:rsidRPr="0021550A">
        <w:t xml:space="preserve"> </w:t>
      </w:r>
      <w:r w:rsidR="00104CBE">
        <w:t>Clustering the</w:t>
      </w:r>
      <w:r w:rsidR="006F6B58" w:rsidRPr="0021550A">
        <w:t xml:space="preserve"> </w:t>
      </w:r>
      <w:r w:rsidR="006F6B58" w:rsidRPr="0021550A">
        <w:rPr>
          <w:i/>
        </w:rPr>
        <w:t>Confessio Amantis</w:t>
      </w:r>
      <w:r w:rsidR="00104CBE">
        <w:t>,</w:t>
      </w:r>
      <w:r w:rsidR="006F6B58" w:rsidRPr="0021550A">
        <w:t xml:space="preserve"> </w:t>
      </w:r>
      <w:r w:rsidR="006F6B58" w:rsidRPr="0021550A">
        <w:rPr>
          <w:i/>
        </w:rPr>
        <w:t>k</w:t>
      </w:r>
      <w:r w:rsidR="006F6B58" w:rsidRPr="0021550A">
        <w:t xml:space="preserve"> = 2</w:t>
      </w:r>
      <w:bookmarkEnd w:id="199"/>
    </w:p>
    <w:p w14:paraId="44DFDC42" w14:textId="77777777" w:rsidR="006F6B58" w:rsidRPr="0021550A" w:rsidRDefault="006F6B58" w:rsidP="000737CB"/>
    <w:p w14:paraId="5B11A984" w14:textId="3E870031" w:rsidR="006F6B58" w:rsidRPr="0021550A" w:rsidRDefault="00E12429" w:rsidP="000737CB">
      <w:r>
        <w:lastRenderedPageBreak/>
        <w:fldChar w:fldCharType="begin"/>
      </w:r>
      <w:r>
        <w:instrText xml:space="preserve"> REF _Ref491076408 </w:instrText>
      </w:r>
      <w:r>
        <w:fldChar w:fldCharType="separate"/>
      </w:r>
      <w:r w:rsidR="00D11844" w:rsidRPr="0021550A">
        <w:t xml:space="preserve">Figure </w:t>
      </w:r>
      <w:r w:rsidR="00D11844">
        <w:rPr>
          <w:noProof/>
        </w:rPr>
        <w:t>7</w:t>
      </w:r>
      <w:r w:rsidR="00D11844">
        <w:t>.</w:t>
      </w:r>
      <w:r w:rsidR="00D11844">
        <w:rPr>
          <w:noProof/>
        </w:rPr>
        <w:t>6</w:t>
      </w:r>
      <w:r>
        <w:rPr>
          <w:noProof/>
        </w:rPr>
        <w:fldChar w:fldCharType="end"/>
      </w:r>
      <w:r w:rsidR="006F6B58" w:rsidRPr="0021550A">
        <w:t xml:space="preserve"> shows the distribution of the quires of the </w:t>
      </w:r>
      <w:r w:rsidR="006F6B58" w:rsidRPr="0021550A">
        <w:rPr>
          <w:i/>
        </w:rPr>
        <w:t>Confessio Amantis</w:t>
      </w:r>
      <w:r w:rsidR="006F6B58" w:rsidRPr="0021550A">
        <w:t xml:space="preserve">. The </w:t>
      </w:r>
      <w:r w:rsidR="00CC3995">
        <w:t xml:space="preserve">three manuscripts suggested by </w:t>
      </w:r>
      <w:r w:rsidR="006F6B58" w:rsidRPr="0021550A">
        <w:t xml:space="preserve">Macaulay are provided above the quires, and the points at which Hellinga </w:t>
      </w:r>
      <w:r w:rsidR="00AE0CC8">
        <w:t>and</w:t>
      </w:r>
      <w:r w:rsidR="006F6B58" w:rsidRPr="0021550A">
        <w:t xml:space="preserve"> Painter believe the compositors may have changed are marked out below the quires. </w:t>
      </w:r>
      <w:r w:rsidR="00AE0CC8">
        <w:t xml:space="preserve">In </w:t>
      </w:r>
      <w:r w:rsidR="00AE0CC8">
        <w:fldChar w:fldCharType="begin"/>
      </w:r>
      <w:r w:rsidR="00AE0CC8">
        <w:instrText xml:space="preserve"> REF _Ref491076408 </w:instrText>
      </w:r>
      <w:r w:rsidR="00AE0CC8">
        <w:fldChar w:fldCharType="separate"/>
      </w:r>
      <w:r w:rsidR="00D11844" w:rsidRPr="0021550A">
        <w:t xml:space="preserve">Figure </w:t>
      </w:r>
      <w:r w:rsidR="00D11844">
        <w:rPr>
          <w:noProof/>
        </w:rPr>
        <w:t>7</w:t>
      </w:r>
      <w:r w:rsidR="00D11844">
        <w:t>.</w:t>
      </w:r>
      <w:r w:rsidR="00D11844">
        <w:rPr>
          <w:noProof/>
        </w:rPr>
        <w:t>6</w:t>
      </w:r>
      <w:r w:rsidR="00AE0CC8">
        <w:rPr>
          <w:noProof/>
        </w:rPr>
        <w:fldChar w:fldCharType="end"/>
      </w:r>
      <w:r w:rsidR="00AE0CC8" w:rsidRPr="0021550A">
        <w:t xml:space="preserve"> </w:t>
      </w:r>
      <w:r w:rsidR="00AE0CC8">
        <w:t>t</w:t>
      </w:r>
      <w:r w:rsidR="006F6B58" w:rsidRPr="0021550A">
        <w:t xml:space="preserve">he quires are divided into two clusters, marked out by a change in colour. </w:t>
      </w:r>
      <w:r w:rsidR="00AE0CC8">
        <w:t xml:space="preserve">The first cluster, in yellow, </w:t>
      </w:r>
      <w:r w:rsidR="006F6B58" w:rsidRPr="0021550A">
        <w:t>runs from the start of the text to the end of Quire u, and the second cluster</w:t>
      </w:r>
      <w:r w:rsidR="00AE0CC8">
        <w:t>, in blue,</w:t>
      </w:r>
      <w:r w:rsidR="006F6B58" w:rsidRPr="0021550A">
        <w:t xml:space="preserve"> is formed of the quires from Quire y to the end of the text at Quire C. </w:t>
      </w:r>
      <w:r>
        <w:fldChar w:fldCharType="begin"/>
      </w:r>
      <w:r>
        <w:instrText xml:space="preserve"> REF _Ref491076408 </w:instrText>
      </w:r>
      <w:r>
        <w:fldChar w:fldCharType="separate"/>
      </w:r>
      <w:r w:rsidR="00D11844" w:rsidRPr="0021550A">
        <w:t xml:space="preserve">Figure </w:t>
      </w:r>
      <w:r w:rsidR="00D11844">
        <w:rPr>
          <w:noProof/>
        </w:rPr>
        <w:t>7</w:t>
      </w:r>
      <w:r w:rsidR="00D11844">
        <w:t>.</w:t>
      </w:r>
      <w:r w:rsidR="00D11844">
        <w:rPr>
          <w:noProof/>
        </w:rPr>
        <w:t>6</w:t>
      </w:r>
      <w:r>
        <w:rPr>
          <w:noProof/>
        </w:rPr>
        <w:fldChar w:fldCharType="end"/>
      </w:r>
      <w:r w:rsidR="006F6B58" w:rsidRPr="0021550A">
        <w:t xml:space="preserve"> shows that neither of the points suggested by Hellinga </w:t>
      </w:r>
      <w:r w:rsidR="00AE0CC8">
        <w:t>and</w:t>
      </w:r>
      <w:r w:rsidR="006F6B58" w:rsidRPr="0021550A">
        <w:t xml:space="preserve"> Painter are the location of a change in spelling when </w:t>
      </w:r>
      <w:r w:rsidR="006F6B58" w:rsidRPr="0021550A">
        <w:rPr>
          <w:i/>
        </w:rPr>
        <w:t>k</w:t>
      </w:r>
      <w:r w:rsidR="006F6B58" w:rsidRPr="0021550A">
        <w:t xml:space="preserve"> = 2, but the changeover takes place in the middle of the section of text that they have not attributed to either compositor. The divide between the two clusters takes place at the beginning of Quire x, which is close to the change suggested by Macaulay between Manuscript 2 and Manuscript 3. </w:t>
      </w:r>
    </w:p>
    <w:p w14:paraId="4FA1091D" w14:textId="4A8D1B8B" w:rsidR="006F6B58" w:rsidRDefault="006F6B58" w:rsidP="000737CB">
      <w:r w:rsidRPr="0021550A">
        <w:t xml:space="preserve">The divide at the start of Quire x is not entirely stable. When using repeated iterations of </w:t>
      </w:r>
      <w:r w:rsidRPr="0021550A">
        <w:rPr>
          <w:i/>
        </w:rPr>
        <w:t>k</w:t>
      </w:r>
      <w:r w:rsidRPr="0021550A">
        <w:t xml:space="preserve">-means, </w:t>
      </w:r>
      <w:r w:rsidR="00987D83">
        <w:t>eighty-five</w:t>
      </w:r>
      <w:r w:rsidRPr="0021550A">
        <w:t xml:space="preserve"> per cent of the time Quire x was given as the divide between Cluster 1 and Cluster 2, however the other </w:t>
      </w:r>
      <w:r w:rsidR="00987D83">
        <w:t>fifteen</w:t>
      </w:r>
      <w:r w:rsidRPr="0021550A">
        <w:t xml:space="preserve"> per cent of the time, the divide between the clusters occurs at the start of Quire y, which matches up exactly with where Macaulay says that the manuscripts change over. The Lloyds algorithm works by taking random centres for the two clusters to begin with, and the algorithm refines these centres by repeatedly checking against </w:t>
      </w:r>
      <w:r w:rsidR="00B62E65">
        <w:t xml:space="preserve">other </w:t>
      </w:r>
      <w:r w:rsidRPr="0021550A">
        <w:t xml:space="preserve">alternative centres nearby. </w:t>
      </w:r>
      <w:r w:rsidRPr="0021550A">
        <w:rPr>
          <w:i/>
        </w:rPr>
        <w:t>K</w:t>
      </w:r>
      <w:r w:rsidRPr="0021550A">
        <w:t xml:space="preserve">-means clusters the text by assessing the clusters on a global scale, instead of on a local scale which would assess the data object by object. Because the centres are randomly placed to begin and then gradually move towards an optimal location, the final placement of the centres of each cluster can change slightly between iterations. If one of the objects is close to two clusters, it is possible for the object to be grouped with a different cluster each time the algorithm is run, particularly if the algorithm is run on a suboptimal value for </w:t>
      </w:r>
      <w:r w:rsidRPr="0021550A">
        <w:rPr>
          <w:i/>
        </w:rPr>
        <w:t>k</w:t>
      </w:r>
      <w:r w:rsidRPr="0021550A">
        <w:t xml:space="preserve">. In this case, Quire x is </w:t>
      </w:r>
      <w:r w:rsidR="00B62E65">
        <w:t>almost equidistant</w:t>
      </w:r>
      <w:r w:rsidRPr="0021550A">
        <w:t xml:space="preserve"> to </w:t>
      </w:r>
      <w:r w:rsidR="00B62E65">
        <w:t xml:space="preserve">the centres of </w:t>
      </w:r>
      <w:r w:rsidRPr="0021550A">
        <w:t xml:space="preserve">both Cluster 1 and Cluster 2 when </w:t>
      </w:r>
      <w:r w:rsidRPr="0021550A">
        <w:rPr>
          <w:i/>
        </w:rPr>
        <w:t>k</w:t>
      </w:r>
      <w:r w:rsidRPr="0021550A">
        <w:t xml:space="preserve"> = 2, and so Quire x sometimes falls into a different cluster. The results of </w:t>
      </w:r>
      <w:r w:rsidRPr="0021550A">
        <w:rPr>
          <w:i/>
        </w:rPr>
        <w:t>k</w:t>
      </w:r>
      <w:r w:rsidRPr="0021550A">
        <w:t xml:space="preserve">-means cluster analysis are stable when </w:t>
      </w:r>
      <w:r w:rsidRPr="0021550A">
        <w:rPr>
          <w:i/>
        </w:rPr>
        <w:t>k</w:t>
      </w:r>
      <w:r w:rsidRPr="0021550A">
        <w:t xml:space="preserve"> = 3, and the results do not provide coherent clusters when </w:t>
      </w:r>
      <w:r w:rsidRPr="0021550A">
        <w:rPr>
          <w:i/>
        </w:rPr>
        <w:t>k</w:t>
      </w:r>
      <w:r w:rsidRPr="0021550A">
        <w:t xml:space="preserve"> = 4, which suggests that </w:t>
      </w:r>
      <w:r w:rsidRPr="0021550A">
        <w:rPr>
          <w:i/>
        </w:rPr>
        <w:t>k</w:t>
      </w:r>
      <w:r w:rsidRPr="0021550A">
        <w:t xml:space="preserve"> = 3 is the optimal number of clusters. </w:t>
      </w:r>
    </w:p>
    <w:p w14:paraId="35B456C0" w14:textId="77777777" w:rsidR="002530AD" w:rsidRPr="0021550A" w:rsidRDefault="002530AD" w:rsidP="000737CB"/>
    <w:p w14:paraId="6FE78768" w14:textId="11945153" w:rsidR="006F6B58" w:rsidRPr="0021550A" w:rsidRDefault="006F6B58" w:rsidP="00115510">
      <w:pPr>
        <w:ind w:firstLine="0"/>
      </w:pPr>
      <w:r w:rsidRPr="0021550A">
        <w:rPr>
          <w:noProof/>
          <w:lang w:eastAsia="en-GB"/>
        </w:rPr>
        <w:drawing>
          <wp:inline distT="0" distB="0" distL="0" distR="0" wp14:anchorId="3E562BB5" wp14:editId="0AD786B0">
            <wp:extent cx="4902591" cy="1206621"/>
            <wp:effectExtent l="0" t="0" r="0" b="127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nfessio k = 3 mss.pdf"/>
                    <pic:cNvPicPr/>
                  </pic:nvPicPr>
                  <pic:blipFill rotWithShape="1">
                    <a:blip r:embed="rId71">
                      <a:extLst>
                        <a:ext uri="{28A0092B-C50C-407E-A947-70E740481C1C}">
                          <a14:useLocalDpi xmlns:a14="http://schemas.microsoft.com/office/drawing/2010/main"/>
                        </a:ext>
                      </a:extLst>
                    </a:blip>
                    <a:srcRect l="3440" t="12007" r="49651" b="67468"/>
                    <a:stretch/>
                  </pic:blipFill>
                  <pic:spPr bwMode="auto">
                    <a:xfrm>
                      <a:off x="0" y="0"/>
                      <a:ext cx="5036909" cy="1239679"/>
                    </a:xfrm>
                    <a:prstGeom prst="rect">
                      <a:avLst/>
                    </a:prstGeom>
                    <a:ln>
                      <a:noFill/>
                    </a:ln>
                    <a:extLst>
                      <a:ext uri="{53640926-AAD7-44D8-BBD7-CCE9431645EC}">
                        <a14:shadowObscured xmlns:a14="http://schemas.microsoft.com/office/drawing/2010/main"/>
                      </a:ext>
                    </a:extLst>
                  </pic:spPr>
                </pic:pic>
              </a:graphicData>
            </a:graphic>
          </wp:inline>
        </w:drawing>
      </w:r>
    </w:p>
    <w:p w14:paraId="204293E0" w14:textId="4FC386A6" w:rsidR="006F6B58" w:rsidRPr="0021550A" w:rsidRDefault="00453776" w:rsidP="000737CB">
      <w:pPr>
        <w:pStyle w:val="Caption"/>
      </w:pPr>
      <w:bookmarkStart w:id="200" w:name="_Toc499753547"/>
      <w:r>
        <w:t>Figure 7.7:</w:t>
      </w:r>
      <w:r w:rsidR="006F6B58" w:rsidRPr="0021550A">
        <w:t xml:space="preserve"> </w:t>
      </w:r>
      <w:r w:rsidR="00104CBE">
        <w:t>Clustering</w:t>
      </w:r>
      <w:r w:rsidR="006F6B58" w:rsidRPr="0021550A">
        <w:t xml:space="preserve"> the </w:t>
      </w:r>
      <w:r w:rsidR="006F6B58" w:rsidRPr="0021550A">
        <w:rPr>
          <w:i/>
        </w:rPr>
        <w:t>Confessio Amantis</w:t>
      </w:r>
      <w:r w:rsidR="003E685F">
        <w:t>,</w:t>
      </w:r>
      <w:r w:rsidR="006F6B58" w:rsidRPr="0021550A">
        <w:t xml:space="preserve"> </w:t>
      </w:r>
      <w:r w:rsidR="006F6B58" w:rsidRPr="0021550A">
        <w:rPr>
          <w:i/>
        </w:rPr>
        <w:t>k</w:t>
      </w:r>
      <w:r w:rsidR="006F6B58" w:rsidRPr="0021550A">
        <w:t xml:space="preserve"> = 3</w:t>
      </w:r>
      <w:bookmarkEnd w:id="200"/>
      <w:r w:rsidR="006F6B58" w:rsidRPr="0021550A">
        <w:t xml:space="preserve"> </w:t>
      </w:r>
    </w:p>
    <w:p w14:paraId="352FABDA" w14:textId="77777777" w:rsidR="006F6B58" w:rsidRPr="0021550A" w:rsidRDefault="006F6B58" w:rsidP="000737CB"/>
    <w:p w14:paraId="00E09BDF" w14:textId="59E6EE7F" w:rsidR="006F6B58" w:rsidRPr="0021550A" w:rsidRDefault="00E12429" w:rsidP="000737CB">
      <w:r>
        <w:lastRenderedPageBreak/>
        <w:fldChar w:fldCharType="begin"/>
      </w:r>
      <w:r>
        <w:instrText xml:space="preserve"> REF _Ref491085790 </w:instrText>
      </w:r>
      <w:r>
        <w:fldChar w:fldCharType="separate"/>
      </w:r>
      <w:r w:rsidR="00D11844" w:rsidRPr="0021550A">
        <w:t xml:space="preserve">Figure </w:t>
      </w:r>
      <w:r w:rsidR="00D11844">
        <w:rPr>
          <w:noProof/>
        </w:rPr>
        <w:t>7</w:t>
      </w:r>
      <w:r w:rsidR="00D11844">
        <w:t>.</w:t>
      </w:r>
      <w:r w:rsidR="00D11844">
        <w:rPr>
          <w:noProof/>
        </w:rPr>
        <w:t>7</w:t>
      </w:r>
      <w:r>
        <w:rPr>
          <w:noProof/>
        </w:rPr>
        <w:fldChar w:fldCharType="end"/>
      </w:r>
      <w:r w:rsidR="006F6B58" w:rsidRPr="0021550A">
        <w:t xml:space="preserve"> shows the three clusters of quires when we use </w:t>
      </w:r>
      <w:r w:rsidR="006F6B58" w:rsidRPr="0021550A">
        <w:rPr>
          <w:i/>
        </w:rPr>
        <w:t>k</w:t>
      </w:r>
      <w:r w:rsidR="006F6B58" w:rsidRPr="0021550A">
        <w:t xml:space="preserve">-means clustering on the </w:t>
      </w:r>
      <w:r w:rsidR="006F6B58" w:rsidRPr="0021550A">
        <w:rPr>
          <w:i/>
        </w:rPr>
        <w:t>Confessio Amantis</w:t>
      </w:r>
      <w:r w:rsidR="00B62E65">
        <w:t xml:space="preserve"> at </w:t>
      </w:r>
      <w:r w:rsidR="00B62E65">
        <w:rPr>
          <w:i/>
        </w:rPr>
        <w:t>k</w:t>
      </w:r>
      <w:r w:rsidR="00B62E65">
        <w:t xml:space="preserve"> = 3</w:t>
      </w:r>
      <w:r w:rsidR="006F6B58" w:rsidRPr="0021550A">
        <w:t xml:space="preserve">. The first cluster runs from Quire a to the end of Quire p, the second cluster runs from Quire q to the end of Quire y, and the final cluster runs from Quire z to the end of the text at Quire C. The points at which the clusters change align directly with points suggested by </w:t>
      </w:r>
      <w:r w:rsidR="000836A3">
        <w:t xml:space="preserve">both </w:t>
      </w:r>
      <w:r w:rsidR="006F6B58" w:rsidRPr="0021550A">
        <w:t xml:space="preserve">Macaulay and Hellinga </w:t>
      </w:r>
      <w:r w:rsidR="000836A3">
        <w:t>and</w:t>
      </w:r>
      <w:r w:rsidR="006F6B58" w:rsidRPr="0021550A">
        <w:t xml:space="preserve"> Painter. The change in spelling variants at the beginning of Quire q lines up with the change suggested by Hellinga </w:t>
      </w:r>
      <w:r w:rsidR="000836A3">
        <w:t>and</w:t>
      </w:r>
      <w:r w:rsidR="006F6B58" w:rsidRPr="0021550A">
        <w:t xml:space="preserve"> Painter for a change in compositor, and the change in spellings at the beginning of Quire y lines up with where Macaulay says that a change in the manuscript used as the copy text takes place. </w:t>
      </w:r>
    </w:p>
    <w:p w14:paraId="3EA0E8AB" w14:textId="4DE79D13" w:rsidR="002530AD" w:rsidRDefault="002530AD" w:rsidP="000737CB"/>
    <w:p w14:paraId="5101D224" w14:textId="62D6B90C" w:rsidR="002530AD" w:rsidRPr="0021550A" w:rsidRDefault="002530AD" w:rsidP="002530AD">
      <w:pPr>
        <w:pStyle w:val="Heading3"/>
      </w:pPr>
      <w:r>
        <w:t xml:space="preserve">Change in compositor in Caxton’s </w:t>
      </w:r>
      <w:r>
        <w:rPr>
          <w:i/>
        </w:rPr>
        <w:t>Confessio Amantis</w:t>
      </w:r>
    </w:p>
    <w:p w14:paraId="7B0BE6DB" w14:textId="7DE19DFC" w:rsidR="006F6B58" w:rsidRDefault="006F6B58" w:rsidP="000737CB">
      <w:r w:rsidRPr="0021550A">
        <w:t xml:space="preserve">The change at Quire q is likely to be a result of a change in compositor. The changes noted by Hellinga </w:t>
      </w:r>
      <w:r w:rsidR="004B6256">
        <w:t>and</w:t>
      </w:r>
      <w:r w:rsidRPr="0021550A">
        <w:t xml:space="preserve"> Painter are indicative of a change in compositor at this location, in particular the change in the use of the letter forms for the letter </w:t>
      </w:r>
      <w:r w:rsidRPr="0021550A">
        <w:rPr>
          <w:i/>
        </w:rPr>
        <w:t>I</w:t>
      </w:r>
      <w:r w:rsidRPr="0021550A">
        <w:t xml:space="preserve"> and the change in the style of numbering. Up until Quire q, only I</w:t>
      </w:r>
      <w:r w:rsidRPr="0021550A">
        <w:rPr>
          <w:vertAlign w:val="superscript"/>
        </w:rPr>
        <w:t>1</w:t>
      </w:r>
      <w:r w:rsidRPr="0021550A">
        <w:t xml:space="preserve"> is used, but from Quire q onwards the compositor uses form I</w:t>
      </w:r>
      <w:r w:rsidRPr="0021550A">
        <w:rPr>
          <w:vertAlign w:val="superscript"/>
        </w:rPr>
        <w:t>1</w:t>
      </w:r>
      <w:r w:rsidRPr="0021550A">
        <w:t>for the beginning of lines and I</w:t>
      </w:r>
      <w:r w:rsidRPr="0021550A">
        <w:rPr>
          <w:vertAlign w:val="superscript"/>
        </w:rPr>
        <w:t>2</w:t>
      </w:r>
      <w:r w:rsidRPr="0021550A">
        <w:t xml:space="preserve"> is used in the body of the text </w:t>
      </w:r>
      <w:r w:rsidR="00DA4DBF" w:rsidRPr="00DA4DBF">
        <w:t>(Hellinga &amp; Painter 2007:</w:t>
      </w:r>
      <w:r w:rsidR="00DA4DBF">
        <w:t xml:space="preserve"> </w:t>
      </w:r>
      <w:r w:rsidR="00DA4DBF" w:rsidRPr="00DA4DBF">
        <w:t>143).</w:t>
      </w:r>
    </w:p>
    <w:p w14:paraId="6285F3A0" w14:textId="77777777" w:rsidR="002530AD" w:rsidRPr="0021550A" w:rsidRDefault="002530AD" w:rsidP="000737CB"/>
    <w:p w14:paraId="12A45D24" w14:textId="7449A8CF" w:rsidR="006F6B58" w:rsidRPr="0021550A" w:rsidRDefault="006F6B58" w:rsidP="00115510">
      <w:pPr>
        <w:ind w:firstLine="0"/>
      </w:pPr>
      <w:r w:rsidRPr="0021550A">
        <w:rPr>
          <w:noProof/>
          <w:lang w:eastAsia="en-GB"/>
        </w:rPr>
        <w:drawing>
          <wp:inline distT="0" distB="0" distL="0" distR="0" wp14:anchorId="0956CFCE" wp14:editId="0770A691">
            <wp:extent cx="4954311" cy="1164018"/>
            <wp:effectExtent l="0" t="0" r="0" b="444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Gower_John-tHis_book_is_intituled_confessio-STC-12142-50_07-p44.tif"/>
                    <pic:cNvPicPr/>
                  </pic:nvPicPr>
                  <pic:blipFill rotWithShape="1">
                    <a:blip r:embed="rId72">
                      <a:extLst>
                        <a:ext uri="{28A0092B-C50C-407E-A947-70E740481C1C}">
                          <a14:useLocalDpi xmlns:a14="http://schemas.microsoft.com/office/drawing/2010/main"/>
                        </a:ext>
                      </a:extLst>
                    </a:blip>
                    <a:srcRect l="9213" t="69712" r="55618" b="18857"/>
                    <a:stretch/>
                  </pic:blipFill>
                  <pic:spPr bwMode="auto">
                    <a:xfrm>
                      <a:off x="0" y="0"/>
                      <a:ext cx="5051213" cy="1186785"/>
                    </a:xfrm>
                    <a:prstGeom prst="rect">
                      <a:avLst/>
                    </a:prstGeom>
                    <a:ln>
                      <a:noFill/>
                    </a:ln>
                    <a:extLst>
                      <a:ext uri="{53640926-AAD7-44D8-BBD7-CCE9431645EC}">
                        <a14:shadowObscured xmlns:a14="http://schemas.microsoft.com/office/drawing/2010/main"/>
                      </a:ext>
                    </a:extLst>
                  </pic:spPr>
                </pic:pic>
              </a:graphicData>
            </a:graphic>
          </wp:inline>
        </w:drawing>
      </w:r>
    </w:p>
    <w:p w14:paraId="4695F20A" w14:textId="428893E1" w:rsidR="006F6B58" w:rsidRPr="0021550A" w:rsidRDefault="00453776" w:rsidP="000737CB">
      <w:pPr>
        <w:pStyle w:val="Caption"/>
      </w:pPr>
      <w:bookmarkStart w:id="201" w:name="_Toc499753548"/>
      <w:r>
        <w:t>Figure 7.8:</w:t>
      </w:r>
      <w:r w:rsidR="004B6256">
        <w:t xml:space="preserve"> </w:t>
      </w:r>
      <w:r w:rsidR="006F6B58" w:rsidRPr="0021550A">
        <w:t>I</w:t>
      </w:r>
      <w:r w:rsidR="006F6B58" w:rsidRPr="0021550A">
        <w:rPr>
          <w:vertAlign w:val="superscript"/>
        </w:rPr>
        <w:t>1</w:t>
      </w:r>
      <w:r w:rsidR="006F6B58" w:rsidRPr="0021550A">
        <w:t xml:space="preserve"> in the first half of the </w:t>
      </w:r>
      <w:r w:rsidR="006F6B58" w:rsidRPr="0021550A">
        <w:rPr>
          <w:i/>
        </w:rPr>
        <w:t>Confessio Amantis</w:t>
      </w:r>
      <w:r w:rsidR="004B6256">
        <w:t>, p.</w:t>
      </w:r>
      <w:r w:rsidR="006F6B58" w:rsidRPr="0021550A">
        <w:t xml:space="preserve"> 42</w:t>
      </w:r>
      <w:r w:rsidR="006F6B58" w:rsidRPr="0021550A">
        <w:rPr>
          <w:vertAlign w:val="superscript"/>
        </w:rPr>
        <w:t>b</w:t>
      </w:r>
      <w:bookmarkEnd w:id="201"/>
    </w:p>
    <w:p w14:paraId="017339CF" w14:textId="77777777" w:rsidR="006F6B58" w:rsidRPr="0021550A" w:rsidRDefault="006F6B58" w:rsidP="000737CB"/>
    <w:p w14:paraId="3C7D7B50" w14:textId="602B7BDD" w:rsidR="006F6B58" w:rsidRPr="0021550A" w:rsidRDefault="006F6B58" w:rsidP="000737CB">
      <w:r w:rsidRPr="0021550A">
        <w:t xml:space="preserve">In </w:t>
      </w:r>
      <w:r w:rsidR="00E12429">
        <w:fldChar w:fldCharType="begin"/>
      </w:r>
      <w:r w:rsidR="00E12429">
        <w:instrText xml:space="preserve"> REF _Ref491190813 </w:instrText>
      </w:r>
      <w:r w:rsidR="00E12429">
        <w:fldChar w:fldCharType="separate"/>
      </w:r>
      <w:r w:rsidR="00D11844" w:rsidRPr="0021550A">
        <w:t xml:space="preserve">Figure </w:t>
      </w:r>
      <w:r w:rsidR="00D11844">
        <w:rPr>
          <w:noProof/>
        </w:rPr>
        <w:t>7</w:t>
      </w:r>
      <w:r w:rsidR="00D11844">
        <w:t>.</w:t>
      </w:r>
      <w:r w:rsidR="00D11844">
        <w:rPr>
          <w:noProof/>
        </w:rPr>
        <w:t>8</w:t>
      </w:r>
      <w:r w:rsidR="00E12429">
        <w:rPr>
          <w:noProof/>
        </w:rPr>
        <w:fldChar w:fldCharType="end"/>
      </w:r>
      <w:r w:rsidRPr="0021550A">
        <w:t xml:space="preserve"> only one form of the capital letter </w:t>
      </w:r>
      <w:r w:rsidRPr="0021550A">
        <w:rPr>
          <w:i/>
        </w:rPr>
        <w:t>I</w:t>
      </w:r>
      <w:r w:rsidRPr="0021550A">
        <w:t xml:space="preserve"> is used. On line 1 </w:t>
      </w:r>
      <w:r w:rsidR="004B6256">
        <w:t xml:space="preserve">in the leftmost column </w:t>
      </w:r>
      <w:r w:rsidRPr="0021550A">
        <w:t xml:space="preserve">the word </w:t>
      </w:r>
      <w:r w:rsidRPr="004B6256">
        <w:rPr>
          <w:smallCaps/>
        </w:rPr>
        <w:t>I</w:t>
      </w:r>
      <w:r w:rsidRPr="0021550A">
        <w:t xml:space="preserve"> uses the same letter form as </w:t>
      </w:r>
      <w:r w:rsidR="004B6256">
        <w:t xml:space="preserve">in the word </w:t>
      </w:r>
      <w:r w:rsidR="004B6256">
        <w:rPr>
          <w:smallCaps/>
        </w:rPr>
        <w:t>is</w:t>
      </w:r>
      <w:r w:rsidRPr="0021550A">
        <w:t xml:space="preserve"> at the beginning of line 4</w:t>
      </w:r>
      <w:r w:rsidR="004B6256">
        <w:t xml:space="preserve"> in the same column</w:t>
      </w:r>
      <w:r w:rsidRPr="0021550A">
        <w:t xml:space="preserve">. However, the compositor for the later part of the text after Quire p uses </w:t>
      </w:r>
      <w:r w:rsidR="004B6256">
        <w:t xml:space="preserve">a second form of the letter </w:t>
      </w:r>
      <w:r w:rsidR="004B6256">
        <w:rPr>
          <w:smallCaps/>
        </w:rPr>
        <w:t xml:space="preserve">I, </w:t>
      </w:r>
      <w:r w:rsidR="004B6256">
        <w:t xml:space="preserve">known as </w:t>
      </w:r>
      <w:r w:rsidR="004B6256" w:rsidRPr="004B6256">
        <w:rPr>
          <w:smallCaps/>
        </w:rPr>
        <w:t>I</w:t>
      </w:r>
      <w:r w:rsidRPr="004B6256">
        <w:rPr>
          <w:smallCaps/>
          <w:vertAlign w:val="superscript"/>
        </w:rPr>
        <w:t>2</w:t>
      </w:r>
      <w:r w:rsidR="004B6256">
        <w:t xml:space="preserve"> by Hellinga and Painter.</w:t>
      </w:r>
    </w:p>
    <w:p w14:paraId="34F07FFC" w14:textId="77777777" w:rsidR="006F6B58" w:rsidRPr="0021550A" w:rsidRDefault="006F6B58" w:rsidP="000737CB"/>
    <w:p w14:paraId="096AB646" w14:textId="59C86261" w:rsidR="006F6B58" w:rsidRPr="0021550A" w:rsidRDefault="00DC0C03" w:rsidP="00115510">
      <w:pPr>
        <w:ind w:firstLine="0"/>
      </w:pPr>
      <w:r>
        <w:rPr>
          <w:noProof/>
          <w:lang w:eastAsia="en-GB"/>
        </w:rPr>
        <w:drawing>
          <wp:inline distT="0" distB="0" distL="0" distR="0" wp14:anchorId="64645649" wp14:editId="3CF896A5">
            <wp:extent cx="4952436" cy="1129085"/>
            <wp:effectExtent l="0" t="0" r="63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onfessio pg 202.pdf"/>
                    <pic:cNvPicPr/>
                  </pic:nvPicPr>
                  <pic:blipFill rotWithShape="1">
                    <a:blip r:embed="rId73">
                      <a:extLst>
                        <a:ext uri="{28A0092B-C50C-407E-A947-70E740481C1C}">
                          <a14:useLocalDpi xmlns:a14="http://schemas.microsoft.com/office/drawing/2010/main"/>
                        </a:ext>
                      </a:extLst>
                    </a:blip>
                    <a:srcRect t="36496" r="851" b="23321"/>
                    <a:stretch/>
                  </pic:blipFill>
                  <pic:spPr bwMode="auto">
                    <a:xfrm>
                      <a:off x="0" y="0"/>
                      <a:ext cx="4953663" cy="1129365"/>
                    </a:xfrm>
                    <a:prstGeom prst="rect">
                      <a:avLst/>
                    </a:prstGeom>
                    <a:ln>
                      <a:noFill/>
                    </a:ln>
                    <a:extLst>
                      <a:ext uri="{53640926-AAD7-44D8-BBD7-CCE9431645EC}">
                        <a14:shadowObscured xmlns:a14="http://schemas.microsoft.com/office/drawing/2010/main"/>
                      </a:ext>
                    </a:extLst>
                  </pic:spPr>
                </pic:pic>
              </a:graphicData>
            </a:graphic>
          </wp:inline>
        </w:drawing>
      </w:r>
    </w:p>
    <w:p w14:paraId="5DDF5918" w14:textId="02ED870F" w:rsidR="006F6B58" w:rsidRPr="0021550A" w:rsidRDefault="00453776" w:rsidP="000737CB">
      <w:pPr>
        <w:pStyle w:val="Caption"/>
      </w:pPr>
      <w:bookmarkStart w:id="202" w:name="_Toc499753549"/>
      <w:r>
        <w:t>Figure 7.9:</w:t>
      </w:r>
      <w:r w:rsidR="004B6256">
        <w:t xml:space="preserve"> </w:t>
      </w:r>
      <w:r w:rsidR="006F6B58" w:rsidRPr="0021550A">
        <w:t>I</w:t>
      </w:r>
      <w:r w:rsidR="006F6B58" w:rsidRPr="0021550A">
        <w:rPr>
          <w:vertAlign w:val="superscript"/>
        </w:rPr>
        <w:t>1</w:t>
      </w:r>
      <w:r w:rsidR="006F6B58" w:rsidRPr="0021550A">
        <w:t xml:space="preserve"> and I</w:t>
      </w:r>
      <w:r w:rsidR="006F6B58" w:rsidRPr="0021550A">
        <w:rPr>
          <w:vertAlign w:val="superscript"/>
        </w:rPr>
        <w:t>2</w:t>
      </w:r>
      <w:r w:rsidR="006F6B58" w:rsidRPr="0021550A">
        <w:t xml:space="preserve"> in the second half of the </w:t>
      </w:r>
      <w:r w:rsidR="006F6B58" w:rsidRPr="0021550A">
        <w:rPr>
          <w:i/>
        </w:rPr>
        <w:t>Confessio Amantis</w:t>
      </w:r>
      <w:r w:rsidR="004B6256">
        <w:t>, p.</w:t>
      </w:r>
      <w:r w:rsidR="006F6B58" w:rsidRPr="0021550A">
        <w:t xml:space="preserve"> 202</w:t>
      </w:r>
      <w:r w:rsidR="006F6B58" w:rsidRPr="0021550A">
        <w:rPr>
          <w:vertAlign w:val="superscript"/>
        </w:rPr>
        <w:t>b</w:t>
      </w:r>
      <w:bookmarkEnd w:id="202"/>
    </w:p>
    <w:p w14:paraId="5C69DA5D" w14:textId="77777777" w:rsidR="006F6B58" w:rsidRPr="0021550A" w:rsidRDefault="006F6B58" w:rsidP="000737CB"/>
    <w:p w14:paraId="63EB0A29" w14:textId="29004498" w:rsidR="006F6B58" w:rsidRPr="0021550A" w:rsidRDefault="006F6B58" w:rsidP="000737CB">
      <w:r w:rsidRPr="0021550A">
        <w:t xml:space="preserve">In </w:t>
      </w:r>
      <w:r w:rsidR="00E12429">
        <w:fldChar w:fldCharType="begin"/>
      </w:r>
      <w:r w:rsidR="00E12429">
        <w:instrText xml:space="preserve"> REF _Ref491191484 </w:instrText>
      </w:r>
      <w:r w:rsidR="00E12429">
        <w:fldChar w:fldCharType="separate"/>
      </w:r>
      <w:r w:rsidR="00D11844" w:rsidRPr="0021550A">
        <w:t xml:space="preserve">Figure </w:t>
      </w:r>
      <w:r w:rsidR="00D11844">
        <w:rPr>
          <w:noProof/>
        </w:rPr>
        <w:t>7</w:t>
      </w:r>
      <w:r w:rsidR="00D11844">
        <w:t>.</w:t>
      </w:r>
      <w:r w:rsidR="00D11844">
        <w:rPr>
          <w:noProof/>
        </w:rPr>
        <w:t>9</w:t>
      </w:r>
      <w:r w:rsidR="00E12429">
        <w:rPr>
          <w:noProof/>
        </w:rPr>
        <w:fldChar w:fldCharType="end"/>
      </w:r>
      <w:r w:rsidRPr="0021550A">
        <w:t xml:space="preserve"> there are two forms of the capital letter </w:t>
      </w:r>
      <w:r w:rsidRPr="0021550A">
        <w:rPr>
          <w:i/>
        </w:rPr>
        <w:t>I</w:t>
      </w:r>
      <w:r w:rsidRPr="0021550A">
        <w:t xml:space="preserve"> that are used. At the start of line 2 in the first column and the start of line 4 in the second column the more decorative I</w:t>
      </w:r>
      <w:r w:rsidRPr="0021550A">
        <w:rPr>
          <w:vertAlign w:val="superscript"/>
        </w:rPr>
        <w:t>1</w:t>
      </w:r>
      <w:r w:rsidRPr="0021550A">
        <w:t xml:space="preserve"> is used. Within the line I</w:t>
      </w:r>
      <w:r w:rsidRPr="0021550A">
        <w:rPr>
          <w:vertAlign w:val="superscript"/>
        </w:rPr>
        <w:t>2</w:t>
      </w:r>
      <w:r w:rsidRPr="0021550A">
        <w:t xml:space="preserve"> is used in the second column on lines 1, 2, 5, 6, and 7 to represent the word </w:t>
      </w:r>
      <w:r w:rsidRPr="0021550A">
        <w:rPr>
          <w:i/>
        </w:rPr>
        <w:t>I</w:t>
      </w:r>
      <w:r w:rsidRPr="0021550A">
        <w:t>. The introduction of I</w:t>
      </w:r>
      <w:r w:rsidRPr="0021550A">
        <w:rPr>
          <w:vertAlign w:val="superscript"/>
        </w:rPr>
        <w:t>2</w:t>
      </w:r>
      <w:r w:rsidRPr="0021550A">
        <w:t xml:space="preserve"> takes place at the start of Quire q, and is one suggestion that a change in compositor has taken place at this point in the text. Additionally, up until the end of Quire p the compositor for the first part of the text uses Arabic numerals, but from Quire q onwards Roman numerals are used for pagination. </w:t>
      </w:r>
    </w:p>
    <w:p w14:paraId="4AF1A1B5" w14:textId="59264CAA" w:rsidR="006F6B58" w:rsidRPr="0021550A" w:rsidRDefault="006F6B58" w:rsidP="000737CB">
      <w:r w:rsidRPr="0021550A">
        <w:t>A change at Quire q would provide a fairly even division of the text between compositors, with the first compositor setting the type for fifteen quires and the second compositor setting twelve quires of text. Finally, the change at Quire q is most likely to be caused by a change in compositor because it lines up with</w:t>
      </w:r>
      <w:r w:rsidR="00D153D4">
        <w:t xml:space="preserve"> one of</w:t>
      </w:r>
      <w:r w:rsidRPr="0021550A">
        <w:t xml:space="preserve"> the location</w:t>
      </w:r>
      <w:r w:rsidR="00D153D4">
        <w:t>s</w:t>
      </w:r>
      <w:r w:rsidRPr="0021550A">
        <w:t xml:space="preserve"> </w:t>
      </w:r>
      <w:r w:rsidR="00D153D4">
        <w:t>suggested</w:t>
      </w:r>
      <w:r w:rsidRPr="0021550A">
        <w:t xml:space="preserve"> as </w:t>
      </w:r>
      <w:r w:rsidR="00D153D4">
        <w:t xml:space="preserve">the location for </w:t>
      </w:r>
      <w:r w:rsidRPr="0021550A">
        <w:t xml:space="preserve">a change in compositor by Hellinga </w:t>
      </w:r>
      <w:r w:rsidR="00D153D4">
        <w:t>and</w:t>
      </w:r>
      <w:r w:rsidRPr="0021550A">
        <w:t xml:space="preserve"> Painter in the </w:t>
      </w:r>
      <w:r w:rsidRPr="0021550A">
        <w:rPr>
          <w:i/>
        </w:rPr>
        <w:t>BMC</w:t>
      </w:r>
      <w:r w:rsidRPr="0021550A">
        <w:t xml:space="preserve">. </w:t>
      </w:r>
    </w:p>
    <w:p w14:paraId="11EE4B36" w14:textId="62FC7B6A" w:rsidR="00DA4DBF" w:rsidRDefault="00DA4DBF" w:rsidP="000737CB"/>
    <w:p w14:paraId="3D222BF0" w14:textId="314A0E15" w:rsidR="00DA4DBF" w:rsidRPr="0021550A" w:rsidRDefault="000A3BFF" w:rsidP="00DA4DBF">
      <w:pPr>
        <w:pStyle w:val="Heading3"/>
      </w:pPr>
      <w:r>
        <w:t>The copy text(s) of</w:t>
      </w:r>
      <w:r w:rsidR="00DA4DBF">
        <w:t xml:space="preserve"> Caxton’s </w:t>
      </w:r>
      <w:r w:rsidR="00DA4DBF">
        <w:rPr>
          <w:i/>
        </w:rPr>
        <w:t>Confessio Amantis</w:t>
      </w:r>
    </w:p>
    <w:p w14:paraId="793F9C31" w14:textId="5F0F34F6" w:rsidR="000836A3" w:rsidRDefault="000836A3" w:rsidP="000836A3">
      <w:r w:rsidRPr="0021550A">
        <w:t xml:space="preserve">The levels of input from the two sources of spelling data supports the change at Quire y being a result of a change at the level of the copy text. The </w:t>
      </w:r>
      <w:r w:rsidR="005723AB">
        <w:t xml:space="preserve">compositor is known to copy </w:t>
      </w:r>
      <w:r w:rsidR="00654DF2">
        <w:t>a higher proportion of spellings into the text than</w:t>
      </w:r>
      <w:r w:rsidR="00CC2E17">
        <w:t xml:space="preserve"> to</w:t>
      </w:r>
      <w:r w:rsidR="00654DF2">
        <w:t xml:space="preserve"> use his own spellings, and thus the </w:t>
      </w:r>
      <w:r w:rsidRPr="0021550A">
        <w:t>copy text has a greater level of input into the spellings in Caxt</w:t>
      </w:r>
      <w:r w:rsidR="00654DF2">
        <w:t>on’s texts than the compositor</w:t>
      </w:r>
      <w:r w:rsidRPr="0021550A">
        <w:t>. When setting the type,</w:t>
      </w:r>
      <w:r>
        <w:t xml:space="preserve"> the compositor copies around seventy per cent</w:t>
      </w:r>
      <w:r w:rsidRPr="0021550A">
        <w:t xml:space="preserve"> of the spellings from the copy text into the newly printed text, and replaces the other </w:t>
      </w:r>
      <w:r w:rsidR="002D19E3">
        <w:t>thirty</w:t>
      </w:r>
      <w:r>
        <w:t xml:space="preserve"> per cent</w:t>
      </w:r>
      <w:r w:rsidRPr="0021550A">
        <w:t xml:space="preserve"> with his own spellings</w:t>
      </w:r>
      <w:r>
        <w:t xml:space="preserve"> (Gaskell 1972)</w:t>
      </w:r>
      <w:r w:rsidRPr="0021550A">
        <w:t xml:space="preserve">. At </w:t>
      </w:r>
      <w:r w:rsidRPr="0021550A">
        <w:rPr>
          <w:i/>
        </w:rPr>
        <w:t>k</w:t>
      </w:r>
      <w:r w:rsidRPr="0021550A">
        <w:t xml:space="preserve"> = 2, the clustering will group the quires into two groups based on whatever causes the greatest difference between the spellings used in each quire. When we cluster a text that includes both a change in compositor and a change in the copy text, we expect the clustering to pick up the change in the copy text first when </w:t>
      </w:r>
      <w:r w:rsidRPr="0021550A">
        <w:rPr>
          <w:i/>
        </w:rPr>
        <w:t xml:space="preserve">k </w:t>
      </w:r>
      <w:r w:rsidRPr="0021550A">
        <w:t xml:space="preserve">= 2 because the copy text accounts for more of the spellings in the printed text. In the case of the </w:t>
      </w:r>
      <w:r w:rsidRPr="0021550A">
        <w:rPr>
          <w:i/>
        </w:rPr>
        <w:t>Confessio Amantis</w:t>
      </w:r>
      <w:r w:rsidRPr="0021550A">
        <w:t xml:space="preserve">, the text is divided at Quire y when </w:t>
      </w:r>
      <w:r w:rsidRPr="0021550A">
        <w:rPr>
          <w:i/>
        </w:rPr>
        <w:t>k</w:t>
      </w:r>
      <w:r w:rsidRPr="0021550A">
        <w:t xml:space="preserve"> = 2. Quire y may signal a change in the spellings used in the copy text. When </w:t>
      </w:r>
      <w:r w:rsidRPr="0021550A">
        <w:rPr>
          <w:i/>
        </w:rPr>
        <w:t>k</w:t>
      </w:r>
      <w:r w:rsidRPr="0021550A">
        <w:t xml:space="preserve"> = 3, a secondary divide takes place at the start of Quire q, though the difference between the quires on either side of the divide at Quire q is not as great as the difference between the quires on either side of Quire y. It is likely </w:t>
      </w:r>
      <w:r w:rsidR="00712091">
        <w:t xml:space="preserve">therefore </w:t>
      </w:r>
      <w:r w:rsidRPr="0021550A">
        <w:t>that the change at Quire q marks a change in the compositor.</w:t>
      </w:r>
    </w:p>
    <w:p w14:paraId="430DED10" w14:textId="77777777" w:rsidR="006F6B58" w:rsidRPr="0021550A" w:rsidRDefault="006F6B58" w:rsidP="000737CB">
      <w:r w:rsidRPr="0021550A">
        <w:t xml:space="preserve">It is possible that the change in spellings at Quire q marks both a change in compositor and a change in the manuscript used as the copy text. Macaulay suggests that a change occurs close to Quire q, at the beginning of Quire r, based on the typology of </w:t>
      </w:r>
      <w:r w:rsidRPr="0021550A">
        <w:rPr>
          <w:i/>
        </w:rPr>
        <w:t>Confessio Amantis</w:t>
      </w:r>
      <w:r w:rsidRPr="0021550A">
        <w:t xml:space="preserve"> manuscripts. The change in spellings at Quire q could also mark a </w:t>
      </w:r>
      <w:r w:rsidRPr="0021550A">
        <w:lastRenderedPageBreak/>
        <w:t xml:space="preserve">change at the level of the copy text, but it does not necessarily mean that Macaulay was correct in asserting that Caxton used three separate manuscripts to create his edition. Instead, there are several possibilities for the form that Caxton’s copy text took. </w:t>
      </w:r>
    </w:p>
    <w:p w14:paraId="084C51E9" w14:textId="162187BA" w:rsidR="006F6B58" w:rsidRPr="0021550A" w:rsidRDefault="006F6B58" w:rsidP="000737CB">
      <w:r w:rsidRPr="0021550A">
        <w:t xml:space="preserve">First, it is possible that Caxton had more than one manuscript, or parts of more than one manuscript. </w:t>
      </w:r>
      <w:r w:rsidR="00712091">
        <w:t>In this case</w:t>
      </w:r>
      <w:r w:rsidRPr="0021550A">
        <w:t xml:space="preserve"> there are several further possibilities: On reviewing three separate manuscripts, Caxton may have decided to amalgamate the manuscripts and create his own text, as suggested by Macaulay. Caxton may also have had several incomplete editions of the </w:t>
      </w:r>
      <w:r w:rsidRPr="0021550A">
        <w:rPr>
          <w:i/>
        </w:rPr>
        <w:t>Confessio Amantis</w:t>
      </w:r>
      <w:r w:rsidRPr="0021550A">
        <w:t xml:space="preserve">, as opposed to owning whole texts, which he combined to form his single edition. Caxton may also have decided not to create his own text directly, but instead each compositor may have used a different manuscript copy of the </w:t>
      </w:r>
      <w:r w:rsidRPr="0021550A">
        <w:rPr>
          <w:i/>
        </w:rPr>
        <w:t>Confessio Amantis</w:t>
      </w:r>
      <w:r w:rsidRPr="0021550A">
        <w:t xml:space="preserve"> when setting the type. Thus, the copy texts used by Caxton’s printing house could have been several manuscripts, or a copy of several distinct manuscripts written out by Caxton (and possibly edited by him, too).</w:t>
      </w:r>
      <w:r w:rsidR="00712091">
        <w:t xml:space="preserve"> </w:t>
      </w:r>
    </w:p>
    <w:p w14:paraId="72EF1BFA" w14:textId="2A7C4872" w:rsidR="006F6B58" w:rsidRPr="0021550A" w:rsidRDefault="006F6B58" w:rsidP="000737CB">
      <w:r w:rsidRPr="0021550A">
        <w:t xml:space="preserve">The second possibility is that Caxton received a single manuscript that had been written by three scribes, who </w:t>
      </w:r>
      <w:r w:rsidR="00DC223F">
        <w:t>had</w:t>
      </w:r>
      <w:r w:rsidRPr="0021550A">
        <w:t xml:space="preserve"> each </w:t>
      </w:r>
      <w:r w:rsidR="00DC223F">
        <w:t>followed</w:t>
      </w:r>
      <w:r w:rsidRPr="0021550A">
        <w:t xml:space="preserve"> a manuscript from a different recension of the </w:t>
      </w:r>
      <w:r w:rsidRPr="0021550A">
        <w:rPr>
          <w:i/>
        </w:rPr>
        <w:t>Confessio Amantis</w:t>
      </w:r>
      <w:r w:rsidRPr="0021550A">
        <w:t xml:space="preserve">. We already know of one manuscript of the </w:t>
      </w:r>
      <w:r w:rsidRPr="0021550A">
        <w:rPr>
          <w:i/>
        </w:rPr>
        <w:t>Confessio Amantis</w:t>
      </w:r>
      <w:r w:rsidRPr="0021550A">
        <w:t xml:space="preserve"> that was put together from sections written by different scribes</w:t>
      </w:r>
      <w:r w:rsidR="00DC223F">
        <w:t>.</w:t>
      </w:r>
      <w:r w:rsidRPr="0021550A">
        <w:t xml:space="preserve"> Doyle </w:t>
      </w:r>
      <w:r w:rsidR="00712091">
        <w:t>and</w:t>
      </w:r>
      <w:r w:rsidRPr="0021550A">
        <w:t xml:space="preserve"> Parkes </w:t>
      </w:r>
      <w:r w:rsidR="00712091" w:rsidRPr="00DA4DBF">
        <w:t>(1978)</w:t>
      </w:r>
      <w:r w:rsidR="00712091">
        <w:t xml:space="preserve"> </w:t>
      </w:r>
      <w:r w:rsidRPr="0021550A">
        <w:t xml:space="preserve">in their landmark study of the </w:t>
      </w:r>
      <w:r w:rsidRPr="0021550A">
        <w:rPr>
          <w:i/>
        </w:rPr>
        <w:t>Confessio Amantis</w:t>
      </w:r>
      <w:r w:rsidRPr="0021550A">
        <w:t xml:space="preserve"> in Trinity College, Cambridge MS R.3.2 showed that five different scribes each worked remotely on their own section of text before the sections were put together to form a whole</w:t>
      </w:r>
      <w:r w:rsidR="00DA4DBF" w:rsidRPr="00DA4DBF">
        <w:t xml:space="preserve">. </w:t>
      </w:r>
      <w:r w:rsidRPr="0021550A">
        <w:t xml:space="preserve">On receipt of a manuscript written by three scribes, Caxton then had two choices: allow the compositors to use the manuscript directly—dismantling the text into </w:t>
      </w:r>
      <w:r w:rsidR="00DC223F">
        <w:t>its component quires</w:t>
      </w:r>
      <w:r w:rsidRPr="0021550A">
        <w:t xml:space="preserve"> so that the compositors could typeset concurrently—or create his own copy of the text for the compositors by writing it out himself in full or having someone else write it out. Caxton might not have given the manuscript copy of a text to the compositors directly if he did not want it to be damaged. Printing was a messy business; not only would the copy text likely become marked by ink during printing, but any copy text used by the printing house would have been marked up for casting off by the master printer</w:t>
      </w:r>
      <w:r w:rsidR="00DA4DBF">
        <w:t xml:space="preserve"> </w:t>
      </w:r>
      <w:r w:rsidR="00DA4DBF" w:rsidRPr="00DA4DBF">
        <w:t>(Hellinga 2014:</w:t>
      </w:r>
      <w:r w:rsidR="00DA4DBF">
        <w:t xml:space="preserve"> </w:t>
      </w:r>
      <w:r w:rsidR="00DA4DBF" w:rsidRPr="00DA4DBF">
        <w:t>85)</w:t>
      </w:r>
      <w:r w:rsidRPr="0021550A">
        <w:t xml:space="preserve">. In the case of a borrowed manuscript, such as the copy text used by Caxton in his second edition of the </w:t>
      </w:r>
      <w:r w:rsidRPr="0021550A">
        <w:rPr>
          <w:i/>
        </w:rPr>
        <w:t>Canterbury Tales</w:t>
      </w:r>
      <w:r w:rsidRPr="0021550A">
        <w:t xml:space="preserve">, it would probably not be desirable to return a manuscript to its owner covered in ink and marks made during casting off. In such cases, Caxton may have had a copy of the text prepared for use in the printing house </w:t>
      </w:r>
      <w:r w:rsidR="000A3BFF" w:rsidRPr="000A3BFF">
        <w:t>(Blake 1991b:</w:t>
      </w:r>
      <w:r w:rsidR="000A3BFF">
        <w:t xml:space="preserve"> </w:t>
      </w:r>
      <w:r w:rsidR="000A3BFF" w:rsidRPr="000A3BFF">
        <w:t xml:space="preserve">7), </w:t>
      </w:r>
      <w:r w:rsidRPr="0021550A">
        <w:t xml:space="preserve">either by having a copy made by a scribe or one of his compositors. It is also possible that Caxton created the copy text for the printing house himself; he states in his epilogue to the </w:t>
      </w:r>
      <w:r w:rsidRPr="0021550A">
        <w:rPr>
          <w:i/>
        </w:rPr>
        <w:t>Polychronicon</w:t>
      </w:r>
      <w:r w:rsidRPr="0021550A">
        <w:t xml:space="preserve"> that he “wryte first overall”, or rather that he wrote out the text in its entirety when he began his edition of the text. For his edition of the </w:t>
      </w:r>
      <w:r w:rsidRPr="0021550A">
        <w:rPr>
          <w:i/>
        </w:rPr>
        <w:t>Confessio Amantis</w:t>
      </w:r>
      <w:r w:rsidRPr="0021550A">
        <w:t xml:space="preserve">, Caxton may have received a manuscript written by three scribes, which he either gave directly to the compositors or </w:t>
      </w:r>
      <w:r w:rsidRPr="0021550A">
        <w:lastRenderedPageBreak/>
        <w:t xml:space="preserve">which he or someone else copied out for use in the printing house. While several scribes, and probably several different manuscripts, are involved in creating Caxton’s copy text in this scenario, the difference between this situation and the first situation is that here the text came to Caxton as one complete manuscript. In this scenario, Caxton did not undertake any editorial work or create his edition by combining manuscripts from different recensions of the </w:t>
      </w:r>
      <w:r w:rsidRPr="0021550A">
        <w:rPr>
          <w:i/>
        </w:rPr>
        <w:t>Confessio Amantis</w:t>
      </w:r>
      <w:r w:rsidRPr="0021550A">
        <w:t xml:space="preserve"> tradition—the text was already created for him, and his compositors copied what was already there. </w:t>
      </w:r>
    </w:p>
    <w:p w14:paraId="5A1138D5" w14:textId="262E914A" w:rsidR="006F6B58" w:rsidRPr="0021550A" w:rsidRDefault="006F6B58" w:rsidP="000737CB">
      <w:r w:rsidRPr="0021550A">
        <w:t xml:space="preserve">The third and final possibility is that the text came to Caxton fully formed as one manuscript written out by one scribe, which is the suggestion made by Blake </w:t>
      </w:r>
      <w:r w:rsidR="000A3BFF" w:rsidRPr="000A3BFF">
        <w:t>(1991b).</w:t>
      </w:r>
      <w:r w:rsidRPr="0021550A">
        <w:t xml:space="preserve"> The change in spellings at Quire y and the observations about the text made by Macaulay suggest that at some point in the text’s history more than one person, and probably more than one manuscript, was involved with the creation of the text. It may be that a manuscript edition of the </w:t>
      </w:r>
      <w:r w:rsidRPr="0021550A">
        <w:rPr>
          <w:i/>
        </w:rPr>
        <w:t>Confessio Amantis</w:t>
      </w:r>
      <w:r w:rsidRPr="0021550A">
        <w:t xml:space="preserve"> was made in a manner like that of MS R.3.2, and that one scribe then made a further copy of the combined manuscript and that this second manuscript copy was then used as the copy text by Caxton’s printing house. Here, the combined work of several scribes presented in the second scenario is one step removed by a further stage of copying. In this case, while most of the original spellings used by the scribes who made the composite text are still in the text, there is a further layer of spellings introduced into the text by the scribe who made the additional copy. This copy was then used by Caxton’s compositors or a further copy then made for use in the printing house, potentially by Caxton himself. Here, the mixture of spellings in the composite manuscript is distanced from Caxton’s printed edition by one or two intermediate copies. </w:t>
      </w:r>
      <w:r w:rsidR="003662C7">
        <w:t>With the information available</w:t>
      </w:r>
      <w:r w:rsidRPr="0021550A">
        <w:t xml:space="preserve"> it is not possible to determine which of the many possibilities presented here is the most likely to have taken place. </w:t>
      </w:r>
    </w:p>
    <w:p w14:paraId="61BE3CB0" w14:textId="4C0BF015" w:rsidR="006F6B58" w:rsidRDefault="006F6B58" w:rsidP="00004FCD">
      <w:r w:rsidRPr="0021550A">
        <w:t xml:space="preserve">This section has shown how cluster analysis can be used to explore the compositors and copy texts used by Caxton in creating his edition of the </w:t>
      </w:r>
      <w:r w:rsidRPr="0021550A">
        <w:rPr>
          <w:i/>
        </w:rPr>
        <w:t>Confessio Amantis</w:t>
      </w:r>
      <w:r w:rsidRPr="0021550A">
        <w:t xml:space="preserve">. </w:t>
      </w:r>
      <w:r w:rsidR="000A3BFF" w:rsidRPr="0021550A">
        <w:rPr>
          <w:i/>
        </w:rPr>
        <w:t>K</w:t>
      </w:r>
      <w:r w:rsidR="000A3BFF" w:rsidRPr="0021550A">
        <w:t xml:space="preserve">-means cluster analysis has made it possible to investigate Hellinga </w:t>
      </w:r>
      <w:r w:rsidR="005D71FB">
        <w:t>and</w:t>
      </w:r>
      <w:r w:rsidR="000A3BFF" w:rsidRPr="0021550A">
        <w:t xml:space="preserve"> Painter’s uncertainty of where the compositors changed over and the claims made by Macaulay about the manuscripts used by Caxton in creating his edition of the </w:t>
      </w:r>
      <w:r w:rsidR="000A3BFF" w:rsidRPr="0021550A">
        <w:rPr>
          <w:i/>
        </w:rPr>
        <w:t>Confessio Amantis</w:t>
      </w:r>
      <w:r w:rsidR="000A3BFF" w:rsidRPr="0021550A">
        <w:t xml:space="preserve">. </w:t>
      </w:r>
      <w:r w:rsidRPr="0021550A">
        <w:t xml:space="preserve">The changes in spellings used throughout the text corroborate evidence presented on bibliographical grounds from Hellinga </w:t>
      </w:r>
      <w:r w:rsidR="005D71FB">
        <w:t>and</w:t>
      </w:r>
      <w:r w:rsidRPr="0021550A">
        <w:t xml:space="preserve"> Painter; results from the analysis in this section suggest that a change in compositor took place at the beginning of the first of two points provided by Hellinga </w:t>
      </w:r>
      <w:r w:rsidR="005D71FB">
        <w:t>and</w:t>
      </w:r>
      <w:r w:rsidRPr="0021550A">
        <w:t xml:space="preserve"> Painter at Quire q. </w:t>
      </w:r>
      <w:r w:rsidR="000A3BFF" w:rsidRPr="0021550A">
        <w:t xml:space="preserve">Of the two sites suggested by Hellinga </w:t>
      </w:r>
      <w:r w:rsidR="005D71FB">
        <w:t>and</w:t>
      </w:r>
      <w:r w:rsidR="000A3BFF" w:rsidRPr="0021550A">
        <w:t xml:space="preserve"> Painter for a change in compositor, it is likely that the compositorial change occurs at Quire q because of the change in the use of letters, numerals, and that the change only appears when </w:t>
      </w:r>
      <w:r w:rsidR="000A3BFF" w:rsidRPr="0021550A">
        <w:rPr>
          <w:i/>
        </w:rPr>
        <w:t>k</w:t>
      </w:r>
      <w:r w:rsidR="000A3BFF" w:rsidRPr="0021550A">
        <w:t xml:space="preserve"> = 3. The divide at Quire q also gives both compositors a roughly equal amount of text to typeset, compared with a divide at the start of Quire &amp;. </w:t>
      </w:r>
      <w:r w:rsidRPr="0021550A">
        <w:t xml:space="preserve">The spelling </w:t>
      </w:r>
      <w:r w:rsidRPr="0021550A">
        <w:lastRenderedPageBreak/>
        <w:t>changes also support Macaulay’s assertions about a change in copy text to an extent—</w:t>
      </w:r>
      <w:r w:rsidR="000A3BFF">
        <w:t>o</w:t>
      </w:r>
      <w:r w:rsidR="000A3BFF" w:rsidRPr="0021550A">
        <w:t xml:space="preserve">f the two locations suggested by Macaulay for a change in manuscript, the change in spelling variants used from Quire y shows signs of a change at the level of the copy text. The change that Macaulay suggested that took place at Quire r does not show up when clustering the quires, though the changeover is also very close to the change observed at Quire q that appears to link to a change in compositor. </w:t>
      </w:r>
      <w:r w:rsidRPr="0021550A">
        <w:t xml:space="preserve">I have suggested several scenarios that might account for this change, but it is not clear which is the most likely to have occurred. </w:t>
      </w:r>
      <w:r w:rsidR="005D71FB">
        <w:t xml:space="preserve">However, in Section </w:t>
      </w:r>
      <w:r w:rsidR="005D71FB">
        <w:fldChar w:fldCharType="begin"/>
      </w:r>
      <w:r w:rsidR="005D71FB">
        <w:instrText xml:space="preserve"> REF _Ref497225586 \r </w:instrText>
      </w:r>
      <w:r w:rsidR="005D71FB">
        <w:fldChar w:fldCharType="separate"/>
      </w:r>
      <w:r w:rsidR="00D11844">
        <w:t>9.5</w:t>
      </w:r>
      <w:r w:rsidR="005D71FB">
        <w:fldChar w:fldCharType="end"/>
      </w:r>
      <w:r w:rsidR="005D71FB">
        <w:t xml:space="preserve">, the texts that the </w:t>
      </w:r>
      <w:r w:rsidR="005D71FB">
        <w:rPr>
          <w:i/>
        </w:rPr>
        <w:t>Confessio Amantis</w:t>
      </w:r>
      <w:r w:rsidR="005D71FB">
        <w:t xml:space="preserve"> clusters alongside are those that were probably written out in full by Caxton himself, which suggests that the </w:t>
      </w:r>
      <w:r w:rsidR="005D71FB">
        <w:rPr>
          <w:i/>
        </w:rPr>
        <w:t>Confessio Amantis</w:t>
      </w:r>
      <w:r w:rsidR="005D71FB">
        <w:t xml:space="preserve"> also includes Caxton’s spellings, likely because Caxton wrote out the text when preparing it for print. </w:t>
      </w:r>
      <w:r w:rsidRPr="0021550A">
        <w:t xml:space="preserve">The next section considers the way in which clustering quire by spelling variation may shed further light on the structure of the copy text. </w:t>
      </w:r>
    </w:p>
    <w:p w14:paraId="5A2B08B3" w14:textId="77777777" w:rsidR="006F6B58" w:rsidRPr="0021550A" w:rsidRDefault="006F6B58" w:rsidP="000737CB"/>
    <w:p w14:paraId="3FF98FEC" w14:textId="79DE6EE3" w:rsidR="006F6B58" w:rsidRPr="0021550A" w:rsidRDefault="006F6B58" w:rsidP="00FC56E8">
      <w:pPr>
        <w:pStyle w:val="Heading2"/>
        <w:jc w:val="left"/>
      </w:pPr>
      <w:bookmarkStart w:id="203" w:name="_Toc497899873"/>
      <w:bookmarkStart w:id="204" w:name="_Ref498617500"/>
      <w:r w:rsidRPr="0021550A">
        <w:t>Using cluster analysis to find out about book production in Caxton’s printing house</w:t>
      </w:r>
      <w:bookmarkEnd w:id="203"/>
      <w:bookmarkEnd w:id="204"/>
    </w:p>
    <w:p w14:paraId="641322DB" w14:textId="1F8A2D0B" w:rsidR="006F6B58" w:rsidRPr="0021550A" w:rsidRDefault="006F6B58" w:rsidP="000737CB">
      <w:r w:rsidRPr="0021550A">
        <w:t>In addition to locating the change in compositors in a text, we can also use clustering algorithms to explore texts where a change in the copy text has taken place. This section demonstrates the information we can find about the copy text using cluster analysis, based on Caxton’s edition</w:t>
      </w:r>
      <w:r w:rsidR="00004FCD">
        <w:t>s</w:t>
      </w:r>
      <w:r w:rsidRPr="0021550A">
        <w:t xml:space="preserve"> of the </w:t>
      </w:r>
      <w:r w:rsidRPr="0021550A">
        <w:rPr>
          <w:i/>
        </w:rPr>
        <w:t>Golden Legend</w:t>
      </w:r>
      <w:r w:rsidRPr="0021550A">
        <w:t xml:space="preserve"> and the </w:t>
      </w:r>
      <w:r w:rsidRPr="0021550A">
        <w:rPr>
          <w:i/>
        </w:rPr>
        <w:t>Polychronicon</w:t>
      </w:r>
      <w:r w:rsidRPr="0021550A">
        <w:t xml:space="preserve">. </w:t>
      </w:r>
    </w:p>
    <w:p w14:paraId="2E9E5FA7" w14:textId="77777777" w:rsidR="00104CBE" w:rsidRPr="0021550A" w:rsidRDefault="00104CBE" w:rsidP="000737CB"/>
    <w:p w14:paraId="53A7E68D" w14:textId="2D027201" w:rsidR="006F6B58" w:rsidRPr="0021550A" w:rsidRDefault="006F6B58" w:rsidP="000737CB">
      <w:pPr>
        <w:pStyle w:val="Heading3"/>
      </w:pPr>
      <w:bookmarkStart w:id="205" w:name="_Ref492911846"/>
      <w:r w:rsidRPr="0021550A">
        <w:t xml:space="preserve">Clustering Caxton’s </w:t>
      </w:r>
      <w:r w:rsidRPr="00004FCD">
        <w:rPr>
          <w:i/>
        </w:rPr>
        <w:t>Golden Legend</w:t>
      </w:r>
      <w:bookmarkEnd w:id="205"/>
    </w:p>
    <w:p w14:paraId="6B44A395" w14:textId="361D292D" w:rsidR="006F6B58" w:rsidRPr="0021550A" w:rsidRDefault="006F6B58" w:rsidP="000737CB">
      <w:r w:rsidRPr="0021550A">
        <w:t xml:space="preserve">The </w:t>
      </w:r>
      <w:r w:rsidRPr="0021550A">
        <w:rPr>
          <w:i/>
        </w:rPr>
        <w:t>Golden Legend</w:t>
      </w:r>
      <w:r w:rsidRPr="0021550A">
        <w:t xml:space="preserve"> stands out among Caxton’s texts as a remarkable investment in time and money. The text runs to nine hundred pages, and was printed on royal paper—the largest paper used in any of Caxton’s books, and used only to print the </w:t>
      </w:r>
      <w:r w:rsidRPr="0021550A">
        <w:rPr>
          <w:i/>
        </w:rPr>
        <w:t>Golden Legend</w:t>
      </w:r>
      <w:r w:rsidRPr="0021550A">
        <w:t xml:space="preserve"> </w:t>
      </w:r>
      <w:r w:rsidR="00004FCD" w:rsidRPr="00004FCD">
        <w:t xml:space="preserve">(Hellinga 2010). </w:t>
      </w:r>
      <w:r w:rsidRPr="0021550A">
        <w:t xml:space="preserve">Caxton’s edition of the </w:t>
      </w:r>
      <w:r w:rsidRPr="0021550A">
        <w:rPr>
          <w:i/>
        </w:rPr>
        <w:t>Golden Legend</w:t>
      </w:r>
      <w:r w:rsidRPr="0021550A">
        <w:t xml:space="preserve"> has a complex history both with regard to the creation of the copy text that Caxton used, and the printing of a second issue of the text.</w:t>
      </w:r>
    </w:p>
    <w:p w14:paraId="4AD9949B" w14:textId="77777777" w:rsidR="00376830" w:rsidRDefault="006F6B58" w:rsidP="000737CB">
      <w:r w:rsidRPr="0021550A">
        <w:t xml:space="preserve">Caxton’s edition of the </w:t>
      </w:r>
      <w:r w:rsidRPr="0021550A">
        <w:rPr>
          <w:i/>
        </w:rPr>
        <w:t>Golden Legend</w:t>
      </w:r>
      <w:r w:rsidRPr="0021550A">
        <w:t xml:space="preserve"> is based on the Latin </w:t>
      </w:r>
      <w:r w:rsidRPr="0021550A">
        <w:rPr>
          <w:i/>
        </w:rPr>
        <w:t>Legenda Aurea</w:t>
      </w:r>
      <w:r w:rsidRPr="0021550A">
        <w:t xml:space="preserve">, written between 1350 and 1380 by the archbishop of Genoa, Jacobus de Voraigne </w:t>
      </w:r>
      <w:r w:rsidR="00004FCD" w:rsidRPr="00004FCD">
        <w:t xml:space="preserve">(Blake 1969). </w:t>
      </w:r>
      <w:r w:rsidRPr="0021550A">
        <w:t xml:space="preserve">This original text was made up of sections of text that were intended to be read on a particular feast-day in the church calendar, beginning with Advent. The text was later translated into French in at least two different versions </w:t>
      </w:r>
      <w:r w:rsidR="00004FCD" w:rsidRPr="00004FCD">
        <w:t>(Blake 1969:</w:t>
      </w:r>
      <w:r w:rsidR="005D71FB">
        <w:t xml:space="preserve"> </w:t>
      </w:r>
      <w:r w:rsidR="00004FCD" w:rsidRPr="00004FCD">
        <w:t xml:space="preserve">117), </w:t>
      </w:r>
      <w:r w:rsidRPr="0021550A">
        <w:t xml:space="preserve">and an English translation known as the </w:t>
      </w:r>
      <w:r w:rsidRPr="0021550A">
        <w:rPr>
          <w:i/>
          <w:iCs/>
        </w:rPr>
        <w:t>Gilte Legende</w:t>
      </w:r>
      <w:r w:rsidRPr="0021550A">
        <w:t xml:space="preserve"> was made around 1438. The </w:t>
      </w:r>
      <w:r w:rsidRPr="0021550A">
        <w:rPr>
          <w:i/>
          <w:iCs/>
        </w:rPr>
        <w:t>Gilte Legende</w:t>
      </w:r>
      <w:r w:rsidRPr="0021550A">
        <w:t> </w:t>
      </w:r>
      <w:r w:rsidR="005D71FB">
        <w:t>includes the contents of the</w:t>
      </w:r>
      <w:r w:rsidRPr="0021550A">
        <w:t xml:space="preserve"> Latin </w:t>
      </w:r>
      <w:r w:rsidRPr="0021550A">
        <w:rPr>
          <w:i/>
          <w:iCs/>
        </w:rPr>
        <w:t>Legenda Aurea</w:t>
      </w:r>
      <w:r w:rsidRPr="0021550A">
        <w:t xml:space="preserve">, </w:t>
      </w:r>
      <w:r w:rsidR="005D71FB">
        <w:t>and</w:t>
      </w:r>
      <w:r w:rsidRPr="0021550A">
        <w:t xml:space="preserve"> it also includes</w:t>
      </w:r>
      <w:r w:rsidR="005D71FB">
        <w:t xml:space="preserve"> a narrative of the lives of numerous</w:t>
      </w:r>
      <w:r w:rsidRPr="0021550A">
        <w:t xml:space="preserve"> saints. </w:t>
      </w:r>
    </w:p>
    <w:p w14:paraId="7CE7DB61" w14:textId="3C99CA7F" w:rsidR="00376830" w:rsidRDefault="006F6B58" w:rsidP="000737CB">
      <w:r w:rsidRPr="0021550A">
        <w:lastRenderedPageBreak/>
        <w:t xml:space="preserve">Caxton states in his prologue that his version of the text was based on three versions of the </w:t>
      </w:r>
      <w:r w:rsidRPr="0021550A">
        <w:rPr>
          <w:i/>
        </w:rPr>
        <w:t>Golden Legend</w:t>
      </w:r>
      <w:r w:rsidRPr="0021550A">
        <w:t xml:space="preserve"> in Latin, French and</w:t>
      </w:r>
      <w:r w:rsidR="00376830">
        <w:t xml:space="preserve"> English, and two other texts </w:t>
      </w:r>
      <w:r w:rsidR="00376830" w:rsidRPr="00004FCD">
        <w:t>(1487:</w:t>
      </w:r>
      <w:r w:rsidR="00376830">
        <w:t xml:space="preserve"> </w:t>
      </w:r>
      <w:r w:rsidR="00376830" w:rsidRPr="00004FCD">
        <w:t>2</w:t>
      </w:r>
      <w:r w:rsidR="00376830" w:rsidRPr="00004FCD">
        <w:rPr>
          <w:vertAlign w:val="superscript"/>
        </w:rPr>
        <w:t>b</w:t>
      </w:r>
      <w:r w:rsidR="00376830">
        <w:t xml:space="preserve">): </w:t>
      </w:r>
    </w:p>
    <w:p w14:paraId="35543A5A" w14:textId="7F8D3219" w:rsidR="00376830" w:rsidRDefault="006F6B58" w:rsidP="00376830">
      <w:pPr>
        <w:spacing w:line="240" w:lineRule="auto"/>
        <w:ind w:left="720" w:firstLine="0"/>
      </w:pPr>
      <w:r w:rsidRPr="0021550A">
        <w:t xml:space="preserve">I had by me a legende in frensshe another in latyn &amp; the thyrd in englysshe whiche varyed in many and dyuers places and also many hystoryes were comprysed in the two other bookes whiche </w:t>
      </w:r>
      <w:r w:rsidR="00376830">
        <w:t>were not in the englysshe book</w:t>
      </w:r>
    </w:p>
    <w:p w14:paraId="318C7461" w14:textId="77777777" w:rsidR="00376830" w:rsidRDefault="00376830" w:rsidP="000737CB"/>
    <w:p w14:paraId="2B41B312" w14:textId="05FC2891" w:rsidR="007D754B" w:rsidRDefault="006F6B58" w:rsidP="000737CB">
      <w:r w:rsidRPr="0021550A">
        <w:t xml:space="preserve">Blake argues that the additional material from the “two other bookes” was not insignificant. In particular, Blake </w:t>
      </w:r>
      <w:r w:rsidR="00376830" w:rsidRPr="00004FCD">
        <w:t>(1969:</w:t>
      </w:r>
      <w:r w:rsidR="00376830">
        <w:t xml:space="preserve"> 118)</w:t>
      </w:r>
      <w:r w:rsidR="00376830" w:rsidRPr="00004FCD">
        <w:t xml:space="preserve"> </w:t>
      </w:r>
      <w:r w:rsidRPr="0021550A">
        <w:t>states that Caxton “inserted a whole new section containing lives of bibl</w:t>
      </w:r>
      <w:r w:rsidR="00376830">
        <w:t>ical and apocryphal people …</w:t>
      </w:r>
      <w:r w:rsidRPr="0021550A">
        <w:t xml:space="preserve"> a small commenta</w:t>
      </w:r>
      <w:r w:rsidR="00376830">
        <w:t>ry on the Ten Commandments …</w:t>
      </w:r>
      <w:r w:rsidRPr="0021550A">
        <w:t xml:space="preserve"> translat</w:t>
      </w:r>
      <w:r w:rsidR="00376830">
        <w:t>ed a Latin life of St Roch …</w:t>
      </w:r>
      <w:r w:rsidRPr="0021550A">
        <w:t xml:space="preserve"> and included many personal comments and reminiscences</w:t>
      </w:r>
      <w:r w:rsidR="00004FCD">
        <w:t>”</w:t>
      </w:r>
      <w:r w:rsidR="00376830">
        <w:t>.</w:t>
      </w:r>
      <w:r w:rsidR="00004FCD">
        <w:t xml:space="preserve"> </w:t>
      </w:r>
      <w:r w:rsidR="00004FCD" w:rsidRPr="00004FCD">
        <w:t>Because of the extensive additions made to the text, Blake</w:t>
      </w:r>
      <w:r w:rsidR="00004FCD">
        <w:t xml:space="preserve"> </w:t>
      </w:r>
      <w:r w:rsidR="00004FCD" w:rsidRPr="00004FCD">
        <w:t>(1969:</w:t>
      </w:r>
      <w:r w:rsidR="00004FCD">
        <w:t xml:space="preserve"> 119)</w:t>
      </w:r>
      <w:r w:rsidR="00004FCD" w:rsidRPr="00004FCD">
        <w:t xml:space="preserve"> suggests that Caxton used the French text as his basic text and incorporated additions from other texts onto the French text</w:t>
      </w:r>
      <w:r w:rsidR="00004FCD">
        <w:t>.</w:t>
      </w:r>
      <w:r w:rsidR="00004FCD" w:rsidRPr="00004FCD">
        <w:t xml:space="preserve"> </w:t>
      </w:r>
      <w:r w:rsidRPr="0021550A">
        <w:t xml:space="preserve">Richard Hamer </w:t>
      </w:r>
      <w:r w:rsidR="00376830" w:rsidRPr="007D754B">
        <w:t>(1998:</w:t>
      </w:r>
      <w:r w:rsidR="00376830">
        <w:t xml:space="preserve"> </w:t>
      </w:r>
      <w:r w:rsidR="00376830" w:rsidRPr="007D754B">
        <w:t>xvi)</w:t>
      </w:r>
      <w:r w:rsidR="00376830">
        <w:t xml:space="preserve"> </w:t>
      </w:r>
      <w:r w:rsidRPr="0021550A">
        <w:t>also notes that Caxton’s version also included many French saints not included in the Latin or English versions</w:t>
      </w:r>
      <w:r w:rsidR="007D754B" w:rsidRPr="007D754B">
        <w:t>, and in Caxton’s edition sections of the French version are directly translated and appear in the same order (Hellinga &amp; Painter 2007:</w:t>
      </w:r>
      <w:r w:rsidR="007D754B">
        <w:t xml:space="preserve"> </w:t>
      </w:r>
      <w:r w:rsidR="007D754B" w:rsidRPr="007D754B">
        <w:t xml:space="preserve">147). </w:t>
      </w:r>
      <w:r w:rsidRPr="0021550A">
        <w:t xml:space="preserve">Caxton does suggest that the version he has produced is an amalgam of the other three texts, but he does not make it clear which text he used the most: “I haue wryten one oute of the sayd thre bookes which I haue ordryd otherwyse than the sayd englysshe legende is” </w:t>
      </w:r>
      <w:r w:rsidR="007D754B" w:rsidRPr="007D754B">
        <w:t>(1487:</w:t>
      </w:r>
      <w:r w:rsidR="007D754B">
        <w:t xml:space="preserve"> </w:t>
      </w:r>
      <w:r w:rsidR="007D754B" w:rsidRPr="007D754B">
        <w:t>2</w:t>
      </w:r>
      <w:r w:rsidR="007D754B" w:rsidRPr="00376830">
        <w:rPr>
          <w:vertAlign w:val="superscript"/>
        </w:rPr>
        <w:t>b</w:t>
      </w:r>
      <w:r w:rsidR="007D754B" w:rsidRPr="007D754B">
        <w:t>).</w:t>
      </w:r>
    </w:p>
    <w:p w14:paraId="7FC1BC0A" w14:textId="77777777" w:rsidR="005F3173" w:rsidRPr="005F3173" w:rsidRDefault="006F6B58" w:rsidP="005F3173">
      <w:r w:rsidRPr="0021550A">
        <w:t xml:space="preserve">The </w:t>
      </w:r>
      <w:r w:rsidRPr="0021550A">
        <w:rPr>
          <w:i/>
        </w:rPr>
        <w:t>Golden Legend</w:t>
      </w:r>
      <w:r w:rsidRPr="0021550A">
        <w:t xml:space="preserve"> is also unusual among Caxton’s texts because it is the only text to appear in two issues (as opposed to two editions). The </w:t>
      </w:r>
      <w:r w:rsidR="00376830">
        <w:rPr>
          <w:i/>
        </w:rPr>
        <w:t>Golden Legend</w:t>
      </w:r>
      <w:r w:rsidRPr="0021550A">
        <w:t xml:space="preserve"> was printed for the first time in 1484, </w:t>
      </w:r>
      <w:r w:rsidR="00376830">
        <w:t>but</w:t>
      </w:r>
      <w:r w:rsidRPr="0021550A">
        <w:t xml:space="preserve"> in 1487 </w:t>
      </w:r>
      <w:r w:rsidR="00376830">
        <w:t xml:space="preserve">Caxton </w:t>
      </w:r>
      <w:r w:rsidRPr="0021550A">
        <w:t xml:space="preserve">issued a second </w:t>
      </w:r>
      <w:r w:rsidR="00376830">
        <w:t>edition of the text</w:t>
      </w:r>
      <w:r w:rsidRPr="0021550A">
        <w:t xml:space="preserve">. </w:t>
      </w:r>
      <w:r w:rsidR="008A4B6E" w:rsidRPr="008A4B6E">
        <w:t>This second issue included much of the text that had been printed for the first issue, but large amount</w:t>
      </w:r>
      <w:r w:rsidR="00376830">
        <w:t>s</w:t>
      </w:r>
      <w:r w:rsidR="008A4B6E" w:rsidRPr="008A4B6E">
        <w:t xml:space="preserve"> of the book h</w:t>
      </w:r>
      <w:r w:rsidR="007D3068">
        <w:t>ad been reprinted (Painter 1976</w:t>
      </w:r>
      <w:r w:rsidR="008A4B6E" w:rsidRPr="008A4B6E">
        <w:t>:</w:t>
      </w:r>
      <w:r w:rsidR="008A4B6E">
        <w:t xml:space="preserve"> </w:t>
      </w:r>
      <w:r w:rsidR="008A4B6E" w:rsidRPr="008A4B6E">
        <w:t xml:space="preserve">156). </w:t>
      </w:r>
      <w:r w:rsidR="005F3173">
        <w:t xml:space="preserve">In the books produced as part of the second print run, almost half the quires are those left over from the original print—printed on the same paper and in the same typeface as the original, these quires match exactly with the first issue texts. For this reason, it is believed that in the texts that form the second issue, some of the quires were left over from the first print run in 1484 and other quires in the second issue had to be reprinted in 1487. There are copies of the </w:t>
      </w:r>
      <w:r w:rsidR="005F3173">
        <w:rPr>
          <w:i/>
        </w:rPr>
        <w:t>Golden Legend</w:t>
      </w:r>
      <w:r w:rsidR="005F3173">
        <w:t xml:space="preserve"> that are from the first issue—these texts contain quires that were all printed in 1484—and there are copies from the second issue—these texts contain some quires from 1484 supplemented with quires from 1487. However, there are no extant copies that are fully made up of quires printed later in 1487. </w:t>
      </w:r>
    </w:p>
    <w:p w14:paraId="2269B25A" w14:textId="04DC81F6" w:rsidR="005F3173" w:rsidRDefault="005F3173" w:rsidP="00B475A0">
      <w:r>
        <w:t xml:space="preserve">In second-issue copies of the </w:t>
      </w:r>
      <w:r>
        <w:rPr>
          <w:i/>
        </w:rPr>
        <w:t>Golden Legend</w:t>
      </w:r>
      <w:r>
        <w:t xml:space="preserve">, it is possible to tell the difference between quires that were printed for the first issue, and the quires that had to be reprinted in 1487. </w:t>
      </w:r>
      <w:r w:rsidR="00B475A0">
        <w:t>T</w:t>
      </w:r>
      <w:r w:rsidR="00B475A0" w:rsidRPr="008A4B6E">
        <w:t>he second issue used Caxton’s Type 5 for the headings, where</w:t>
      </w:r>
      <w:r w:rsidR="00B475A0">
        <w:t>as</w:t>
      </w:r>
      <w:r w:rsidR="00B475A0" w:rsidRPr="008A4B6E">
        <w:t xml:space="preserve"> the first issue used Type 3</w:t>
      </w:r>
      <w:r w:rsidR="00B475A0">
        <w:t xml:space="preserve"> for the headings (Painter 1976</w:t>
      </w:r>
      <w:r w:rsidR="00B475A0" w:rsidRPr="008A4B6E">
        <w:t>:</w:t>
      </w:r>
      <w:r w:rsidR="00B475A0">
        <w:t xml:space="preserve"> </w:t>
      </w:r>
      <w:r w:rsidR="00B475A0" w:rsidRPr="008A4B6E">
        <w:t>156).</w:t>
      </w:r>
      <w:r w:rsidR="00B475A0">
        <w:t xml:space="preserve"> </w:t>
      </w:r>
      <w:r w:rsidRPr="008A4B6E">
        <w:t xml:space="preserve">The </w:t>
      </w:r>
      <w:r>
        <w:t xml:space="preserve">quires that were reprinted for the </w:t>
      </w:r>
      <w:r>
        <w:lastRenderedPageBreak/>
        <w:t>second issue</w:t>
      </w:r>
      <w:r w:rsidRPr="008A4B6E">
        <w:t xml:space="preserve"> sections of the book </w:t>
      </w:r>
      <w:r w:rsidR="00B475A0">
        <w:t>also use a</w:t>
      </w:r>
      <w:r w:rsidRPr="008A4B6E">
        <w:t xml:space="preserve"> different stock of paper and </w:t>
      </w:r>
      <w:r w:rsidR="00B475A0">
        <w:t>the body text also uses a slightly different typeface</w:t>
      </w:r>
      <w:r w:rsidRPr="008A4B6E">
        <w:t xml:space="preserve"> - using Caxton’s Type 4* in part alongside the older Type 4 which it was intended to replace (Hellinga 2010:</w:t>
      </w:r>
      <w:r>
        <w:t xml:space="preserve"> </w:t>
      </w:r>
      <w:r w:rsidR="00B475A0">
        <w:t xml:space="preserve">71). Hellinga </w:t>
      </w:r>
      <w:r w:rsidR="00B475A0" w:rsidRPr="008A4B6E">
        <w:t>(2010:</w:t>
      </w:r>
      <w:r w:rsidR="00B475A0">
        <w:t xml:space="preserve"> </w:t>
      </w:r>
      <w:r w:rsidR="00B475A0" w:rsidRPr="008A4B6E">
        <w:t>72)</w:t>
      </w:r>
      <w:r w:rsidR="00B475A0">
        <w:t xml:space="preserve"> suggests</w:t>
      </w:r>
      <w:r w:rsidRPr="008A4B6E">
        <w:t xml:space="preserve"> that the reprinting of parts of the second issue of the text could have been a result of the book being larger than Caxton anticipated, or that the large paper was in short supply. However, Painter argues that “some serious accident of fire or flood must have destroyed or spoiled most of Caxton’s stock of sheets of more than half o</w:t>
      </w:r>
      <w:r>
        <w:t>f the first printing” (1976</w:t>
      </w:r>
      <w:r w:rsidRPr="008A4B6E">
        <w:t>:</w:t>
      </w:r>
      <w:r>
        <w:t xml:space="preserve"> </w:t>
      </w:r>
      <w:r w:rsidRPr="008A4B6E">
        <w:t>156).</w:t>
      </w:r>
      <w:r w:rsidRPr="005F3173">
        <w:t xml:space="preserve"> </w:t>
      </w:r>
      <w:r w:rsidRPr="008A4B6E">
        <w:t xml:space="preserve">The text in the second issue that was reprinted was typeset using the </w:t>
      </w:r>
      <w:r w:rsidR="00B475A0">
        <w:t xml:space="preserve">first edition as the copy text, and therefore the </w:t>
      </w:r>
      <w:r w:rsidRPr="008A4B6E">
        <w:t>spellings in the reprinted parts of the second issue are distanced from the manuscript written by Caxton by a further series of copying.</w:t>
      </w:r>
    </w:p>
    <w:p w14:paraId="414F50B1" w14:textId="4CA646E4" w:rsidR="006F6B58" w:rsidRPr="0021550A" w:rsidRDefault="006F6B58" w:rsidP="000737CB">
      <w:r w:rsidRPr="0021550A">
        <w:t xml:space="preserve">The final aspect of the </w:t>
      </w:r>
      <w:r w:rsidRPr="0021550A">
        <w:rPr>
          <w:i/>
        </w:rPr>
        <w:t>Golden Legend</w:t>
      </w:r>
      <w:r w:rsidRPr="0021550A">
        <w:t xml:space="preserve"> that makes it unique in</w:t>
      </w:r>
      <w:r w:rsidR="00B475A0">
        <w:t xml:space="preserve"> terms of</w:t>
      </w:r>
      <w:r w:rsidRPr="0021550A">
        <w:t xml:space="preserve"> Caxton’s output is the number of compositors that were involved in setting the type. Hellinga </w:t>
      </w:r>
      <w:r w:rsidR="00B475A0">
        <w:t>and</w:t>
      </w:r>
      <w:r w:rsidRPr="0021550A">
        <w:t xml:space="preserve"> Painter believe that the </w:t>
      </w:r>
      <w:r w:rsidRPr="0021550A">
        <w:rPr>
          <w:i/>
        </w:rPr>
        <w:t>Golden Legend</w:t>
      </w:r>
      <w:r w:rsidRPr="0021550A">
        <w:t xml:space="preserve"> was typeset by three compositors, and that the changes in compositor occur at the start of Quire A and the start of Quire aa. It is the only book produced by Caxton’s printing house that Hellinga </w:t>
      </w:r>
      <w:r w:rsidR="00B475A0">
        <w:t>and</w:t>
      </w:r>
      <w:r w:rsidRPr="0021550A">
        <w:t xml:space="preserve"> Painter (or any other Caxton scholar) has identified as having been typeset by more than two compositors working concurrently.</w:t>
      </w:r>
    </w:p>
    <w:p w14:paraId="1AD77563" w14:textId="36A8BF73" w:rsidR="006F6B58" w:rsidRPr="0021550A" w:rsidRDefault="006F6B58" w:rsidP="000737CB">
      <w:r w:rsidRPr="0021550A">
        <w:t xml:space="preserve">The sources of spellings for Caxton’s edition of the </w:t>
      </w:r>
      <w:r w:rsidRPr="0021550A">
        <w:rPr>
          <w:i/>
        </w:rPr>
        <w:t>Golden Legend</w:t>
      </w:r>
      <w:r w:rsidRPr="0021550A">
        <w:t xml:space="preserve"> are highly complex, including a copy text that was produced by Caxton from multiple texts, some of which was copied directly from the English </w:t>
      </w:r>
      <w:r w:rsidRPr="0021550A">
        <w:rPr>
          <w:i/>
        </w:rPr>
        <w:t>Gilte Legende</w:t>
      </w:r>
      <w:r w:rsidRPr="0021550A">
        <w:t xml:space="preserve">, part of the text having been distanced from Caxton’s manuscript by another round of copying, and the type was typeset by three compositors. We can use cluster analysis to navigate these layers in the text of the </w:t>
      </w:r>
      <w:r w:rsidRPr="0021550A">
        <w:rPr>
          <w:i/>
        </w:rPr>
        <w:t>Golden Legend</w:t>
      </w:r>
      <w:r w:rsidRPr="0021550A">
        <w:t xml:space="preserve">. There are several aspects to the text that we can expect the cluster analysis to pick up on. Firstly, the text that Caxton produced was in English, and so if Caxton used the French text as his base text, then he must have translated the French into English. If Caxton translated the French text into English and then included additions throughout from the Latin text and the English </w:t>
      </w:r>
      <w:r w:rsidRPr="0021550A">
        <w:rPr>
          <w:i/>
        </w:rPr>
        <w:t>Gilte Legende</w:t>
      </w:r>
      <w:r w:rsidRPr="0021550A">
        <w:t xml:space="preserve">, then in effect Caxton created the copy text that was used by his compositors. Secondly, the text is made up of quires that were printed for the first issue of the text, and quires that were reprinted for the second issue. The quires that were reprinted therefore should include fewer spellings from Caxton, but more spellings from other compositors. Finally, we can expect the cluster analysis to pick up on the changes between the compositors. We would expect the cluster analysis to be able to pick up on the difference between the spellings where Caxton translated the text into English, and text where Caxton copied the English from the </w:t>
      </w:r>
      <w:r w:rsidRPr="0021550A">
        <w:rPr>
          <w:i/>
        </w:rPr>
        <w:t>Gilte Legende</w:t>
      </w:r>
      <w:r w:rsidRPr="0021550A">
        <w:t xml:space="preserve">. We also expect the clustering algorithm to isolate the quires that formed the second imprint and to locate where in the text the compositors change over. </w:t>
      </w:r>
    </w:p>
    <w:p w14:paraId="56BF1DB2" w14:textId="11BD5D74" w:rsidR="006F6B58" w:rsidRPr="0021550A" w:rsidRDefault="006F6B58" w:rsidP="000737CB">
      <w:r w:rsidRPr="0021550A">
        <w:lastRenderedPageBreak/>
        <w:t xml:space="preserve">We can begin by clustering the </w:t>
      </w:r>
      <w:r w:rsidRPr="0021550A">
        <w:rPr>
          <w:i/>
        </w:rPr>
        <w:t>Golden Legend</w:t>
      </w:r>
      <w:r w:rsidRPr="0021550A">
        <w:t xml:space="preserve"> into two clusters using the </w:t>
      </w:r>
      <w:r w:rsidRPr="0021550A">
        <w:rPr>
          <w:i/>
        </w:rPr>
        <w:t>k</w:t>
      </w:r>
      <w:r w:rsidRPr="0021550A">
        <w:t xml:space="preserve">-means algorithm, where </w:t>
      </w:r>
      <w:r w:rsidRPr="0021550A">
        <w:rPr>
          <w:i/>
        </w:rPr>
        <w:t>k</w:t>
      </w:r>
      <w:r w:rsidRPr="0021550A">
        <w:t xml:space="preserve"> = 2. The results are presented in </w:t>
      </w:r>
      <w:r w:rsidR="00E12429">
        <w:fldChar w:fldCharType="begin"/>
      </w:r>
      <w:r w:rsidR="00E12429">
        <w:instrText xml:space="preserve"> REF _Ref491275132 </w:instrText>
      </w:r>
      <w:r w:rsidR="00E12429">
        <w:fldChar w:fldCharType="separate"/>
      </w:r>
      <w:r w:rsidR="00D11844" w:rsidRPr="0021550A">
        <w:t xml:space="preserve">Figure </w:t>
      </w:r>
      <w:r w:rsidR="00D11844">
        <w:rPr>
          <w:noProof/>
        </w:rPr>
        <w:t>7</w:t>
      </w:r>
      <w:r w:rsidR="00D11844">
        <w:t>.</w:t>
      </w:r>
      <w:r w:rsidR="00D11844">
        <w:rPr>
          <w:noProof/>
        </w:rPr>
        <w:t>10</w:t>
      </w:r>
      <w:r w:rsidR="00E12429">
        <w:rPr>
          <w:noProof/>
        </w:rPr>
        <w:fldChar w:fldCharType="end"/>
      </w:r>
      <w:r w:rsidRPr="0021550A">
        <w:t>.</w:t>
      </w:r>
    </w:p>
    <w:p w14:paraId="7CE3217C" w14:textId="77777777" w:rsidR="006F6B58" w:rsidRPr="0021550A" w:rsidRDefault="006F6B58" w:rsidP="000737CB"/>
    <w:p w14:paraId="30887A80" w14:textId="5C31D97D" w:rsidR="006F6B58" w:rsidRPr="0021550A" w:rsidRDefault="006F6B58" w:rsidP="00115510">
      <w:pPr>
        <w:ind w:firstLine="0"/>
      </w:pPr>
      <w:r w:rsidRPr="0021550A">
        <w:rPr>
          <w:noProof/>
          <w:lang w:eastAsia="en-GB"/>
        </w:rPr>
        <w:drawing>
          <wp:inline distT="0" distB="0" distL="0" distR="0" wp14:anchorId="72DB6315" wp14:editId="379A52A1">
            <wp:extent cx="4985385" cy="83960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olden Legend k = 2.pdf"/>
                    <pic:cNvPicPr/>
                  </pic:nvPicPr>
                  <pic:blipFill rotWithShape="1">
                    <a:blip r:embed="rId74">
                      <a:extLst>
                        <a:ext uri="{28A0092B-C50C-407E-A947-70E740481C1C}">
                          <a14:useLocalDpi xmlns:a14="http://schemas.microsoft.com/office/drawing/2010/main"/>
                        </a:ext>
                      </a:extLst>
                    </a:blip>
                    <a:srcRect l="2090" t="3058" r="37246" b="78780"/>
                    <a:stretch/>
                  </pic:blipFill>
                  <pic:spPr bwMode="auto">
                    <a:xfrm>
                      <a:off x="0" y="0"/>
                      <a:ext cx="5432173" cy="914852"/>
                    </a:xfrm>
                    <a:prstGeom prst="rect">
                      <a:avLst/>
                    </a:prstGeom>
                    <a:ln>
                      <a:noFill/>
                    </a:ln>
                    <a:extLst>
                      <a:ext uri="{53640926-AAD7-44D8-BBD7-CCE9431645EC}">
                        <a14:shadowObscured xmlns:a14="http://schemas.microsoft.com/office/drawing/2010/main"/>
                      </a:ext>
                    </a:extLst>
                  </pic:spPr>
                </pic:pic>
              </a:graphicData>
            </a:graphic>
          </wp:inline>
        </w:drawing>
      </w:r>
    </w:p>
    <w:p w14:paraId="7ED03C11" w14:textId="1970E916" w:rsidR="006F6B58" w:rsidRPr="0021550A" w:rsidRDefault="00453776" w:rsidP="000737CB">
      <w:pPr>
        <w:pStyle w:val="Caption"/>
      </w:pPr>
      <w:bookmarkStart w:id="206" w:name="_Toc499753550"/>
      <w:r>
        <w:t>Figure 7.10:</w:t>
      </w:r>
      <w:r w:rsidR="006F6B58" w:rsidRPr="0021550A">
        <w:t xml:space="preserve"> </w:t>
      </w:r>
      <w:r w:rsidR="00104CBE">
        <w:t>Clustering</w:t>
      </w:r>
      <w:r w:rsidR="006F6B58" w:rsidRPr="0021550A">
        <w:t xml:space="preserve"> the </w:t>
      </w:r>
      <w:r w:rsidR="006F6B58" w:rsidRPr="0021550A">
        <w:rPr>
          <w:i/>
        </w:rPr>
        <w:t>Golden Legend</w:t>
      </w:r>
      <w:r w:rsidR="003E685F">
        <w:t>,</w:t>
      </w:r>
      <w:r w:rsidR="006F6B58" w:rsidRPr="0021550A">
        <w:t xml:space="preserve"> </w:t>
      </w:r>
      <w:r w:rsidR="006F6B58" w:rsidRPr="0021550A">
        <w:rPr>
          <w:i/>
        </w:rPr>
        <w:t>k</w:t>
      </w:r>
      <w:r w:rsidR="006F6B58" w:rsidRPr="0021550A">
        <w:t xml:space="preserve"> = 2</w:t>
      </w:r>
      <w:bookmarkEnd w:id="206"/>
    </w:p>
    <w:p w14:paraId="159D4187" w14:textId="77777777" w:rsidR="006F6B58" w:rsidRPr="0021550A" w:rsidRDefault="006F6B58" w:rsidP="000737CB"/>
    <w:p w14:paraId="4CE79A81" w14:textId="32055D35" w:rsidR="006F6B58" w:rsidRDefault="006F6B58" w:rsidP="000737CB">
      <w:r w:rsidRPr="0021550A">
        <w:t xml:space="preserve">The results in </w:t>
      </w:r>
      <w:r w:rsidR="00E12429">
        <w:fldChar w:fldCharType="begin"/>
      </w:r>
      <w:r w:rsidR="00E12429">
        <w:instrText xml:space="preserve"> REF _Ref491275132 </w:instrText>
      </w:r>
      <w:r w:rsidR="00E12429">
        <w:fldChar w:fldCharType="separate"/>
      </w:r>
      <w:r w:rsidR="00D11844" w:rsidRPr="0021550A">
        <w:t xml:space="preserve">Figure </w:t>
      </w:r>
      <w:r w:rsidR="00D11844">
        <w:rPr>
          <w:noProof/>
        </w:rPr>
        <w:t>7</w:t>
      </w:r>
      <w:r w:rsidR="00D11844">
        <w:t>.</w:t>
      </w:r>
      <w:r w:rsidR="00D11844">
        <w:rPr>
          <w:noProof/>
        </w:rPr>
        <w:t>10</w:t>
      </w:r>
      <w:r w:rsidR="00E12429">
        <w:rPr>
          <w:noProof/>
        </w:rPr>
        <w:fldChar w:fldCharType="end"/>
      </w:r>
      <w:r w:rsidRPr="0021550A">
        <w:t xml:space="preserve"> show that when </w:t>
      </w:r>
      <w:r w:rsidRPr="0021550A">
        <w:rPr>
          <w:i/>
        </w:rPr>
        <w:t>k</w:t>
      </w:r>
      <w:r w:rsidRPr="0021550A">
        <w:t xml:space="preserve"> = 2, the </w:t>
      </w:r>
      <w:r w:rsidRPr="0021550A">
        <w:rPr>
          <w:i/>
        </w:rPr>
        <w:t>k</w:t>
      </w:r>
      <w:r w:rsidRPr="0021550A">
        <w:t xml:space="preserve">-means algorithm divides the text into two clusters. Cluster 1, in yellow, is formed of the quires that were left over from the first imprint, and Cluster 2 is formed of the quires that were reprinted for the second issue, in blue. The difference in the spellings that are used in each of the two clusters is the strongest in the </w:t>
      </w:r>
      <w:r w:rsidRPr="0021550A">
        <w:rPr>
          <w:i/>
        </w:rPr>
        <w:t>Golden Legend</w:t>
      </w:r>
      <w:r w:rsidRPr="0021550A">
        <w:t xml:space="preserve">, because these quires are divided at </w:t>
      </w:r>
      <w:r w:rsidRPr="0021550A">
        <w:rPr>
          <w:i/>
        </w:rPr>
        <w:t>k</w:t>
      </w:r>
      <w:r w:rsidRPr="0021550A">
        <w:t xml:space="preserve"> = 2. </w:t>
      </w:r>
      <w:r w:rsidR="004A4086">
        <w:t xml:space="preserve">i.e. when we want a single division within the text, the division that occurs at </w:t>
      </w:r>
      <w:r w:rsidR="004A4086">
        <w:rPr>
          <w:i/>
        </w:rPr>
        <w:t xml:space="preserve">k </w:t>
      </w:r>
      <w:r w:rsidR="004A4086">
        <w:t xml:space="preserve">= 2 is always the greatest. </w:t>
      </w:r>
      <w:r w:rsidRPr="0021550A">
        <w:t xml:space="preserve">The difference between the spellings used in the first imprint and the spellings used in the second imprint are greater </w:t>
      </w:r>
      <w:r w:rsidR="006A1916">
        <w:t xml:space="preserve">therefore </w:t>
      </w:r>
      <w:r w:rsidRPr="0021550A">
        <w:t xml:space="preserve">than the difference in spelling caused by Caxton copying part of the </w:t>
      </w:r>
      <w:r w:rsidRPr="0021550A">
        <w:rPr>
          <w:i/>
        </w:rPr>
        <w:t>Gilte Legende</w:t>
      </w:r>
      <w:r w:rsidRPr="0021550A">
        <w:t xml:space="preserve">, and by a change in compositors in either the first or second issue. To find out which other source of input causes a change in the spellings in the text, we can extend the clustering to </w:t>
      </w:r>
      <w:r w:rsidRPr="0021550A">
        <w:rPr>
          <w:i/>
        </w:rPr>
        <w:t>k</w:t>
      </w:r>
      <w:r w:rsidR="00713F1E">
        <w:t xml:space="preserve"> = 3.</w:t>
      </w:r>
    </w:p>
    <w:p w14:paraId="58EB69F2" w14:textId="77777777" w:rsidR="00713F1E" w:rsidRPr="0021550A" w:rsidRDefault="00713F1E" w:rsidP="000737CB"/>
    <w:p w14:paraId="6C1F251F" w14:textId="68E063B1" w:rsidR="006F6B58" w:rsidRPr="0021550A" w:rsidRDefault="006F6B58" w:rsidP="00115510">
      <w:pPr>
        <w:ind w:firstLine="0"/>
      </w:pPr>
      <w:r w:rsidRPr="0021550A">
        <w:rPr>
          <w:noProof/>
          <w:lang w:eastAsia="en-GB"/>
        </w:rPr>
        <w:drawing>
          <wp:inline distT="0" distB="0" distL="0" distR="0" wp14:anchorId="56142967" wp14:editId="4C5CE75E">
            <wp:extent cx="4954311" cy="852579"/>
            <wp:effectExtent l="0" t="0" r="0" b="1143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olden Legend k = 3.pdf"/>
                    <pic:cNvPicPr/>
                  </pic:nvPicPr>
                  <pic:blipFill rotWithShape="1">
                    <a:blip r:embed="rId75">
                      <a:extLst>
                        <a:ext uri="{28A0092B-C50C-407E-A947-70E740481C1C}">
                          <a14:useLocalDpi xmlns:a14="http://schemas.microsoft.com/office/drawing/2010/main"/>
                        </a:ext>
                      </a:extLst>
                    </a:blip>
                    <a:srcRect l="3193" t="29908" r="36142" b="51533"/>
                    <a:stretch/>
                  </pic:blipFill>
                  <pic:spPr bwMode="auto">
                    <a:xfrm>
                      <a:off x="0" y="0"/>
                      <a:ext cx="5192815" cy="893623"/>
                    </a:xfrm>
                    <a:prstGeom prst="rect">
                      <a:avLst/>
                    </a:prstGeom>
                    <a:ln>
                      <a:noFill/>
                    </a:ln>
                    <a:extLst>
                      <a:ext uri="{53640926-AAD7-44D8-BBD7-CCE9431645EC}">
                        <a14:shadowObscured xmlns:a14="http://schemas.microsoft.com/office/drawing/2010/main"/>
                      </a:ext>
                    </a:extLst>
                  </pic:spPr>
                </pic:pic>
              </a:graphicData>
            </a:graphic>
          </wp:inline>
        </w:drawing>
      </w:r>
    </w:p>
    <w:p w14:paraId="01E00370" w14:textId="067180D3" w:rsidR="006F6B58" w:rsidRPr="0021550A" w:rsidRDefault="00453776" w:rsidP="000737CB">
      <w:pPr>
        <w:pStyle w:val="Caption"/>
      </w:pPr>
      <w:bookmarkStart w:id="207" w:name="_Toc499753551"/>
      <w:r>
        <w:t>Figure 7.11:</w:t>
      </w:r>
      <w:r w:rsidR="006F6B58" w:rsidRPr="0021550A">
        <w:t xml:space="preserve"> </w:t>
      </w:r>
      <w:r w:rsidR="00104CBE">
        <w:t xml:space="preserve">Clustering </w:t>
      </w:r>
      <w:r w:rsidR="006F6B58" w:rsidRPr="0021550A">
        <w:t xml:space="preserve">the </w:t>
      </w:r>
      <w:r w:rsidR="006F6B58" w:rsidRPr="0021550A">
        <w:rPr>
          <w:i/>
        </w:rPr>
        <w:t>Golden Legend</w:t>
      </w:r>
      <w:r w:rsidR="003E685F">
        <w:t>,</w:t>
      </w:r>
      <w:r w:rsidR="006F6B58" w:rsidRPr="0021550A">
        <w:t xml:space="preserve"> </w:t>
      </w:r>
      <w:r w:rsidR="006F6B58" w:rsidRPr="0021550A">
        <w:rPr>
          <w:i/>
        </w:rPr>
        <w:t>k</w:t>
      </w:r>
      <w:r w:rsidR="006F6B58" w:rsidRPr="0021550A">
        <w:t xml:space="preserve"> = 3</w:t>
      </w:r>
      <w:bookmarkEnd w:id="207"/>
    </w:p>
    <w:p w14:paraId="09F085D4" w14:textId="77777777" w:rsidR="006F6B58" w:rsidRPr="0021550A" w:rsidRDefault="006F6B58" w:rsidP="000737CB"/>
    <w:p w14:paraId="0E67175D" w14:textId="77777777" w:rsidR="006A4524" w:rsidRDefault="00E12429" w:rsidP="006A4524">
      <w:r>
        <w:fldChar w:fldCharType="begin"/>
      </w:r>
      <w:r>
        <w:instrText xml:space="preserve"> REF _Ref491276268 </w:instrText>
      </w:r>
      <w:r>
        <w:fldChar w:fldCharType="separate"/>
      </w:r>
      <w:r w:rsidR="00D11844" w:rsidRPr="0021550A">
        <w:t xml:space="preserve">Figure </w:t>
      </w:r>
      <w:r w:rsidR="00D11844">
        <w:rPr>
          <w:noProof/>
        </w:rPr>
        <w:t>7</w:t>
      </w:r>
      <w:r w:rsidR="00D11844">
        <w:t>.</w:t>
      </w:r>
      <w:r w:rsidR="00D11844">
        <w:rPr>
          <w:noProof/>
        </w:rPr>
        <w:t>11</w:t>
      </w:r>
      <w:r>
        <w:rPr>
          <w:noProof/>
        </w:rPr>
        <w:fldChar w:fldCharType="end"/>
      </w:r>
      <w:r w:rsidR="006F6B58" w:rsidRPr="0021550A">
        <w:t xml:space="preserve"> shows that when </w:t>
      </w:r>
      <w:r w:rsidR="006F6B58" w:rsidRPr="0021550A">
        <w:rPr>
          <w:i/>
        </w:rPr>
        <w:t>k</w:t>
      </w:r>
      <w:r w:rsidR="006F6B58" w:rsidRPr="0021550A">
        <w:t xml:space="preserve"> = 3 the algorithm divides the quires that form the second imprint into two clusters. The yellow cluster still shows the quires that form the first imprint of the text. The quires that form the blue cluster and the green cluster are the quires that were reprinted for the second issue. The changeover from the green cluster to the second part of the blue cluster takes place at the start of Quire aa, which is where</w:t>
      </w:r>
      <w:r w:rsidR="006A4524">
        <w:t xml:space="preserve"> Hellinga and Painter say that</w:t>
      </w:r>
      <w:r w:rsidR="006F6B58" w:rsidRPr="0021550A">
        <w:t xml:space="preserve"> the change from Compositor 1 to Compositor 2 takes place in the first issue. </w:t>
      </w:r>
    </w:p>
    <w:p w14:paraId="6B4ADAF3" w14:textId="7FCD9183" w:rsidR="006F6B58" w:rsidRDefault="006F6B58" w:rsidP="006A4524">
      <w:r w:rsidRPr="0021550A">
        <w:t xml:space="preserve">Hellinga </w:t>
      </w:r>
      <w:r w:rsidR="006A4524">
        <w:t>and</w:t>
      </w:r>
      <w:r w:rsidRPr="0021550A">
        <w:t xml:space="preserve"> Painter only put forth the location of compositors for the first issue of the </w:t>
      </w:r>
      <w:r w:rsidRPr="0021550A">
        <w:rPr>
          <w:i/>
        </w:rPr>
        <w:t>Golden Legend</w:t>
      </w:r>
      <w:r w:rsidRPr="0021550A">
        <w:t xml:space="preserve">, however it seems likely that the divide seen here when </w:t>
      </w:r>
      <w:r w:rsidRPr="0021550A">
        <w:rPr>
          <w:i/>
        </w:rPr>
        <w:t>k</w:t>
      </w:r>
      <w:r w:rsidRPr="0021550A">
        <w:t xml:space="preserve"> = 3 marks the divide between two compositors who reset the type for the second issue.</w:t>
      </w:r>
      <w:r w:rsidR="006A4524">
        <w:t xml:space="preserve"> Cluster 2 (in </w:t>
      </w:r>
      <w:r w:rsidR="006A4524">
        <w:lastRenderedPageBreak/>
        <w:t xml:space="preserve">blue) and Cluster 3 (in green) in </w:t>
      </w:r>
      <w:r w:rsidR="006A4524">
        <w:fldChar w:fldCharType="begin"/>
      </w:r>
      <w:r w:rsidR="006A4524">
        <w:instrText xml:space="preserve"> REF _Ref491276268 </w:instrText>
      </w:r>
      <w:r w:rsidR="006A4524">
        <w:fldChar w:fldCharType="separate"/>
      </w:r>
      <w:r w:rsidR="00D11844" w:rsidRPr="0021550A">
        <w:t xml:space="preserve">Figure </w:t>
      </w:r>
      <w:r w:rsidR="00D11844">
        <w:rPr>
          <w:noProof/>
        </w:rPr>
        <w:t>7</w:t>
      </w:r>
      <w:r w:rsidR="00D11844">
        <w:t>.</w:t>
      </w:r>
      <w:r w:rsidR="00D11844">
        <w:rPr>
          <w:noProof/>
        </w:rPr>
        <w:t>11</w:t>
      </w:r>
      <w:r w:rsidR="006A4524">
        <w:rPr>
          <w:noProof/>
        </w:rPr>
        <w:fldChar w:fldCharType="end"/>
      </w:r>
      <w:r w:rsidR="006A4524">
        <w:t xml:space="preserve"> both contain a fairly equal number of quires, </w:t>
      </w:r>
      <w:r w:rsidRPr="0021550A">
        <w:t xml:space="preserve">sixteen quires and fifteen quires respectively, and </w:t>
      </w:r>
      <w:r w:rsidR="006A4524">
        <w:t xml:space="preserve">the divide between these two groups of quires </w:t>
      </w:r>
      <w:r w:rsidRPr="0021550A">
        <w:t>occurs at the beginning of a new section of text. The quires that were reprinted in the green cluster also use a different stock of paper to the paper used in reprinting the quires that form the blue cluster</w:t>
      </w:r>
      <w:r w:rsidR="008A4B6E">
        <w:t xml:space="preserve"> </w:t>
      </w:r>
      <w:r w:rsidR="008A4B6E" w:rsidRPr="008A4B6E">
        <w:t>(Hellinga &amp; Painter 2007:</w:t>
      </w:r>
      <w:r w:rsidR="006A4524">
        <w:t xml:space="preserve"> </w:t>
      </w:r>
      <w:r w:rsidR="008A4B6E" w:rsidRPr="008A4B6E">
        <w:t>148).</w:t>
      </w:r>
      <w:r w:rsidRPr="0021550A">
        <w:t xml:space="preserve"> We can extend the clustering algorithm to </w:t>
      </w:r>
      <w:r w:rsidRPr="0021550A">
        <w:rPr>
          <w:i/>
        </w:rPr>
        <w:t>k</w:t>
      </w:r>
      <w:r w:rsidRPr="0021550A">
        <w:t xml:space="preserve"> = 4 for further information on the layers of spellings that make up the </w:t>
      </w:r>
      <w:r w:rsidRPr="0021550A">
        <w:rPr>
          <w:i/>
        </w:rPr>
        <w:t>Golden Legend</w:t>
      </w:r>
      <w:r w:rsidRPr="0021550A">
        <w:t xml:space="preserve">. </w:t>
      </w:r>
    </w:p>
    <w:p w14:paraId="7CCDD767" w14:textId="77777777" w:rsidR="006A4524" w:rsidRPr="0021550A" w:rsidRDefault="006A4524" w:rsidP="006A4524"/>
    <w:p w14:paraId="31BE914F" w14:textId="3C26ABE0" w:rsidR="006F6B58" w:rsidRPr="0021550A" w:rsidRDefault="006F6B58" w:rsidP="00115510">
      <w:pPr>
        <w:ind w:firstLine="0"/>
      </w:pPr>
      <w:r w:rsidRPr="0021550A">
        <w:rPr>
          <w:noProof/>
          <w:lang w:eastAsia="en-GB"/>
        </w:rPr>
        <w:drawing>
          <wp:inline distT="0" distB="0" distL="0" distR="0" wp14:anchorId="36DF050E" wp14:editId="7F9F0EBF">
            <wp:extent cx="4985385" cy="847624"/>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olden Legend k = 4.pdf"/>
                    <pic:cNvPicPr/>
                  </pic:nvPicPr>
                  <pic:blipFill rotWithShape="1">
                    <a:blip r:embed="rId76">
                      <a:extLst>
                        <a:ext uri="{28A0092B-C50C-407E-A947-70E740481C1C}">
                          <a14:useLocalDpi xmlns:a14="http://schemas.microsoft.com/office/drawing/2010/main"/>
                        </a:ext>
                      </a:extLst>
                    </a:blip>
                    <a:srcRect l="2581" t="3713" r="36756" b="77952"/>
                    <a:stretch/>
                  </pic:blipFill>
                  <pic:spPr bwMode="auto">
                    <a:xfrm>
                      <a:off x="0" y="0"/>
                      <a:ext cx="5219767" cy="887474"/>
                    </a:xfrm>
                    <a:prstGeom prst="rect">
                      <a:avLst/>
                    </a:prstGeom>
                    <a:ln>
                      <a:noFill/>
                    </a:ln>
                    <a:extLst>
                      <a:ext uri="{53640926-AAD7-44D8-BBD7-CCE9431645EC}">
                        <a14:shadowObscured xmlns:a14="http://schemas.microsoft.com/office/drawing/2010/main"/>
                      </a:ext>
                    </a:extLst>
                  </pic:spPr>
                </pic:pic>
              </a:graphicData>
            </a:graphic>
          </wp:inline>
        </w:drawing>
      </w:r>
    </w:p>
    <w:p w14:paraId="76D943C3" w14:textId="6E056711" w:rsidR="006F6B58" w:rsidRPr="0021550A" w:rsidRDefault="00453776" w:rsidP="000737CB">
      <w:pPr>
        <w:pStyle w:val="Caption"/>
      </w:pPr>
      <w:bookmarkStart w:id="208" w:name="_Toc499753552"/>
      <w:r>
        <w:t>Figure 7.12:</w:t>
      </w:r>
      <w:r w:rsidR="006F6B58" w:rsidRPr="0021550A">
        <w:t xml:space="preserve"> </w:t>
      </w:r>
      <w:r w:rsidR="00104CBE">
        <w:t>Clustering</w:t>
      </w:r>
      <w:r w:rsidR="006F6B58" w:rsidRPr="0021550A">
        <w:t xml:space="preserve"> the </w:t>
      </w:r>
      <w:r w:rsidR="006F6B58" w:rsidRPr="0021550A">
        <w:rPr>
          <w:i/>
        </w:rPr>
        <w:t>Golden Legend</w:t>
      </w:r>
      <w:r w:rsidR="003E685F">
        <w:t>,</w:t>
      </w:r>
      <w:r w:rsidR="006F6B58" w:rsidRPr="0021550A">
        <w:t xml:space="preserve"> </w:t>
      </w:r>
      <w:r w:rsidR="006F6B58" w:rsidRPr="0021550A">
        <w:rPr>
          <w:i/>
        </w:rPr>
        <w:t>k</w:t>
      </w:r>
      <w:r w:rsidR="006F6B58" w:rsidRPr="0021550A">
        <w:t xml:space="preserve"> = 4</w:t>
      </w:r>
      <w:bookmarkEnd w:id="208"/>
    </w:p>
    <w:p w14:paraId="0809754C" w14:textId="77777777" w:rsidR="006F6B58" w:rsidRPr="0021550A" w:rsidRDefault="006F6B58" w:rsidP="000737CB">
      <w:r w:rsidRPr="0021550A">
        <w:tab/>
      </w:r>
    </w:p>
    <w:p w14:paraId="6DE595FC" w14:textId="0A72FBA6" w:rsidR="006F6B58" w:rsidRDefault="006F6B58" w:rsidP="00115510">
      <w:pPr>
        <w:ind w:firstLine="0"/>
      </w:pPr>
      <w:r w:rsidRPr="0021550A">
        <w:tab/>
      </w:r>
      <w:r w:rsidR="00E12429">
        <w:fldChar w:fldCharType="begin"/>
      </w:r>
      <w:r w:rsidR="00E12429">
        <w:instrText xml:space="preserve"> REF _Ref491327365 </w:instrText>
      </w:r>
      <w:r w:rsidR="00E12429">
        <w:fldChar w:fldCharType="separate"/>
      </w:r>
      <w:r w:rsidR="00D11844" w:rsidRPr="0021550A">
        <w:t xml:space="preserve">Figure </w:t>
      </w:r>
      <w:r w:rsidR="00D11844">
        <w:rPr>
          <w:noProof/>
        </w:rPr>
        <w:t>7</w:t>
      </w:r>
      <w:r w:rsidR="00D11844">
        <w:t>.</w:t>
      </w:r>
      <w:r w:rsidR="00D11844">
        <w:rPr>
          <w:noProof/>
        </w:rPr>
        <w:t>12</w:t>
      </w:r>
      <w:r w:rsidR="00E12429">
        <w:rPr>
          <w:noProof/>
        </w:rPr>
        <w:fldChar w:fldCharType="end"/>
      </w:r>
      <w:r w:rsidRPr="0021550A">
        <w:t xml:space="preserve"> shows the four clusters formed of the quires of the </w:t>
      </w:r>
      <w:r w:rsidRPr="0021550A">
        <w:rPr>
          <w:i/>
        </w:rPr>
        <w:t>Golden Legend</w:t>
      </w:r>
      <w:r w:rsidRPr="0021550A">
        <w:t xml:space="preserve"> when </w:t>
      </w:r>
      <w:r w:rsidRPr="0021550A">
        <w:rPr>
          <w:i/>
        </w:rPr>
        <w:t>k</w:t>
      </w:r>
      <w:r w:rsidRPr="0021550A">
        <w:t xml:space="preserve"> = 4. </w:t>
      </w:r>
      <w:r w:rsidR="006541E0">
        <w:t xml:space="preserve">Here a division is made within the quires that formed the first issue of the text. The yellow and red clusters mark out the quires that formed the first issue, and here the red cluster is likely to contain the idiolect spellings of the second compositor which separates it from the yellow cluster. </w:t>
      </w:r>
      <w:r w:rsidRPr="0021550A">
        <w:t xml:space="preserve">We can increase the value of </w:t>
      </w:r>
      <w:r w:rsidRPr="0021550A">
        <w:rPr>
          <w:i/>
        </w:rPr>
        <w:t>k</w:t>
      </w:r>
      <w:r w:rsidRPr="0021550A">
        <w:t xml:space="preserve"> once more to </w:t>
      </w:r>
      <w:r w:rsidRPr="0021550A">
        <w:rPr>
          <w:i/>
        </w:rPr>
        <w:t>k</w:t>
      </w:r>
      <w:r w:rsidRPr="0021550A">
        <w:t xml:space="preserve"> = 5.</w:t>
      </w:r>
    </w:p>
    <w:p w14:paraId="2A3D3DA7" w14:textId="77777777" w:rsidR="006541E0" w:rsidRDefault="006541E0" w:rsidP="00115510">
      <w:pPr>
        <w:ind w:firstLine="0"/>
      </w:pPr>
    </w:p>
    <w:p w14:paraId="1BB7D94A" w14:textId="70D74159" w:rsidR="006F6B58" w:rsidRPr="0021550A" w:rsidRDefault="006F6B58" w:rsidP="000737CB">
      <w:pPr>
        <w:pStyle w:val="Caption"/>
      </w:pPr>
      <w:r w:rsidRPr="0021550A">
        <w:rPr>
          <w:noProof/>
          <w:lang w:eastAsia="en-GB"/>
        </w:rPr>
        <w:drawing>
          <wp:inline distT="0" distB="0" distL="0" distR="0" wp14:anchorId="1B84AD3C" wp14:editId="5B2F31FA">
            <wp:extent cx="4985385" cy="837625"/>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olden Legend k = 5.pdf"/>
                    <pic:cNvPicPr/>
                  </pic:nvPicPr>
                  <pic:blipFill rotWithShape="1">
                    <a:blip r:embed="rId77">
                      <a:extLst>
                        <a:ext uri="{28A0092B-C50C-407E-A947-70E740481C1C}">
                          <a14:useLocalDpi xmlns:a14="http://schemas.microsoft.com/office/drawing/2010/main"/>
                        </a:ext>
                      </a:extLst>
                    </a:blip>
                    <a:srcRect l="6017" t="16155" r="33313" b="65724"/>
                    <a:stretch/>
                  </pic:blipFill>
                  <pic:spPr bwMode="auto">
                    <a:xfrm>
                      <a:off x="0" y="0"/>
                      <a:ext cx="5188642" cy="871775"/>
                    </a:xfrm>
                    <a:prstGeom prst="rect">
                      <a:avLst/>
                    </a:prstGeom>
                    <a:ln>
                      <a:noFill/>
                    </a:ln>
                    <a:extLst>
                      <a:ext uri="{53640926-AAD7-44D8-BBD7-CCE9431645EC}">
                        <a14:shadowObscured xmlns:a14="http://schemas.microsoft.com/office/drawing/2010/main"/>
                      </a:ext>
                    </a:extLst>
                  </pic:spPr>
                </pic:pic>
              </a:graphicData>
            </a:graphic>
          </wp:inline>
        </w:drawing>
      </w:r>
    </w:p>
    <w:p w14:paraId="77179F5B" w14:textId="67DFDECF" w:rsidR="006F6B58" w:rsidRPr="0021550A" w:rsidRDefault="00453776" w:rsidP="000737CB">
      <w:pPr>
        <w:pStyle w:val="Caption"/>
      </w:pPr>
      <w:bookmarkStart w:id="209" w:name="_Toc499753553"/>
      <w:r>
        <w:t>Figure 7.13:</w:t>
      </w:r>
      <w:r w:rsidR="006F6B58" w:rsidRPr="0021550A">
        <w:t xml:space="preserve"> </w:t>
      </w:r>
      <w:r w:rsidR="00104CBE">
        <w:t>Clustering</w:t>
      </w:r>
      <w:r w:rsidR="006F6B58" w:rsidRPr="0021550A">
        <w:t xml:space="preserve"> the </w:t>
      </w:r>
      <w:r w:rsidR="006F6B58" w:rsidRPr="0021550A">
        <w:rPr>
          <w:i/>
        </w:rPr>
        <w:t>Golden Legend</w:t>
      </w:r>
      <w:r w:rsidR="003E685F">
        <w:t>,</w:t>
      </w:r>
      <w:r w:rsidR="006F6B58" w:rsidRPr="0021550A">
        <w:t xml:space="preserve"> </w:t>
      </w:r>
      <w:r w:rsidR="006F6B58" w:rsidRPr="0021550A">
        <w:rPr>
          <w:i/>
        </w:rPr>
        <w:t>k</w:t>
      </w:r>
      <w:r w:rsidR="006F6B58" w:rsidRPr="0021550A">
        <w:t xml:space="preserve"> = 5</w:t>
      </w:r>
      <w:bookmarkEnd w:id="209"/>
    </w:p>
    <w:p w14:paraId="60495E18" w14:textId="77777777" w:rsidR="006F6B58" w:rsidRPr="0021550A" w:rsidRDefault="006F6B58" w:rsidP="000737CB"/>
    <w:p w14:paraId="0364AE56" w14:textId="58E269B6" w:rsidR="006541E0" w:rsidRDefault="00E12429" w:rsidP="006541E0">
      <w:r>
        <w:fldChar w:fldCharType="begin"/>
      </w:r>
      <w:r>
        <w:instrText xml:space="preserve"> REF _Ref491331717 </w:instrText>
      </w:r>
      <w:r>
        <w:fldChar w:fldCharType="separate"/>
      </w:r>
      <w:r w:rsidR="00D11844" w:rsidRPr="0021550A">
        <w:t xml:space="preserve">Figure </w:t>
      </w:r>
      <w:r w:rsidR="00D11844">
        <w:rPr>
          <w:noProof/>
        </w:rPr>
        <w:t>7</w:t>
      </w:r>
      <w:r w:rsidR="00D11844">
        <w:t>.</w:t>
      </w:r>
      <w:r w:rsidR="00D11844">
        <w:rPr>
          <w:noProof/>
        </w:rPr>
        <w:t>13</w:t>
      </w:r>
      <w:r>
        <w:rPr>
          <w:noProof/>
        </w:rPr>
        <w:fldChar w:fldCharType="end"/>
      </w:r>
      <w:r w:rsidR="006F6B58" w:rsidRPr="0021550A">
        <w:t xml:space="preserve"> shows the five clusters that the quires of the </w:t>
      </w:r>
      <w:r w:rsidR="006F6B58" w:rsidRPr="0021550A">
        <w:rPr>
          <w:i/>
        </w:rPr>
        <w:t>Golden Legend</w:t>
      </w:r>
      <w:r w:rsidR="006F6B58" w:rsidRPr="0021550A">
        <w:t xml:space="preserve"> when </w:t>
      </w:r>
      <w:r w:rsidR="006F6B58" w:rsidRPr="0021550A">
        <w:rPr>
          <w:i/>
        </w:rPr>
        <w:t>k</w:t>
      </w:r>
      <w:r w:rsidR="006F6B58" w:rsidRPr="0021550A">
        <w:t xml:space="preserve"> = 5. </w:t>
      </w:r>
      <w:r w:rsidR="00430FE6">
        <w:t xml:space="preserve">When </w:t>
      </w:r>
      <w:r w:rsidR="00430FE6">
        <w:rPr>
          <w:i/>
        </w:rPr>
        <w:t>k</w:t>
      </w:r>
      <w:r w:rsidR="00430FE6">
        <w:t xml:space="preserve"> = 4, the yellow cluster ran from Quire a to Quire t, however when </w:t>
      </w:r>
      <w:r w:rsidR="00430FE6">
        <w:rPr>
          <w:i/>
        </w:rPr>
        <w:t>k</w:t>
      </w:r>
      <w:r w:rsidR="00430FE6">
        <w:t xml:space="preserve"> = 5 the yellow cluster is divided into two further clusters: the yellow cluster runs from Quire a to Quire l and the purple cluster runs from Quire m to Quire t. </w:t>
      </w:r>
      <w:r w:rsidR="006F6B58" w:rsidRPr="0021550A">
        <w:t>From the data that we have at present, it is not possible to determine what the change is that</w:t>
      </w:r>
      <w:r w:rsidR="006A1916">
        <w:t xml:space="preserve"> occurs at the start of Quire m</w:t>
      </w:r>
      <w:r w:rsidR="006F6B58" w:rsidRPr="0021550A">
        <w:t xml:space="preserve"> that separates the yellow cluster from the purple one because the known layers of spellings in the text have all been accounted for at previous levels of clustering. </w:t>
      </w:r>
    </w:p>
    <w:p w14:paraId="79AB9841" w14:textId="77C6E49C" w:rsidR="006F6B58" w:rsidRPr="0021550A" w:rsidRDefault="006F6B58" w:rsidP="006541E0">
      <w:r w:rsidRPr="0021550A">
        <w:t xml:space="preserve">We can separate the quires in </w:t>
      </w:r>
      <w:r w:rsidR="00E12429">
        <w:fldChar w:fldCharType="begin"/>
      </w:r>
      <w:r w:rsidR="00E12429">
        <w:instrText xml:space="preserve"> REF _Ref491331717 </w:instrText>
      </w:r>
      <w:r w:rsidR="00E12429">
        <w:fldChar w:fldCharType="separate"/>
      </w:r>
      <w:r w:rsidR="00D11844" w:rsidRPr="0021550A">
        <w:t xml:space="preserve">Figure </w:t>
      </w:r>
      <w:r w:rsidR="00D11844">
        <w:rPr>
          <w:noProof/>
        </w:rPr>
        <w:t>7</w:t>
      </w:r>
      <w:r w:rsidR="00D11844">
        <w:t>.</w:t>
      </w:r>
      <w:r w:rsidR="00D11844">
        <w:rPr>
          <w:noProof/>
        </w:rPr>
        <w:t>13</w:t>
      </w:r>
      <w:r w:rsidR="00E12429">
        <w:rPr>
          <w:noProof/>
        </w:rPr>
        <w:fldChar w:fldCharType="end"/>
      </w:r>
      <w:r w:rsidRPr="0021550A">
        <w:t xml:space="preserve"> into the clusters that represent quires that were included in the first issue and the quires that were reprinted for the second issue for further clarity. </w:t>
      </w:r>
      <w:r w:rsidR="00E12429">
        <w:fldChar w:fldCharType="begin"/>
      </w:r>
      <w:r w:rsidR="00E12429">
        <w:instrText xml:space="preserve"> REF _Ref491332997 </w:instrText>
      </w:r>
      <w:r w:rsidR="00E12429">
        <w:fldChar w:fldCharType="separate"/>
      </w:r>
      <w:r w:rsidR="00D11844" w:rsidRPr="0021550A">
        <w:t xml:space="preserve">Figure </w:t>
      </w:r>
      <w:r w:rsidR="00D11844">
        <w:rPr>
          <w:noProof/>
        </w:rPr>
        <w:t>7</w:t>
      </w:r>
      <w:r w:rsidR="00D11844">
        <w:t>.</w:t>
      </w:r>
      <w:r w:rsidR="00D11844">
        <w:rPr>
          <w:noProof/>
        </w:rPr>
        <w:t>14</w:t>
      </w:r>
      <w:r w:rsidR="00E12429">
        <w:rPr>
          <w:noProof/>
        </w:rPr>
        <w:fldChar w:fldCharType="end"/>
      </w:r>
      <w:r w:rsidRPr="0021550A">
        <w:t xml:space="preserve"> shows the divide between the quires that were printed for </w:t>
      </w:r>
      <w:r w:rsidRPr="0021550A">
        <w:lastRenderedPageBreak/>
        <w:t>the first issue of the text and the quires that had to be reprinted for the second issue. The quires are numbered by the order in which they appear in the text.</w:t>
      </w:r>
      <w:r w:rsidR="006541E0">
        <w:t xml:space="preserve"> Cluster 3 is divided into Cluster 3a and Cluster 3b</w:t>
      </w:r>
      <w:r w:rsidR="00E67B24">
        <w:t xml:space="preserve">, because these quires are grouped together, but are not consecutive in the text. </w:t>
      </w:r>
    </w:p>
    <w:p w14:paraId="46FCF823" w14:textId="77777777" w:rsidR="006F6B58" w:rsidRPr="0021550A" w:rsidRDefault="006F6B58" w:rsidP="000737CB"/>
    <w:p w14:paraId="71C840BC" w14:textId="48CF5D49" w:rsidR="006F6B58" w:rsidRPr="0021550A" w:rsidRDefault="006F6B58" w:rsidP="00115510">
      <w:pPr>
        <w:ind w:firstLine="0"/>
      </w:pPr>
      <w:r w:rsidRPr="0021550A">
        <w:rPr>
          <w:noProof/>
          <w:lang w:eastAsia="en-GB"/>
        </w:rPr>
        <w:drawing>
          <wp:inline distT="0" distB="0" distL="0" distR="0" wp14:anchorId="4BDB9456" wp14:editId="70F998B4">
            <wp:extent cx="5024161" cy="1477681"/>
            <wp:effectExtent l="0" t="0" r="508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olden Legend imprint split rev.pdf"/>
                    <pic:cNvPicPr/>
                  </pic:nvPicPr>
                  <pic:blipFill rotWithShape="1">
                    <a:blip r:embed="rId78">
                      <a:extLst>
                        <a:ext uri="{28A0092B-C50C-407E-A947-70E740481C1C}">
                          <a14:useLocalDpi xmlns:a14="http://schemas.microsoft.com/office/drawing/2010/main"/>
                        </a:ext>
                      </a:extLst>
                    </a:blip>
                    <a:srcRect l="4176" t="5458" r="35282" b="62888"/>
                    <a:stretch/>
                  </pic:blipFill>
                  <pic:spPr bwMode="auto">
                    <a:xfrm>
                      <a:off x="0" y="0"/>
                      <a:ext cx="5208304" cy="1531840"/>
                    </a:xfrm>
                    <a:prstGeom prst="rect">
                      <a:avLst/>
                    </a:prstGeom>
                    <a:ln>
                      <a:noFill/>
                    </a:ln>
                    <a:extLst>
                      <a:ext uri="{53640926-AAD7-44D8-BBD7-CCE9431645EC}">
                        <a14:shadowObscured xmlns:a14="http://schemas.microsoft.com/office/drawing/2010/main"/>
                      </a:ext>
                    </a:extLst>
                  </pic:spPr>
                </pic:pic>
              </a:graphicData>
            </a:graphic>
          </wp:inline>
        </w:drawing>
      </w:r>
    </w:p>
    <w:p w14:paraId="2A686D53" w14:textId="1BEB0A62" w:rsidR="006F6B58" w:rsidRPr="0021550A" w:rsidRDefault="00453776" w:rsidP="000737CB">
      <w:pPr>
        <w:pStyle w:val="Caption"/>
      </w:pPr>
      <w:bookmarkStart w:id="210" w:name="_Toc499753554"/>
      <w:r>
        <w:t>Figure 7.14:</w:t>
      </w:r>
      <w:r w:rsidR="006F6B58" w:rsidRPr="0021550A">
        <w:t xml:space="preserve"> </w:t>
      </w:r>
      <w:r w:rsidR="006F6B58" w:rsidRPr="0021550A">
        <w:rPr>
          <w:i/>
        </w:rPr>
        <w:t>Golden Legend</w:t>
      </w:r>
      <w:r w:rsidR="006F6B58" w:rsidRPr="0021550A">
        <w:t xml:space="preserve"> </w:t>
      </w:r>
      <w:r w:rsidR="00104CBE">
        <w:t xml:space="preserve">clusters </w:t>
      </w:r>
      <w:r w:rsidR="00634698">
        <w:t>divided by imprint</w:t>
      </w:r>
      <w:bookmarkEnd w:id="210"/>
    </w:p>
    <w:p w14:paraId="0336DAE7" w14:textId="77777777" w:rsidR="006F6B58" w:rsidRPr="0021550A" w:rsidRDefault="006F6B58" w:rsidP="000737CB"/>
    <w:p w14:paraId="6A7889E9" w14:textId="1DBE07FC" w:rsidR="006F6B58" w:rsidRPr="0021550A" w:rsidRDefault="006F6B58" w:rsidP="000737CB">
      <w:r w:rsidRPr="0021550A">
        <w:t xml:space="preserve">At the beginning of this section, I said that the </w:t>
      </w:r>
      <w:r w:rsidRPr="0021550A">
        <w:rPr>
          <w:i/>
        </w:rPr>
        <w:t xml:space="preserve">Golden Legend </w:t>
      </w:r>
      <w:r w:rsidRPr="0021550A">
        <w:t xml:space="preserve">was a complicated text in terms of the layers of spelling variants contained within it. The layers of spelling come from the same two sources discussed so far in this chapter: the compositor and the copy text. In the case of the </w:t>
      </w:r>
      <w:r w:rsidRPr="0021550A">
        <w:rPr>
          <w:i/>
        </w:rPr>
        <w:t>Golden Legend</w:t>
      </w:r>
      <w:r w:rsidRPr="0021550A">
        <w:t xml:space="preserve">, both the compositor and the copy text are complicated. The copy text was produced by Caxton, and while he translated some of the text into English from French and Latin, he also copied some of the English </w:t>
      </w:r>
      <w:r w:rsidRPr="0021550A">
        <w:rPr>
          <w:i/>
        </w:rPr>
        <w:t>Gilte Legende</w:t>
      </w:r>
      <w:r w:rsidRPr="0021550A">
        <w:t xml:space="preserve"> into his edition. There could be a difference in the spellings used in Caxton’s translated sections, and the sections that he copied that were already in English. Additionally, the difference between compositors is complicated because more than half the text was reset and reprinted. Thus, there is a distinction between the compositors who typeset the quires for the first issue, and the compositor(s) who typeset the reprinted quires for</w:t>
      </w:r>
      <w:r w:rsidR="00634698">
        <w:t xml:space="preserve"> the second issue of the text. </w:t>
      </w:r>
    </w:p>
    <w:p w14:paraId="03F1373C" w14:textId="505E41C6" w:rsidR="004832CC" w:rsidRDefault="006F6B58" w:rsidP="004832CC">
      <w:r w:rsidRPr="0021550A">
        <w:t xml:space="preserve">Using </w:t>
      </w:r>
      <w:r w:rsidRPr="0021550A">
        <w:rPr>
          <w:i/>
        </w:rPr>
        <w:t>k</w:t>
      </w:r>
      <w:r w:rsidRPr="0021550A">
        <w:t xml:space="preserve">-means clustering on the quires of the </w:t>
      </w:r>
      <w:r w:rsidRPr="0021550A">
        <w:rPr>
          <w:i/>
        </w:rPr>
        <w:t>Golden Legend</w:t>
      </w:r>
      <w:r w:rsidRPr="0021550A">
        <w:t xml:space="preserve"> has enabled us to divide the text into five clusters and </w:t>
      </w:r>
      <w:r w:rsidR="00AC73F4">
        <w:t>to show that there are five distinct idiolects present in the text</w:t>
      </w:r>
      <w:r w:rsidRPr="0021550A">
        <w:t>. The first imprint is divided into the clusters that were typeset by the first compositor—Cluster 1 and Cluster 2—and the quires that were typeset by the second compositor—Cluster 4</w:t>
      </w:r>
      <w:r w:rsidR="008A4B6E">
        <w:t xml:space="preserve">, labelled in </w:t>
      </w:r>
      <w:r w:rsidR="008A4B6E">
        <w:fldChar w:fldCharType="begin"/>
      </w:r>
      <w:r w:rsidR="008A4B6E">
        <w:instrText xml:space="preserve"> REF _Ref491332997 </w:instrText>
      </w:r>
      <w:r w:rsidR="008A4B6E">
        <w:fldChar w:fldCharType="separate"/>
      </w:r>
      <w:r w:rsidR="00D11844" w:rsidRPr="0021550A">
        <w:t xml:space="preserve">Figure </w:t>
      </w:r>
      <w:r w:rsidR="00D11844">
        <w:rPr>
          <w:noProof/>
        </w:rPr>
        <w:t>7</w:t>
      </w:r>
      <w:r w:rsidR="00D11844">
        <w:t>.</w:t>
      </w:r>
      <w:r w:rsidR="00D11844">
        <w:rPr>
          <w:noProof/>
        </w:rPr>
        <w:t>14</w:t>
      </w:r>
      <w:r w:rsidR="008A4B6E">
        <w:fldChar w:fldCharType="end"/>
      </w:r>
      <w:r w:rsidRPr="0021550A">
        <w:t xml:space="preserve">. </w:t>
      </w:r>
      <w:r w:rsidR="004832CC" w:rsidRPr="0021550A">
        <w:t xml:space="preserve">The </w:t>
      </w:r>
      <w:r w:rsidR="004832CC">
        <w:t>reason that the quires in Cluster 1 and the quires in Cluster 2 contain different spellings to each other is unclear at present</w:t>
      </w:r>
      <w:r w:rsidR="004832CC" w:rsidRPr="0021550A">
        <w:t xml:space="preserve">. The change in spellings between Cluster 1 and Cluster 2 is unlikely to be caused by a change in compositor, because the start of Quire m does not mark the beginning of a new section, nor are there other features that mark a change in compositor that occur at this point in the text. </w:t>
      </w:r>
    </w:p>
    <w:p w14:paraId="2D4FA01E" w14:textId="6324EB7A" w:rsidR="006F6B58" w:rsidRPr="0021550A" w:rsidRDefault="006F6B58" w:rsidP="000737CB">
      <w:r w:rsidRPr="0021550A">
        <w:lastRenderedPageBreak/>
        <w:t xml:space="preserve">The cause of the divide between other clusters is </w:t>
      </w:r>
      <w:r w:rsidR="004832CC">
        <w:t>also un</w:t>
      </w:r>
      <w:r w:rsidRPr="0021550A">
        <w:t xml:space="preserve">clear. It seems likely that the divide between Clusters 3a and 3b and Cluster 5 is also a change in compositor, though with the information we have at present we cannot be certain. Hellinga </w:t>
      </w:r>
      <w:r w:rsidR="00AC73F4">
        <w:t>and</w:t>
      </w:r>
      <w:r w:rsidRPr="0021550A">
        <w:t xml:space="preserve"> Painter do not supply any information about the compositors that were involved in resetting the type for the second imprint, though they note that different paper stocks are used to print the text from Cluster 5 and Cluster 3b (</w:t>
      </w:r>
      <w:r w:rsidR="004832CC">
        <w:t xml:space="preserve">though </w:t>
      </w:r>
      <w:r w:rsidRPr="0021550A">
        <w:t xml:space="preserve">no mention of the paper used in Cluster 3a is made). It is not possible to cluster the text in such a way as to break up Cluster 3a and Cluster 3b, which may suggest that </w:t>
      </w:r>
      <w:r w:rsidR="00AC73F4">
        <w:t>the quires that comprise those clusters were</w:t>
      </w:r>
      <w:r w:rsidRPr="0021550A">
        <w:t xml:space="preserve"> typeset by one compositor. At </w:t>
      </w:r>
      <w:r w:rsidRPr="0021550A">
        <w:rPr>
          <w:i/>
        </w:rPr>
        <w:t>k</w:t>
      </w:r>
      <w:r w:rsidRPr="0021550A">
        <w:t xml:space="preserve"> = 6 the clusters are no longer stable or coherent, which suggests that the optimal number of clusters for the quires of the </w:t>
      </w:r>
      <w:r w:rsidRPr="0021550A">
        <w:rPr>
          <w:i/>
        </w:rPr>
        <w:t>Golden Legend</w:t>
      </w:r>
      <w:r w:rsidRPr="0021550A">
        <w:t xml:space="preserve"> is five.</w:t>
      </w:r>
    </w:p>
    <w:p w14:paraId="62BE5BAA" w14:textId="1A0D1BD3" w:rsidR="006F6B58" w:rsidRDefault="006F6B58" w:rsidP="000737CB">
      <w:r w:rsidRPr="0021550A">
        <w:t xml:space="preserve">Of the layers of spelling variants present in the </w:t>
      </w:r>
      <w:r w:rsidRPr="0021550A">
        <w:rPr>
          <w:i/>
        </w:rPr>
        <w:t>Golden Legend</w:t>
      </w:r>
      <w:r w:rsidRPr="0021550A">
        <w:t xml:space="preserve"> discussed above, one layer has not been located in the current analysis—the variability of spellings caused by Caxton copying some of the </w:t>
      </w:r>
      <w:r w:rsidRPr="0021550A">
        <w:rPr>
          <w:i/>
        </w:rPr>
        <w:t>Gilte Legende</w:t>
      </w:r>
      <w:r w:rsidRPr="0021550A">
        <w:t xml:space="preserve"> in English but translated other parts of the </w:t>
      </w:r>
      <w:r w:rsidRPr="0021550A">
        <w:rPr>
          <w:i/>
        </w:rPr>
        <w:t>Legenda Aurea</w:t>
      </w:r>
      <w:r w:rsidRPr="0021550A">
        <w:t xml:space="preserve"> from French and Latin. At this stage, it is not possible to determine whether the difference in the spellings used in Cluster 1 and Cluster 2 is caused by variability in the copy text as a result of Caxton’s edi</w:t>
      </w:r>
      <w:r>
        <w:t xml:space="preserve">ting practices. The uncertainty in the results </w:t>
      </w:r>
      <w:r w:rsidRPr="0021550A">
        <w:t xml:space="preserve">raises </w:t>
      </w:r>
      <w:r>
        <w:t>several</w:t>
      </w:r>
      <w:r w:rsidRPr="0021550A">
        <w:t xml:space="preserve"> further research questions: </w:t>
      </w:r>
    </w:p>
    <w:p w14:paraId="3BCF6E83" w14:textId="4482AB84" w:rsidR="006F6B58" w:rsidRPr="0021550A" w:rsidRDefault="00453776" w:rsidP="00115510">
      <w:pPr>
        <w:ind w:left="720" w:hanging="450"/>
      </w:pPr>
      <w:r>
        <w:t>F</w:t>
      </w:r>
      <w:r w:rsidR="006F6B58">
        <w:t>:</w:t>
      </w:r>
      <w:r w:rsidR="006F6B58">
        <w:tab/>
      </w:r>
      <w:r w:rsidR="006F6B58" w:rsidRPr="0021550A">
        <w:t xml:space="preserve">Are the differences between Cluster 3a and 3b and Cluster 5 in the </w:t>
      </w:r>
      <w:r w:rsidR="006F6B58" w:rsidRPr="0021550A">
        <w:rPr>
          <w:i/>
        </w:rPr>
        <w:t>Golden Legend</w:t>
      </w:r>
      <w:r w:rsidR="006F6B58" w:rsidRPr="0021550A">
        <w:t xml:space="preserve"> caused by a change in compositor? </w:t>
      </w:r>
    </w:p>
    <w:p w14:paraId="1FCF64B1" w14:textId="271ECDC5" w:rsidR="006F6B58" w:rsidRPr="0021550A" w:rsidRDefault="00453776" w:rsidP="00115510">
      <w:pPr>
        <w:ind w:left="720" w:hanging="450"/>
      </w:pPr>
      <w:r>
        <w:t>G</w:t>
      </w:r>
      <w:r w:rsidR="006F6B58">
        <w:t>:</w:t>
      </w:r>
      <w:r w:rsidR="006F6B58">
        <w:tab/>
      </w:r>
      <w:r w:rsidR="006F6B58" w:rsidRPr="0021550A">
        <w:t>Are the quires in Cluster 3a and Cluster 3b typeset by the same compositor?</w:t>
      </w:r>
    </w:p>
    <w:p w14:paraId="7256B09E" w14:textId="2B14801A" w:rsidR="006F6B58" w:rsidRPr="0021550A" w:rsidRDefault="00453776" w:rsidP="00115510">
      <w:pPr>
        <w:ind w:left="720" w:hanging="450"/>
        <w:rPr>
          <w:i/>
        </w:rPr>
      </w:pPr>
      <w:r>
        <w:t>H</w:t>
      </w:r>
      <w:r w:rsidR="006F6B58">
        <w:t>:</w:t>
      </w:r>
      <w:r w:rsidR="006F6B58">
        <w:tab/>
      </w:r>
      <w:r w:rsidR="006F6B58" w:rsidRPr="0021550A">
        <w:t xml:space="preserve">To what extent did Caxton copy sections of his edition of the </w:t>
      </w:r>
      <w:r w:rsidR="006F6B58" w:rsidRPr="0021550A">
        <w:rPr>
          <w:i/>
        </w:rPr>
        <w:t>Golden Legend</w:t>
      </w:r>
      <w:r w:rsidR="006F6B58" w:rsidRPr="0021550A">
        <w:t xml:space="preserve"> from the English </w:t>
      </w:r>
      <w:r w:rsidR="006F6B58" w:rsidRPr="0021550A">
        <w:rPr>
          <w:i/>
        </w:rPr>
        <w:t>Gilte Legende?</w:t>
      </w:r>
    </w:p>
    <w:p w14:paraId="02C280D5" w14:textId="5F65249E" w:rsidR="006F6B58" w:rsidRPr="0021550A" w:rsidRDefault="00453776" w:rsidP="00115510">
      <w:pPr>
        <w:ind w:left="720" w:hanging="450"/>
      </w:pPr>
      <w:r>
        <w:t>I</w:t>
      </w:r>
      <w:r w:rsidR="006F6B58">
        <w:t>:</w:t>
      </w:r>
      <w:r w:rsidR="006F6B58">
        <w:tab/>
      </w:r>
      <w:r w:rsidR="006F6B58" w:rsidRPr="0021550A">
        <w:t xml:space="preserve">Are the differences between Cluster 1 and Cluster 2 in the </w:t>
      </w:r>
      <w:r w:rsidR="006F6B58" w:rsidRPr="0021550A">
        <w:rPr>
          <w:i/>
        </w:rPr>
        <w:t>Golden Legend</w:t>
      </w:r>
      <w:r w:rsidR="006F6B58" w:rsidRPr="0021550A">
        <w:t xml:space="preserve"> caused by Caxton’s editing practices?</w:t>
      </w:r>
    </w:p>
    <w:p w14:paraId="7AD5205A" w14:textId="308068DE" w:rsidR="006F6B58" w:rsidRPr="0021550A" w:rsidRDefault="006F6B58" w:rsidP="000737CB">
      <w:r w:rsidRPr="0021550A">
        <w:t>I explore these researc</w:t>
      </w:r>
      <w:r w:rsidR="008A4B6E">
        <w:t>h questions further in Chapter 8 and Chapter 9</w:t>
      </w:r>
      <w:r w:rsidRPr="0021550A">
        <w:t xml:space="preserve">, </w:t>
      </w:r>
      <w:r w:rsidR="004832CC">
        <w:t>when more information is available</w:t>
      </w:r>
      <w:r w:rsidRPr="0021550A">
        <w:t xml:space="preserve">. This section has shown how we can use cluster analysis to find out about the different layers of spelling variants present in the </w:t>
      </w:r>
      <w:r w:rsidRPr="0021550A">
        <w:rPr>
          <w:i/>
        </w:rPr>
        <w:t>Golden Legend</w:t>
      </w:r>
      <w:r w:rsidRPr="0021550A">
        <w:t xml:space="preserve">, and in doing so find out more about the processes that were undertaken in creating the second issue of the text. </w:t>
      </w:r>
    </w:p>
    <w:p w14:paraId="5D4706A5" w14:textId="77777777" w:rsidR="006F6B58" w:rsidRPr="0021550A" w:rsidRDefault="006F6B58" w:rsidP="000737CB"/>
    <w:p w14:paraId="08D6D2B8" w14:textId="32C57582" w:rsidR="006F6B58" w:rsidRPr="0021550A" w:rsidRDefault="006F6B58" w:rsidP="000737CB">
      <w:pPr>
        <w:pStyle w:val="Heading3"/>
      </w:pPr>
      <w:bookmarkStart w:id="211" w:name="_Ref495322729"/>
      <w:r w:rsidRPr="0021550A">
        <w:t xml:space="preserve">Clustering Caxton’s </w:t>
      </w:r>
      <w:r w:rsidRPr="00115510">
        <w:rPr>
          <w:i/>
        </w:rPr>
        <w:t>Polychronicon</w:t>
      </w:r>
      <w:bookmarkEnd w:id="211"/>
    </w:p>
    <w:p w14:paraId="4D0F7C9E" w14:textId="77777777" w:rsidR="004832CC" w:rsidRDefault="006F6B58" w:rsidP="004832CC">
      <w:r w:rsidRPr="0021550A">
        <w:t xml:space="preserve">Caxton’s edition of the </w:t>
      </w:r>
      <w:r w:rsidRPr="0021550A">
        <w:rPr>
          <w:i/>
        </w:rPr>
        <w:t>Polychronicon</w:t>
      </w:r>
      <w:r w:rsidRPr="0021550A">
        <w:t xml:space="preserve"> has been the subject of a great deal of scholarly interest. The </w:t>
      </w:r>
      <w:r w:rsidRPr="0021550A">
        <w:rPr>
          <w:i/>
        </w:rPr>
        <w:t xml:space="preserve">Polychronicon </w:t>
      </w:r>
      <w:r w:rsidRPr="0021550A">
        <w:t>was written by Ranulf Higden in the fourteenth century and was translated into English by John of Trevisa in 1387. Caxton printed a single e</w:t>
      </w:r>
      <w:r w:rsidR="004832CC">
        <w:t xml:space="preserve">dition of the text in 1482. Caxton printed his edition using a manuscript version of the text </w:t>
      </w:r>
      <w:r w:rsidRPr="0021550A">
        <w:t xml:space="preserve">and, unlike his edition of the </w:t>
      </w:r>
      <w:r w:rsidRPr="0021550A">
        <w:rPr>
          <w:i/>
        </w:rPr>
        <w:t>Golden Legend</w:t>
      </w:r>
      <w:r w:rsidRPr="0021550A">
        <w:t xml:space="preserve">, </w:t>
      </w:r>
      <w:r w:rsidR="004832CC">
        <w:t>he</w:t>
      </w:r>
      <w:r w:rsidRPr="0021550A">
        <w:t xml:space="preserve"> did not create a blend from several </w:t>
      </w:r>
      <w:r w:rsidRPr="0021550A">
        <w:lastRenderedPageBreak/>
        <w:t xml:space="preserve">texts to create the </w:t>
      </w:r>
      <w:r w:rsidRPr="0021550A">
        <w:rPr>
          <w:i/>
        </w:rPr>
        <w:t>Polychronicon</w:t>
      </w:r>
      <w:r w:rsidRPr="0021550A">
        <w:t xml:space="preserve">. While the print is straightforward, Caxton’s </w:t>
      </w:r>
      <w:r w:rsidRPr="0021550A">
        <w:rPr>
          <w:i/>
        </w:rPr>
        <w:t>Polychronicon</w:t>
      </w:r>
      <w:r w:rsidRPr="0021550A">
        <w:t xml:space="preserve"> has a complex history and has been discussed at length in the scholarly community. </w:t>
      </w:r>
    </w:p>
    <w:p w14:paraId="345E8A1A" w14:textId="4943D16F" w:rsidR="006F6B58" w:rsidRPr="0021550A" w:rsidRDefault="006F6B58" w:rsidP="004832CC">
      <w:r w:rsidRPr="0021550A">
        <w:t xml:space="preserve">There are several aspects of Caxton’s </w:t>
      </w:r>
      <w:r w:rsidRPr="0021550A">
        <w:rPr>
          <w:i/>
        </w:rPr>
        <w:t>Polychronicon</w:t>
      </w:r>
      <w:r w:rsidRPr="0021550A">
        <w:t xml:space="preserve"> that are relevant to the present study. </w:t>
      </w:r>
      <w:r w:rsidR="004832CC">
        <w:t xml:space="preserve">In particular, scholarly interest has focused on the addition </w:t>
      </w:r>
      <w:r w:rsidR="006A1916">
        <w:t xml:space="preserve">of a section of text </w:t>
      </w:r>
      <w:r w:rsidR="004832CC">
        <w:t xml:space="preserve">to the end of Caxton’s </w:t>
      </w:r>
      <w:r w:rsidR="004832CC">
        <w:rPr>
          <w:i/>
        </w:rPr>
        <w:t>Polychronicon</w:t>
      </w:r>
      <w:r w:rsidR="004832CC">
        <w:t xml:space="preserve"> titled Liber Ultimus</w:t>
      </w:r>
      <w:r w:rsidR="00D327C3">
        <w:t>. The Liber Ultimus</w:t>
      </w:r>
      <w:r w:rsidR="004832CC">
        <w:t xml:space="preserve"> has been linked to Caxton’s other prints </w:t>
      </w:r>
      <w:r w:rsidR="004832CC" w:rsidRPr="0021550A">
        <w:t xml:space="preserve">the </w:t>
      </w:r>
      <w:r w:rsidR="004832CC" w:rsidRPr="0021550A">
        <w:rPr>
          <w:i/>
        </w:rPr>
        <w:t xml:space="preserve">Description of Britain </w:t>
      </w:r>
      <w:r w:rsidR="004832CC" w:rsidRPr="0021550A">
        <w:t xml:space="preserve">(1480) and the </w:t>
      </w:r>
      <w:r w:rsidR="004832CC" w:rsidRPr="0021550A">
        <w:rPr>
          <w:i/>
        </w:rPr>
        <w:t>Chronicles of England</w:t>
      </w:r>
      <w:r w:rsidR="004832CC">
        <w:t xml:space="preserve"> (148</w:t>
      </w:r>
      <w:r w:rsidR="004832CC" w:rsidRPr="0021550A">
        <w:t xml:space="preserve">2), </w:t>
      </w:r>
      <w:r w:rsidR="004832CC">
        <w:t>the latter being</w:t>
      </w:r>
      <w:r w:rsidR="004832CC" w:rsidRPr="0021550A">
        <w:t xml:space="preserve"> Caxton’s edition of the </w:t>
      </w:r>
      <w:r w:rsidR="006516AE">
        <w:t xml:space="preserve">Middle English </w:t>
      </w:r>
      <w:r w:rsidR="004832CC">
        <w:t xml:space="preserve">prose </w:t>
      </w:r>
      <w:r w:rsidR="004832CC" w:rsidRPr="0021550A">
        <w:rPr>
          <w:i/>
        </w:rPr>
        <w:t>Brut</w:t>
      </w:r>
      <w:r w:rsidR="004832CC" w:rsidRPr="0021550A">
        <w:t xml:space="preserve"> chronicle</w:t>
      </w:r>
      <w:r w:rsidR="00D327C3">
        <w:t xml:space="preserve">. However, the key question that has focused research into the Liber Ultimus is whether Caxton wrote this section of text himself. </w:t>
      </w:r>
      <w:r w:rsidRPr="0021550A">
        <w:t xml:space="preserve">The language of Caxton’s </w:t>
      </w:r>
      <w:r w:rsidRPr="0021550A">
        <w:rPr>
          <w:i/>
        </w:rPr>
        <w:t>Polychronicon</w:t>
      </w:r>
      <w:r w:rsidRPr="0021550A">
        <w:t xml:space="preserve"> is also of interest; in his prologue to the text, Caxton states that he modernised the language of the text, and in doing so </w:t>
      </w:r>
      <w:r w:rsidR="00D327C3">
        <w:t xml:space="preserve">he </w:t>
      </w:r>
      <w:r w:rsidRPr="0021550A">
        <w:t xml:space="preserve">wrote the text out in its entirety. Each of these aspects of the </w:t>
      </w:r>
      <w:r w:rsidRPr="0021550A">
        <w:rPr>
          <w:i/>
        </w:rPr>
        <w:t>Polychronicon</w:t>
      </w:r>
      <w:r w:rsidRPr="0021550A">
        <w:t xml:space="preserve"> has the potential to affect the cluster analysis, and so it is worth discussing each in more detail. </w:t>
      </w:r>
    </w:p>
    <w:p w14:paraId="232175C5" w14:textId="77777777" w:rsidR="00C038C1" w:rsidRDefault="00130638" w:rsidP="00C038C1">
      <w:r w:rsidRPr="00130638">
        <w:t xml:space="preserve">Caxton’s </w:t>
      </w:r>
      <w:r w:rsidRPr="00130638">
        <w:rPr>
          <w:i/>
        </w:rPr>
        <w:t>Polychronicon</w:t>
      </w:r>
      <w:r w:rsidRPr="00130638">
        <w:t xml:space="preserve"> is tied up with two other books printed by Caxton around the same time, the </w:t>
      </w:r>
      <w:r w:rsidRPr="00130638">
        <w:rPr>
          <w:i/>
        </w:rPr>
        <w:t>Chronicles of England</w:t>
      </w:r>
      <w:r w:rsidRPr="00130638">
        <w:t xml:space="preserve"> (1480) and the </w:t>
      </w:r>
      <w:r w:rsidRPr="00130638">
        <w:rPr>
          <w:i/>
        </w:rPr>
        <w:t>Description of Britain</w:t>
      </w:r>
      <w:r w:rsidRPr="00130638">
        <w:t xml:space="preserve"> (1480). Despite having been printed first, the </w:t>
      </w:r>
      <w:r w:rsidRPr="00130638">
        <w:rPr>
          <w:i/>
        </w:rPr>
        <w:t>Description of Britain</w:t>
      </w:r>
      <w:r w:rsidRPr="00130638">
        <w:t xml:space="preserve"> appears to be a composite of material from the </w:t>
      </w:r>
      <w:r w:rsidRPr="00130638">
        <w:rPr>
          <w:i/>
        </w:rPr>
        <w:t>Chronicles of England</w:t>
      </w:r>
      <w:r w:rsidRPr="00130638">
        <w:t xml:space="preserve"> and chapter 32 to chapter 60 of the </w:t>
      </w:r>
      <w:r w:rsidRPr="00130638">
        <w:rPr>
          <w:i/>
        </w:rPr>
        <w:t>Polychronicon</w:t>
      </w:r>
      <w:r w:rsidRPr="00130638">
        <w:t xml:space="preserve"> (Waldron 1999:</w:t>
      </w:r>
      <w:r>
        <w:t xml:space="preserve"> </w:t>
      </w:r>
      <w:r w:rsidRPr="00130638">
        <w:t xml:space="preserve">381). </w:t>
      </w:r>
      <w:r w:rsidR="00C038C1" w:rsidRPr="00130638">
        <w:t xml:space="preserve">Waldron argues that the compositors were not given Caxton’s edition of the </w:t>
      </w:r>
      <w:r w:rsidR="00C038C1" w:rsidRPr="00130638">
        <w:rPr>
          <w:i/>
        </w:rPr>
        <w:t>Description of Britain</w:t>
      </w:r>
      <w:r w:rsidR="00C038C1" w:rsidRPr="00130638">
        <w:t xml:space="preserve"> to work with when printing the </w:t>
      </w:r>
      <w:r w:rsidR="00C038C1" w:rsidRPr="00130638">
        <w:rPr>
          <w:i/>
        </w:rPr>
        <w:t>Polychronicon</w:t>
      </w:r>
      <w:r w:rsidR="00C038C1" w:rsidRPr="00130638">
        <w:t xml:space="preserve">. The </w:t>
      </w:r>
      <w:r w:rsidR="00C038C1" w:rsidRPr="00130638">
        <w:rPr>
          <w:i/>
        </w:rPr>
        <w:t>Description of Britain</w:t>
      </w:r>
      <w:r w:rsidR="00C038C1" w:rsidRPr="00130638">
        <w:t xml:space="preserve"> included the latter half of the </w:t>
      </w:r>
      <w:r w:rsidR="00C038C1" w:rsidRPr="00130638">
        <w:rPr>
          <w:i/>
        </w:rPr>
        <w:t>Polychronicon</w:t>
      </w:r>
      <w:r w:rsidR="00C038C1" w:rsidRPr="00130638">
        <w:t>, and Waldron argues that “it would in any case seem improbable that, having begun to print from the beginning of the text, he would put aside whatever copy-text he was using in order to copy from the [</w:t>
      </w:r>
      <w:r w:rsidR="00C038C1" w:rsidRPr="00130638">
        <w:rPr>
          <w:i/>
        </w:rPr>
        <w:t>Description of Britain</w:t>
      </w:r>
      <w:r w:rsidR="00C038C1" w:rsidRPr="00130638">
        <w:t>]” (Waldron 1999:</w:t>
      </w:r>
      <w:r w:rsidR="00C038C1">
        <w:t xml:space="preserve"> </w:t>
      </w:r>
      <w:r w:rsidR="00C038C1" w:rsidRPr="00130638">
        <w:t>383). Waldron goes on to argue further that</w:t>
      </w:r>
      <w:r w:rsidR="00C038C1" w:rsidRPr="00E72BE5">
        <w:t xml:space="preserve"> </w:t>
      </w:r>
      <w:r w:rsidR="00C038C1" w:rsidRPr="00130638">
        <w:t xml:space="preserve">the Caxton edition was made from an earlier copy text and not Caxton’s own print of the </w:t>
      </w:r>
      <w:r w:rsidR="00C038C1" w:rsidRPr="00130638">
        <w:rPr>
          <w:i/>
        </w:rPr>
        <w:t>Description of Britain</w:t>
      </w:r>
      <w:r w:rsidR="00C038C1">
        <w:t>. Waldron’s argument is two-fold:</w:t>
      </w:r>
      <w:r w:rsidR="00C038C1" w:rsidRPr="00130638">
        <w:t xml:space="preserve"> the chapters in Caxton’s edition of the </w:t>
      </w:r>
      <w:r w:rsidR="00C038C1" w:rsidRPr="00130638">
        <w:rPr>
          <w:i/>
        </w:rPr>
        <w:t>Polychronicon</w:t>
      </w:r>
      <w:r w:rsidR="00C038C1" w:rsidRPr="00130638">
        <w:t xml:space="preserve"> follow the manuscript tradition in terms of the ordering of the text, and not the faulty ordering that Caxton printed in the earlier part of the </w:t>
      </w:r>
      <w:r w:rsidR="00C038C1" w:rsidRPr="00130638">
        <w:rPr>
          <w:i/>
        </w:rPr>
        <w:t>Description of Britain</w:t>
      </w:r>
      <w:r w:rsidR="00C038C1" w:rsidRPr="00130638">
        <w:t xml:space="preserve">, and the subheadings in Caxton’s </w:t>
      </w:r>
      <w:r w:rsidR="00C038C1" w:rsidRPr="00130638">
        <w:rPr>
          <w:i/>
        </w:rPr>
        <w:t>Polychronicon</w:t>
      </w:r>
      <w:r w:rsidR="00C038C1" w:rsidRPr="00130638">
        <w:t xml:space="preserve"> match the Latin form they have in Trevisa’s text and not the </w:t>
      </w:r>
      <w:r w:rsidR="00C038C1" w:rsidRPr="00130638">
        <w:rPr>
          <w:i/>
        </w:rPr>
        <w:t>Description of Britain</w:t>
      </w:r>
      <w:r w:rsidR="00C038C1">
        <w:t>.</w:t>
      </w:r>
    </w:p>
    <w:p w14:paraId="02FE92DC" w14:textId="6448BAA9" w:rsidR="00543519" w:rsidRDefault="00C038C1" w:rsidP="00C038C1">
      <w:r w:rsidRPr="00130638">
        <w:t xml:space="preserve">Caxton’s edition of the </w:t>
      </w:r>
      <w:r w:rsidRPr="00130638">
        <w:rPr>
          <w:i/>
        </w:rPr>
        <w:t>Polychronicon</w:t>
      </w:r>
      <w:r w:rsidRPr="00130638">
        <w:t xml:space="preserve"> also includes a section of text not found in earlier editions of the </w:t>
      </w:r>
      <w:r w:rsidRPr="00130638">
        <w:rPr>
          <w:i/>
        </w:rPr>
        <w:t>Polychronicon</w:t>
      </w:r>
      <w:r w:rsidRPr="00130638">
        <w:t xml:space="preserve"> known as the Liber Ultimus. Caxton says in the prologue to his text that he “haue added suche storyes as I coude fynde fro thende that the said Ranulph fynysshed his book” (1482:</w:t>
      </w:r>
      <w:r>
        <w:t xml:space="preserve"> </w:t>
      </w:r>
      <w:r w:rsidRPr="00130638">
        <w:t>2</w:t>
      </w:r>
      <w:r w:rsidRPr="00130638">
        <w:rPr>
          <w:vertAlign w:val="superscript"/>
        </w:rPr>
        <w:t>a</w:t>
      </w:r>
      <w:r w:rsidRPr="00130638">
        <w:t xml:space="preserve">). </w:t>
      </w:r>
      <w:r w:rsidR="00EA7964">
        <w:t>S</w:t>
      </w:r>
      <w:r w:rsidR="00543519" w:rsidRPr="00130638">
        <w:t>ome scholars have argued that Caxton himself wrote</w:t>
      </w:r>
      <w:r w:rsidR="00543519">
        <w:t xml:space="preserve"> the Liber Ultimus (see Blades (1971 [1877]:</w:t>
      </w:r>
      <w:r w:rsidR="00543519" w:rsidRPr="00130638">
        <w:t xml:space="preserve"> 255</w:t>
      </w:r>
      <w:r w:rsidR="00543519">
        <w:t>)</w:t>
      </w:r>
      <w:r w:rsidR="00543519" w:rsidRPr="00130638">
        <w:t xml:space="preserve">, in particular), more recent research has shown that the additional book was taken almost entirely from Caxton’s print </w:t>
      </w:r>
      <w:r w:rsidR="00543519" w:rsidRPr="00130638">
        <w:lastRenderedPageBreak/>
        <w:t xml:space="preserve">of the </w:t>
      </w:r>
      <w:r w:rsidR="00543519" w:rsidRPr="00130638">
        <w:rPr>
          <w:i/>
        </w:rPr>
        <w:t>Chronicles of England</w:t>
      </w:r>
      <w:r w:rsidR="00DC3D93">
        <w:t xml:space="preserve"> which Caxton published two years earlier in 1480</w:t>
      </w:r>
      <w:r w:rsidR="00543519" w:rsidRPr="00130638">
        <w:t xml:space="preserve"> (Blake 1991b:</w:t>
      </w:r>
      <w:r w:rsidR="00543519">
        <w:t xml:space="preserve"> </w:t>
      </w:r>
      <w:r w:rsidR="00543519" w:rsidRPr="00130638">
        <w:t>116–7).</w:t>
      </w:r>
    </w:p>
    <w:p w14:paraId="26F8061B" w14:textId="4DD7F0CB" w:rsidR="00C038C1" w:rsidRPr="00687BF1" w:rsidRDefault="00C038C1" w:rsidP="00C038C1">
      <w:r w:rsidRPr="00130638">
        <w:t xml:space="preserve">Scholarly opinion tends to accept that </w:t>
      </w:r>
      <w:r w:rsidR="006A1916">
        <w:t xml:space="preserve">it was </w:t>
      </w:r>
      <w:r w:rsidRPr="00130638">
        <w:t>Caxton</w:t>
      </w:r>
      <w:r w:rsidR="006A1916">
        <w:t xml:space="preserve"> who</w:t>
      </w:r>
      <w:r w:rsidRPr="00130638">
        <w:t xml:space="preserve"> </w:t>
      </w:r>
      <w:r w:rsidR="00FF0023">
        <w:t>added</w:t>
      </w:r>
      <w:r w:rsidRPr="00130638">
        <w:t xml:space="preserve"> the </w:t>
      </w:r>
      <w:r w:rsidR="00A57651">
        <w:t>Liber Ultimus</w:t>
      </w:r>
      <w:r w:rsidR="00543519">
        <w:t xml:space="preserve"> to the end of the </w:t>
      </w:r>
      <w:r w:rsidR="00543519">
        <w:rPr>
          <w:i/>
        </w:rPr>
        <w:t>Polychronicon</w:t>
      </w:r>
      <w:r w:rsidR="00FF0023">
        <w:t>, rather than receiving a manuscript with the Liber Ultimus already attached,</w:t>
      </w:r>
      <w:r w:rsidR="00543519">
        <w:t xml:space="preserve"> </w:t>
      </w:r>
      <w:r w:rsidRPr="00130638">
        <w:t xml:space="preserve">because Caxton distinguishes </w:t>
      </w:r>
      <w:r w:rsidR="00543519">
        <w:t>the Liber Ultimus</w:t>
      </w:r>
      <w:r w:rsidRPr="00130638">
        <w:t xml:space="preserve"> clearly from that of Trevisa (Kindrick 1997:</w:t>
      </w:r>
      <w:r>
        <w:t xml:space="preserve"> </w:t>
      </w:r>
      <w:r w:rsidRPr="00130638">
        <w:t xml:space="preserve">11). </w:t>
      </w:r>
      <w:r w:rsidR="00A57651" w:rsidRPr="00130638">
        <w:t xml:space="preserve">The second half of the Liber Ultimus that begins at the year 1377 is copied directly from Caxton’s own edition of the </w:t>
      </w:r>
      <w:r w:rsidR="00A57651" w:rsidRPr="00130638">
        <w:rPr>
          <w:i/>
        </w:rPr>
        <w:t>Chronicles of England</w:t>
      </w:r>
      <w:r w:rsidR="00A57651" w:rsidRPr="00130638">
        <w:t xml:space="preserve"> (Blake 1969:</w:t>
      </w:r>
      <w:r w:rsidR="00A57651">
        <w:t xml:space="preserve"> </w:t>
      </w:r>
      <w:r w:rsidR="006A1916">
        <w:t xml:space="preserve">116), and so it is commonly believed that </w:t>
      </w:r>
      <w:r w:rsidR="00A57651">
        <w:t xml:space="preserve">Caxton copied the Liber Ultimus </w:t>
      </w:r>
      <w:r w:rsidR="00687BF1">
        <w:t xml:space="preserve">section appended to the </w:t>
      </w:r>
      <w:r w:rsidR="00A57651">
        <w:rPr>
          <w:i/>
        </w:rPr>
        <w:t>Polychronicon</w:t>
      </w:r>
      <w:r w:rsidR="00A57651">
        <w:t xml:space="preserve"> from </w:t>
      </w:r>
      <w:r w:rsidR="00687BF1">
        <w:t xml:space="preserve">the 1419 continuation of Caxton’s own </w:t>
      </w:r>
      <w:r w:rsidR="00687BF1">
        <w:rPr>
          <w:i/>
        </w:rPr>
        <w:t>Chronicles of England</w:t>
      </w:r>
      <w:r w:rsidR="006A1916">
        <w:rPr>
          <w:i/>
        </w:rPr>
        <w:t xml:space="preserve"> </w:t>
      </w:r>
      <w:r w:rsidR="006A1916">
        <w:t>(Hellinga 2010)</w:t>
      </w:r>
      <w:r w:rsidR="00687BF1">
        <w:t xml:space="preserve">. Caxton’s edition of the </w:t>
      </w:r>
      <w:r w:rsidR="00687BF1">
        <w:rPr>
          <w:i/>
        </w:rPr>
        <w:t>Chronicles of England</w:t>
      </w:r>
      <w:r w:rsidR="00687BF1">
        <w:t xml:space="preserve"> is the earliest extant text that contains the 1419 continuation to the </w:t>
      </w:r>
      <w:r w:rsidR="00687BF1">
        <w:rPr>
          <w:i/>
        </w:rPr>
        <w:t>Brut</w:t>
      </w:r>
      <w:r w:rsidR="00A861DD">
        <w:t xml:space="preserve"> and for this reason</w:t>
      </w:r>
      <w:r w:rsidR="00687BF1">
        <w:t xml:space="preserve">, </w:t>
      </w:r>
      <w:r w:rsidR="00262439">
        <w:t>scholars are</w:t>
      </w:r>
      <w:r w:rsidR="00687BF1">
        <w:t xml:space="preserve"> uncertain whether Caxton wrote </w:t>
      </w:r>
      <w:r w:rsidR="00A861DD">
        <w:t>the continuation</w:t>
      </w:r>
      <w:r w:rsidR="00687BF1">
        <w:t xml:space="preserve"> himself. </w:t>
      </w:r>
    </w:p>
    <w:p w14:paraId="44C208FB" w14:textId="4B29057B" w:rsidR="00E72BE5" w:rsidRDefault="00262439" w:rsidP="000737CB">
      <w:r>
        <w:t xml:space="preserve">Lister </w:t>
      </w:r>
      <w:r w:rsidRPr="00130638">
        <w:t xml:space="preserve">Matheson </w:t>
      </w:r>
      <w:r w:rsidR="00130184" w:rsidRPr="00130638">
        <w:t>(1998:</w:t>
      </w:r>
      <w:r w:rsidR="00130184">
        <w:t xml:space="preserve"> </w:t>
      </w:r>
      <w:r w:rsidR="00130184" w:rsidRPr="00130638">
        <w:t>158)</w:t>
      </w:r>
      <w:r w:rsidR="00130184">
        <w:t xml:space="preserve"> </w:t>
      </w:r>
      <w:r w:rsidRPr="00130638">
        <w:t xml:space="preserve">argues that Caxton probably had one of the manuscripts of the </w:t>
      </w:r>
      <w:r w:rsidRPr="00130638">
        <w:rPr>
          <w:i/>
        </w:rPr>
        <w:t>Chronicles of England</w:t>
      </w:r>
      <w:r w:rsidRPr="00130638">
        <w:t xml:space="preserve"> that ended in 1419, and that Caxton created th</w:t>
      </w:r>
      <w:r w:rsidR="00A861DD">
        <w:t>e continuation from 1419</w:t>
      </w:r>
      <w:r w:rsidRPr="00130638">
        <w:t>.</w:t>
      </w:r>
      <w:r w:rsidR="00A57651" w:rsidRPr="00130638">
        <w:t xml:space="preserve"> Matheson suggests that Caxton </w:t>
      </w:r>
      <w:r>
        <w:t>wrote</w:t>
      </w:r>
      <w:r w:rsidR="00A57651" w:rsidRPr="00130638">
        <w:t xml:space="preserve"> the first part of the Liber Ultimus by conflating sections of the two sources that Caxton cites as being involved in his text, the </w:t>
      </w:r>
      <w:r w:rsidR="00A57651" w:rsidRPr="00130638">
        <w:rPr>
          <w:i/>
        </w:rPr>
        <w:t>Fasciculus temprum</w:t>
      </w:r>
      <w:r w:rsidR="00A57651" w:rsidRPr="00130638">
        <w:t xml:space="preserve"> and the </w:t>
      </w:r>
      <w:r w:rsidR="00A57651" w:rsidRPr="00130638">
        <w:rPr>
          <w:i/>
        </w:rPr>
        <w:t>Aureus de universo</w:t>
      </w:r>
      <w:r w:rsidR="00A57651">
        <w:t xml:space="preserve"> (Matheson 1985: </w:t>
      </w:r>
      <w:r w:rsidR="00A57651" w:rsidRPr="00130638">
        <w:t xml:space="preserve">605) though the </w:t>
      </w:r>
      <w:r w:rsidR="00A57651" w:rsidRPr="00130638">
        <w:rPr>
          <w:i/>
        </w:rPr>
        <w:t>Aureus de universo</w:t>
      </w:r>
      <w:r w:rsidR="00A57651" w:rsidRPr="00130638">
        <w:t xml:space="preserve"> has not been identified.</w:t>
      </w:r>
      <w:r>
        <w:t xml:space="preserve"> </w:t>
      </w:r>
      <w:r w:rsidR="00D327C3">
        <w:t xml:space="preserve">Waldron </w:t>
      </w:r>
      <w:r>
        <w:t xml:space="preserve">also </w:t>
      </w:r>
      <w:r w:rsidR="00D327C3">
        <w:t>suggests</w:t>
      </w:r>
      <w:r w:rsidR="00130638" w:rsidRPr="00130638">
        <w:t xml:space="preserve"> that Caxton had a copy of the manuscript of the </w:t>
      </w:r>
      <w:r w:rsidR="006516AE">
        <w:t xml:space="preserve">Middle English prose </w:t>
      </w:r>
      <w:r w:rsidR="00130638" w:rsidRPr="00130638">
        <w:rPr>
          <w:i/>
        </w:rPr>
        <w:t>Brut</w:t>
      </w:r>
      <w:r w:rsidR="00130638" w:rsidRPr="00130638">
        <w:t xml:space="preserve"> chronicle that ended at 1419, and Matheson suggests that this copy of the </w:t>
      </w:r>
      <w:r w:rsidR="00130638" w:rsidRPr="00130638">
        <w:rPr>
          <w:i/>
        </w:rPr>
        <w:t>Brut</w:t>
      </w:r>
      <w:r w:rsidR="00E72BE5">
        <w:t xml:space="preserve"> “</w:t>
      </w:r>
      <w:r w:rsidR="00130638" w:rsidRPr="00130638">
        <w:t>formed the basis for his Chronicles of England, published in 1480” (Matheson 1998:</w:t>
      </w:r>
      <w:r w:rsidR="00130638">
        <w:t xml:space="preserve"> </w:t>
      </w:r>
      <w:r w:rsidR="00130638" w:rsidRPr="00130638">
        <w:t xml:space="preserve">14). </w:t>
      </w:r>
      <w:r w:rsidR="006516AE">
        <w:t xml:space="preserve">Despite </w:t>
      </w:r>
      <w:r>
        <w:t>these claims from Matheson and Waldron</w:t>
      </w:r>
      <w:r w:rsidR="006516AE">
        <w:t>, the</w:t>
      </w:r>
      <w:r w:rsidR="00130638" w:rsidRPr="00130638">
        <w:t xml:space="preserve"> copy text that Caxton used for creating the </w:t>
      </w:r>
      <w:r w:rsidR="00130638" w:rsidRPr="00130638">
        <w:rPr>
          <w:i/>
        </w:rPr>
        <w:t>Chronicles of England</w:t>
      </w:r>
      <w:r w:rsidR="006516AE">
        <w:t xml:space="preserve"> is not known </w:t>
      </w:r>
      <w:r w:rsidR="00130638" w:rsidRPr="00130638">
        <w:t>(Blake 1991b:</w:t>
      </w:r>
      <w:r w:rsidR="00130638">
        <w:t xml:space="preserve"> </w:t>
      </w:r>
      <w:r w:rsidR="00130638" w:rsidRPr="00130638">
        <w:t xml:space="preserve">102). </w:t>
      </w:r>
      <w:r>
        <w:t>However, if</w:t>
      </w:r>
      <w:r w:rsidR="00130638" w:rsidRPr="00130638">
        <w:t xml:space="preserve"> Matheson </w:t>
      </w:r>
      <w:r>
        <w:t>and Waldron are</w:t>
      </w:r>
      <w:r w:rsidR="00130638" w:rsidRPr="00130638">
        <w:t xml:space="preserve"> correct, and Caxton was the author of the 1419 continuation of the </w:t>
      </w:r>
      <w:r w:rsidR="00130638" w:rsidRPr="00E72BE5">
        <w:rPr>
          <w:i/>
        </w:rPr>
        <w:t>Chronicles of England</w:t>
      </w:r>
      <w:r w:rsidR="00130638" w:rsidRPr="00130638">
        <w:t xml:space="preserve">, then Caxton is also the author of the Liber Ultimus because the Liber Ultimus is copied from the 1419 continuation. </w:t>
      </w:r>
    </w:p>
    <w:p w14:paraId="769E1C5E" w14:textId="055C3862" w:rsidR="006F6B58" w:rsidRPr="0021550A" w:rsidRDefault="006F6B58" w:rsidP="000737CB">
      <w:r w:rsidRPr="0021550A">
        <w:t xml:space="preserve">Linguistically, the </w:t>
      </w:r>
      <w:r w:rsidRPr="0021550A">
        <w:rPr>
          <w:i/>
        </w:rPr>
        <w:t>Polychronicon</w:t>
      </w:r>
      <w:r w:rsidRPr="0021550A">
        <w:t xml:space="preserve"> is an interesting text because Caxton states that he modernised the language of the text, and then promoted the text itself on the basis of the modernisations </w:t>
      </w:r>
      <w:r w:rsidR="00E72BE5" w:rsidRPr="00E72BE5">
        <w:t>(Blake 1976:</w:t>
      </w:r>
      <w:r w:rsidR="00E72BE5">
        <w:t xml:space="preserve"> </w:t>
      </w:r>
      <w:r w:rsidR="00E72BE5" w:rsidRPr="00E72BE5">
        <w:t xml:space="preserve">281). </w:t>
      </w:r>
      <w:r w:rsidRPr="0021550A">
        <w:t>In the epilogue after Book VII, Caxton states</w:t>
      </w:r>
      <w:r w:rsidR="00DC7567">
        <w:t xml:space="preserve"> (1482: 390)</w:t>
      </w:r>
      <w:r w:rsidRPr="0021550A">
        <w:t xml:space="preserve">: </w:t>
      </w:r>
    </w:p>
    <w:p w14:paraId="18299EE3" w14:textId="56B8EC55" w:rsidR="005D3934" w:rsidRPr="005D3934" w:rsidRDefault="005D3934" w:rsidP="005D3934">
      <w:pPr>
        <w:spacing w:line="240" w:lineRule="auto"/>
        <w:ind w:left="720" w:firstLine="0"/>
      </w:pPr>
      <w:r w:rsidRPr="005D3934">
        <w:t xml:space="preserve">Therfore I William Caxton a symple persone haue endeuoyred me to wryte fyrst ouer all </w:t>
      </w:r>
      <w:r>
        <w:t xml:space="preserve">the sayd book of proloconycon </w:t>
      </w:r>
      <w:r w:rsidRPr="005D3934">
        <w:t xml:space="preserve">and som what haue chaunged the rude and </w:t>
      </w:r>
      <w:r>
        <w:t xml:space="preserve">old englyssh that is to wete certayn wordes </w:t>
      </w:r>
      <w:r w:rsidRPr="005D3934">
        <w:t>which in these dayes be neither vsyd ne vnderstanden</w:t>
      </w:r>
    </w:p>
    <w:p w14:paraId="1C3026FB" w14:textId="77777777" w:rsidR="00E72BE5" w:rsidRDefault="00E72BE5" w:rsidP="000737CB"/>
    <w:p w14:paraId="3391BDF5" w14:textId="3EEDA317" w:rsidR="005D3934" w:rsidRDefault="00E72BE5" w:rsidP="000737CB">
      <w:r w:rsidRPr="00E72BE5">
        <w:t>Caxton writes that he</w:t>
      </w:r>
      <w:r w:rsidR="005D3934">
        <w:t xml:space="preserve"> has updated the “rude and old e</w:t>
      </w:r>
      <w:r w:rsidRPr="00E72BE5">
        <w:t>nglyssh”, and suggests that the nature of the updates took the form of lexical replacement of dialect and outdated terms. Matheson</w:t>
      </w:r>
      <w:r w:rsidR="00130184">
        <w:t xml:space="preserve"> </w:t>
      </w:r>
      <w:r w:rsidR="00130184" w:rsidRPr="00E72BE5">
        <w:t>(1985:</w:t>
      </w:r>
      <w:r w:rsidR="00130184">
        <w:t xml:space="preserve"> </w:t>
      </w:r>
      <w:r w:rsidR="00130184" w:rsidRPr="00E72BE5">
        <w:t>601–2)</w:t>
      </w:r>
      <w:r w:rsidRPr="00E72BE5">
        <w:t xml:space="preserve"> argues that Caxton’s use of the phrase</w:t>
      </w:r>
      <w:r w:rsidR="00262439">
        <w:t xml:space="preserve"> “wryte f</w:t>
      </w:r>
      <w:r w:rsidR="005D3934">
        <w:t>y</w:t>
      </w:r>
      <w:r w:rsidR="00262439">
        <w:t>rst</w:t>
      </w:r>
      <w:r w:rsidR="005D3934">
        <w:t xml:space="preserve"> ou</w:t>
      </w:r>
      <w:r w:rsidRPr="00E72BE5">
        <w:t>er</w:t>
      </w:r>
      <w:r w:rsidR="005D3934">
        <w:t xml:space="preserve"> </w:t>
      </w:r>
      <w:r w:rsidRPr="00E72BE5">
        <w:lastRenderedPageBreak/>
        <w:t xml:space="preserve">all” means that Caxton copied the entirety of the book out himself and made amendments to the language as he went. </w:t>
      </w:r>
    </w:p>
    <w:p w14:paraId="6D2605B3" w14:textId="463A9EC2" w:rsidR="00E72BE5" w:rsidRDefault="00E72BE5" w:rsidP="000737CB">
      <w:r w:rsidRPr="00E72BE5">
        <w:t xml:space="preserve">Despite having allegedly copied out the entire text beforehand, the changes that Caxton made </w:t>
      </w:r>
      <w:r w:rsidR="005D3934">
        <w:t xml:space="preserve">to the </w:t>
      </w:r>
      <w:r w:rsidR="005D3934" w:rsidRPr="005D3934">
        <w:rPr>
          <w:i/>
        </w:rPr>
        <w:t>Polychronicon</w:t>
      </w:r>
      <w:r w:rsidR="005D3934">
        <w:t xml:space="preserve"> </w:t>
      </w:r>
      <w:r w:rsidRPr="005D3934">
        <w:t>do</w:t>
      </w:r>
      <w:r w:rsidRPr="00E72BE5">
        <w:t xml:space="preserve"> not appear to be very great. William Matthews</w:t>
      </w:r>
      <w:r w:rsidR="00130184">
        <w:t xml:space="preserve"> </w:t>
      </w:r>
      <w:r w:rsidR="00130184" w:rsidRPr="00E72BE5">
        <w:t>(1997a:</w:t>
      </w:r>
      <w:r w:rsidR="00130184">
        <w:t xml:space="preserve"> </w:t>
      </w:r>
      <w:r w:rsidR="00130184" w:rsidRPr="00E72BE5">
        <w:t>72)</w:t>
      </w:r>
      <w:r w:rsidRPr="00E72BE5">
        <w:t xml:space="preserve"> states that Caxton </w:t>
      </w:r>
      <w:r w:rsidR="004A5267">
        <w:t>emended</w:t>
      </w:r>
      <w:r w:rsidR="004A5267" w:rsidRPr="00E72BE5">
        <w:t xml:space="preserve"> </w:t>
      </w:r>
      <w:r w:rsidRPr="00E72BE5">
        <w:t>spelling, morphology, and the occasional substitution of dialect words, and that he made “a dozen or so” such changes to each page. This number of changes is relatively low, and is perhaps more in line with the number of changes we might expect a compositor to make. Matthews himself goes on to say that the changes that Caxton made to Trevisa’s text are “far less drastic than usually assumed” (1997a:</w:t>
      </w:r>
      <w:r>
        <w:t xml:space="preserve"> </w:t>
      </w:r>
      <w:r w:rsidRPr="00E72BE5">
        <w:t>72).</w:t>
      </w:r>
    </w:p>
    <w:p w14:paraId="5BAC36C6" w14:textId="1B029448" w:rsidR="006F6B58" w:rsidRPr="0021550A" w:rsidRDefault="006F6B58" w:rsidP="000737CB">
      <w:r w:rsidRPr="0021550A">
        <w:t xml:space="preserve">The sources of spellings used in Caxton’s edition of the </w:t>
      </w:r>
      <w:r w:rsidRPr="0021550A">
        <w:rPr>
          <w:i/>
        </w:rPr>
        <w:t>Polychronicon</w:t>
      </w:r>
      <w:r w:rsidRPr="0021550A">
        <w:t xml:space="preserve"> are highly complex, particularly at the level introduced by the copy text. </w:t>
      </w:r>
      <w:r w:rsidR="005D3934">
        <w:t xml:space="preserve">With regard to the cluster analysis of the text, we would expect some of this complexity to show through into the </w:t>
      </w:r>
      <w:r w:rsidR="00130184">
        <w:t>output</w:t>
      </w:r>
      <w:r w:rsidR="005D3934">
        <w:t xml:space="preserve">. </w:t>
      </w:r>
      <w:r w:rsidR="00EA7964">
        <w:t>Since</w:t>
      </w:r>
      <w:r w:rsidR="005D3934">
        <w:t xml:space="preserve"> the Liber Ultimus </w:t>
      </w:r>
      <w:r w:rsidR="00EA7964">
        <w:t xml:space="preserve">has been taken from Caxton’s version of </w:t>
      </w:r>
      <w:r w:rsidR="00EA7964">
        <w:rPr>
          <w:i/>
        </w:rPr>
        <w:t>Chronicles of England</w:t>
      </w:r>
      <w:r w:rsidR="00EA7964">
        <w:t xml:space="preserve">, we would expect </w:t>
      </w:r>
      <w:r w:rsidR="00DC3D93">
        <w:t>the Liber Ultimus to cluster separately to the rest of the text</w:t>
      </w:r>
      <w:r w:rsidR="001B514A">
        <w:t xml:space="preserve">. </w:t>
      </w:r>
      <w:r w:rsidRPr="0021550A">
        <w:t xml:space="preserve">However, Caxton may have written out the entirety of the </w:t>
      </w:r>
      <w:r w:rsidRPr="0021550A">
        <w:rPr>
          <w:i/>
        </w:rPr>
        <w:t>Polychronicon</w:t>
      </w:r>
      <w:r w:rsidRPr="0021550A">
        <w:t xml:space="preserve"> by hand, including the</w:t>
      </w:r>
      <w:r w:rsidRPr="0021550A">
        <w:rPr>
          <w:i/>
        </w:rPr>
        <w:t xml:space="preserve"> </w:t>
      </w:r>
      <w:r w:rsidRPr="0021550A">
        <w:t xml:space="preserve">Liber Ultimus, which further complicates the spellings that come from the copy text. If Caxton wrote the entire text out, then there will be a layer of Caxton’s own spellings interspersed with the spellings that he copied directly from the manuscript copy text that he had. </w:t>
      </w:r>
    </w:p>
    <w:p w14:paraId="78BE3141" w14:textId="318AB125" w:rsidR="006F6B58" w:rsidRPr="0021550A" w:rsidRDefault="006F6B58" w:rsidP="000737CB">
      <w:r w:rsidRPr="0021550A">
        <w:t xml:space="preserve">The spellings that come from the compositors are more straightforward. Hellinga </w:t>
      </w:r>
      <w:r w:rsidR="001B514A">
        <w:t>and</w:t>
      </w:r>
      <w:r w:rsidRPr="0021550A">
        <w:t xml:space="preserve"> Painter </w:t>
      </w:r>
      <w:r w:rsidR="00E72BE5">
        <w:t xml:space="preserve">(2007) </w:t>
      </w:r>
      <w:r w:rsidRPr="0021550A">
        <w:t>believe that the changeover in compositors occurs at the change between Book 4 and Book 5 (at the beginning of Quire 29</w:t>
      </w:r>
      <w:r w:rsidRPr="005C54CE">
        <w:rPr>
          <w:rStyle w:val="FootnoteReference"/>
        </w:rPr>
        <w:footnoteReference w:id="16"/>
      </w:r>
      <w:r w:rsidRPr="0021550A">
        <w:t xml:space="preserve">) of the text because at this point there is a quire of only two pages—known as a bifolium—inserted </w:t>
      </w:r>
      <w:r>
        <w:t>between otherwise full-</w:t>
      </w:r>
      <w:r w:rsidRPr="0021550A">
        <w:t xml:space="preserve">length quires. We would expect the cluster analysis to pick up the change in compositors at this point, in addition to the layers of spelling that come through from the copy text. We can begin by clustering the quires of the </w:t>
      </w:r>
      <w:r w:rsidRPr="0021550A">
        <w:rPr>
          <w:i/>
        </w:rPr>
        <w:t>Polychronicon</w:t>
      </w:r>
      <w:r w:rsidRPr="0021550A">
        <w:t xml:space="preserve"> into two groups</w:t>
      </w:r>
      <w:r w:rsidR="0023467B">
        <w:t xml:space="preserve"> on this basis</w:t>
      </w:r>
      <w:r w:rsidRPr="0021550A">
        <w:t xml:space="preserve">. </w:t>
      </w:r>
    </w:p>
    <w:p w14:paraId="337476F6" w14:textId="77777777" w:rsidR="006F6B58" w:rsidRPr="0021550A" w:rsidRDefault="006F6B58" w:rsidP="000737CB"/>
    <w:p w14:paraId="16048806" w14:textId="04E0DBC8" w:rsidR="006F6B58" w:rsidRPr="0021550A" w:rsidRDefault="006F6B58" w:rsidP="00C54C4D">
      <w:pPr>
        <w:ind w:firstLine="0"/>
      </w:pPr>
      <w:r w:rsidRPr="0021550A">
        <w:rPr>
          <w:noProof/>
          <w:lang w:eastAsia="en-GB"/>
        </w:rPr>
        <w:drawing>
          <wp:inline distT="0" distB="0" distL="0" distR="0" wp14:anchorId="5B42C9E6" wp14:editId="1E1968AB">
            <wp:extent cx="5024161" cy="621804"/>
            <wp:effectExtent l="0" t="0" r="508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olychronicon k = 2.pdf"/>
                    <pic:cNvPicPr/>
                  </pic:nvPicPr>
                  <pic:blipFill rotWithShape="1">
                    <a:blip r:embed="rId79">
                      <a:extLst>
                        <a:ext uri="{28A0092B-C50C-407E-A947-70E740481C1C}">
                          <a14:useLocalDpi xmlns:a14="http://schemas.microsoft.com/office/drawing/2010/main"/>
                        </a:ext>
                      </a:extLst>
                    </a:blip>
                    <a:srcRect l="5528" t="46499" r="33930" b="40181"/>
                    <a:stretch/>
                  </pic:blipFill>
                  <pic:spPr bwMode="auto">
                    <a:xfrm>
                      <a:off x="0" y="0"/>
                      <a:ext cx="5321853" cy="658647"/>
                    </a:xfrm>
                    <a:prstGeom prst="rect">
                      <a:avLst/>
                    </a:prstGeom>
                    <a:ln>
                      <a:noFill/>
                    </a:ln>
                    <a:extLst>
                      <a:ext uri="{53640926-AAD7-44D8-BBD7-CCE9431645EC}">
                        <a14:shadowObscured xmlns:a14="http://schemas.microsoft.com/office/drawing/2010/main"/>
                      </a:ext>
                    </a:extLst>
                  </pic:spPr>
                </pic:pic>
              </a:graphicData>
            </a:graphic>
          </wp:inline>
        </w:drawing>
      </w:r>
    </w:p>
    <w:p w14:paraId="46E2FAB0" w14:textId="36DACC8B" w:rsidR="006F6B58" w:rsidRPr="0021550A" w:rsidRDefault="00453776" w:rsidP="000737CB">
      <w:pPr>
        <w:pStyle w:val="Caption"/>
      </w:pPr>
      <w:bookmarkStart w:id="212" w:name="_Toc499753555"/>
      <w:r>
        <w:t>Figure 7.15:</w:t>
      </w:r>
      <w:r w:rsidR="006F6B58" w:rsidRPr="0021550A">
        <w:t xml:space="preserve"> </w:t>
      </w:r>
      <w:r w:rsidR="00104CBE">
        <w:t>Clustering</w:t>
      </w:r>
      <w:r w:rsidR="006F6B58" w:rsidRPr="0021550A">
        <w:t xml:space="preserve"> the </w:t>
      </w:r>
      <w:r w:rsidR="006F6B58" w:rsidRPr="0021550A">
        <w:rPr>
          <w:i/>
        </w:rPr>
        <w:t>Polychronicon</w:t>
      </w:r>
      <w:r w:rsidR="00634698">
        <w:t>,</w:t>
      </w:r>
      <w:r w:rsidR="006F6B58" w:rsidRPr="0021550A">
        <w:t xml:space="preserve"> </w:t>
      </w:r>
      <w:r w:rsidR="006F6B58" w:rsidRPr="0021550A">
        <w:rPr>
          <w:i/>
        </w:rPr>
        <w:t>k</w:t>
      </w:r>
      <w:r w:rsidR="006F6B58" w:rsidRPr="0021550A">
        <w:t xml:space="preserve"> = 2</w:t>
      </w:r>
      <w:bookmarkEnd w:id="212"/>
    </w:p>
    <w:p w14:paraId="0CB807BC" w14:textId="77777777" w:rsidR="006F6B58" w:rsidRPr="0021550A" w:rsidRDefault="006F6B58" w:rsidP="000737CB"/>
    <w:p w14:paraId="0B0D69F4" w14:textId="7779927B" w:rsidR="006F6B58" w:rsidRPr="0021550A" w:rsidRDefault="00E12429" w:rsidP="000737CB">
      <w:r>
        <w:lastRenderedPageBreak/>
        <w:fldChar w:fldCharType="begin"/>
      </w:r>
      <w:r>
        <w:instrText xml:space="preserve"> REF _Ref491348479 </w:instrText>
      </w:r>
      <w:r>
        <w:fldChar w:fldCharType="separate"/>
      </w:r>
      <w:r w:rsidR="00D11844" w:rsidRPr="0021550A">
        <w:t xml:space="preserve">Figure </w:t>
      </w:r>
      <w:r w:rsidR="00D11844">
        <w:rPr>
          <w:noProof/>
        </w:rPr>
        <w:t>7</w:t>
      </w:r>
      <w:r w:rsidR="00D11844">
        <w:t>.</w:t>
      </w:r>
      <w:r w:rsidR="00D11844">
        <w:rPr>
          <w:noProof/>
        </w:rPr>
        <w:t>15</w:t>
      </w:r>
      <w:r>
        <w:rPr>
          <w:noProof/>
        </w:rPr>
        <w:fldChar w:fldCharType="end"/>
      </w:r>
      <w:r w:rsidR="006F6B58" w:rsidRPr="0021550A">
        <w:t xml:space="preserve"> shows that the change in spelling variants takes place at the beginning of Quire 24 in Caxton’s edition of the </w:t>
      </w:r>
      <w:r w:rsidR="006F6B58" w:rsidRPr="0021550A">
        <w:rPr>
          <w:i/>
        </w:rPr>
        <w:t>Polychronicon</w:t>
      </w:r>
      <w:r w:rsidR="006F6B58" w:rsidRPr="0021550A">
        <w:t xml:space="preserve">. This change does not map onto the location that Hellinga </w:t>
      </w:r>
      <w:r w:rsidR="001B514A">
        <w:t>and</w:t>
      </w:r>
      <w:r w:rsidR="006F6B58" w:rsidRPr="0021550A">
        <w:t xml:space="preserve"> Painter suggested for a change in compositor, but instead occurs five quires earlier. The change in spellings observed when </w:t>
      </w:r>
      <w:r w:rsidR="006F6B58" w:rsidRPr="0021550A">
        <w:rPr>
          <w:i/>
        </w:rPr>
        <w:t>k</w:t>
      </w:r>
      <w:r w:rsidR="006F6B58" w:rsidRPr="0021550A">
        <w:t xml:space="preserve"> = 2 is not likely to map onto a change in compositor, because the beginning of Quire 24 does not mark the beginning of a new section of text. Instead, Quire 24 begins mid-sentence, which is not ideal for a change in compositors. However, the change in spellings at the beginning of Quire 24 is very close to a change in the content of the text. Partway through Quire 23 Book III of the </w:t>
      </w:r>
      <w:r w:rsidR="006F6B58" w:rsidRPr="0021550A">
        <w:rPr>
          <w:i/>
        </w:rPr>
        <w:t>Polychronicon</w:t>
      </w:r>
      <w:r w:rsidR="006F6B58" w:rsidRPr="0021550A">
        <w:t xml:space="preserve"> begins. These results suggest that a change in the copy text used by Caxton took place at the beginning of Book III. We can extend the cluster analysis into three clusters for more information. </w:t>
      </w:r>
    </w:p>
    <w:p w14:paraId="1CA66107" w14:textId="77777777" w:rsidR="006F6B58" w:rsidRPr="0021550A" w:rsidRDefault="006F6B58" w:rsidP="000737CB"/>
    <w:p w14:paraId="35E5038A" w14:textId="100F8D65" w:rsidR="006F6B58" w:rsidRPr="0021550A" w:rsidRDefault="006F6B58" w:rsidP="00C54C4D">
      <w:pPr>
        <w:ind w:firstLine="0"/>
      </w:pPr>
      <w:r w:rsidRPr="0021550A">
        <w:rPr>
          <w:noProof/>
          <w:lang w:eastAsia="en-GB"/>
        </w:rPr>
        <w:drawing>
          <wp:inline distT="0" distB="0" distL="0" distR="0" wp14:anchorId="6DBCD725" wp14:editId="4CC3089E">
            <wp:extent cx="4985385" cy="565313"/>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olychronicon k = 3.pdf"/>
                    <pic:cNvPicPr/>
                  </pic:nvPicPr>
                  <pic:blipFill rotWithShape="1">
                    <a:blip r:embed="rId80">
                      <a:extLst>
                        <a:ext uri="{28A0092B-C50C-407E-A947-70E740481C1C}">
                          <a14:useLocalDpi xmlns:a14="http://schemas.microsoft.com/office/drawing/2010/main"/>
                        </a:ext>
                      </a:extLst>
                    </a:blip>
                    <a:srcRect l="5405" t="66802" r="33931" b="20970"/>
                    <a:stretch/>
                  </pic:blipFill>
                  <pic:spPr bwMode="auto">
                    <a:xfrm>
                      <a:off x="0" y="0"/>
                      <a:ext cx="5360425" cy="607840"/>
                    </a:xfrm>
                    <a:prstGeom prst="rect">
                      <a:avLst/>
                    </a:prstGeom>
                    <a:ln>
                      <a:noFill/>
                    </a:ln>
                    <a:extLst>
                      <a:ext uri="{53640926-AAD7-44D8-BBD7-CCE9431645EC}">
                        <a14:shadowObscured xmlns:a14="http://schemas.microsoft.com/office/drawing/2010/main"/>
                      </a:ext>
                    </a:extLst>
                  </pic:spPr>
                </pic:pic>
              </a:graphicData>
            </a:graphic>
          </wp:inline>
        </w:drawing>
      </w:r>
    </w:p>
    <w:p w14:paraId="2DC58F3D" w14:textId="795B2940" w:rsidR="006F6B58" w:rsidRPr="0021550A" w:rsidRDefault="00453776" w:rsidP="000737CB">
      <w:pPr>
        <w:pStyle w:val="Caption"/>
      </w:pPr>
      <w:bookmarkStart w:id="213" w:name="_Toc499753556"/>
      <w:r>
        <w:t>Figure 7.16:</w:t>
      </w:r>
      <w:r w:rsidR="006F6B58" w:rsidRPr="0021550A">
        <w:t xml:space="preserve"> </w:t>
      </w:r>
      <w:r w:rsidR="00104CBE">
        <w:t>Clustering</w:t>
      </w:r>
      <w:r w:rsidR="006F6B58" w:rsidRPr="0021550A">
        <w:t xml:space="preserve"> the </w:t>
      </w:r>
      <w:r w:rsidR="006F6B58" w:rsidRPr="0021550A">
        <w:rPr>
          <w:i/>
        </w:rPr>
        <w:t>Polychronicon</w:t>
      </w:r>
      <w:r w:rsidR="00634698">
        <w:t>,</w:t>
      </w:r>
      <w:r w:rsidR="006F6B58" w:rsidRPr="0021550A">
        <w:t xml:space="preserve"> </w:t>
      </w:r>
      <w:r w:rsidR="006F6B58" w:rsidRPr="0021550A">
        <w:rPr>
          <w:i/>
        </w:rPr>
        <w:t>k</w:t>
      </w:r>
      <w:r w:rsidR="006F6B58" w:rsidRPr="0021550A">
        <w:t xml:space="preserve"> = 3</w:t>
      </w:r>
      <w:bookmarkEnd w:id="213"/>
    </w:p>
    <w:p w14:paraId="0F14E34A" w14:textId="77777777" w:rsidR="006F6B58" w:rsidRPr="0021550A" w:rsidRDefault="006F6B58" w:rsidP="000737CB"/>
    <w:p w14:paraId="2F605657" w14:textId="3507973A" w:rsidR="006F6B58" w:rsidRDefault="006F6B58" w:rsidP="00C54C4D">
      <w:pPr>
        <w:ind w:firstLine="0"/>
      </w:pPr>
      <w:r w:rsidRPr="0021550A">
        <w:tab/>
      </w:r>
      <w:r w:rsidR="00E12429">
        <w:fldChar w:fldCharType="begin"/>
      </w:r>
      <w:r w:rsidR="00E12429">
        <w:instrText xml:space="preserve"> REF _Ref491355262 </w:instrText>
      </w:r>
      <w:r w:rsidR="00E12429">
        <w:fldChar w:fldCharType="separate"/>
      </w:r>
      <w:r w:rsidR="00D11844" w:rsidRPr="0021550A">
        <w:t xml:space="preserve">Figure </w:t>
      </w:r>
      <w:r w:rsidR="00D11844">
        <w:rPr>
          <w:noProof/>
        </w:rPr>
        <w:t>7</w:t>
      </w:r>
      <w:r w:rsidR="00D11844">
        <w:t>.</w:t>
      </w:r>
      <w:r w:rsidR="00D11844">
        <w:rPr>
          <w:noProof/>
        </w:rPr>
        <w:t>16</w:t>
      </w:r>
      <w:r w:rsidR="00E12429">
        <w:rPr>
          <w:noProof/>
        </w:rPr>
        <w:fldChar w:fldCharType="end"/>
      </w:r>
      <w:r w:rsidRPr="0021550A">
        <w:t xml:space="preserve"> shows that when </w:t>
      </w:r>
      <w:r w:rsidRPr="0021550A">
        <w:rPr>
          <w:i/>
        </w:rPr>
        <w:t>k</w:t>
      </w:r>
      <w:r w:rsidRPr="0021550A">
        <w:t xml:space="preserve"> is extended to three, there is a change in spellings that occurs at the beginning of Quire 11. Again, while this location does not map onto the location suggested by Hellinga </w:t>
      </w:r>
      <w:r w:rsidR="001B514A">
        <w:t>and</w:t>
      </w:r>
      <w:r w:rsidRPr="0021550A">
        <w:t xml:space="preserve"> Painter for a change in compositor, there is a change that takes place close to the beginning of Quire 11 in the text. Book II of the text begins at the beginning of Quire 10. We can extend the cluster analysis to </w:t>
      </w:r>
      <w:r w:rsidRPr="0021550A">
        <w:rPr>
          <w:i/>
        </w:rPr>
        <w:t>k</w:t>
      </w:r>
      <w:r w:rsidRPr="0021550A">
        <w:t xml:space="preserve"> = 4. </w:t>
      </w:r>
    </w:p>
    <w:p w14:paraId="47F2E584" w14:textId="77777777" w:rsidR="00634698" w:rsidRPr="0021550A" w:rsidRDefault="00634698" w:rsidP="00C54C4D">
      <w:pPr>
        <w:ind w:firstLine="0"/>
      </w:pPr>
    </w:p>
    <w:p w14:paraId="1DDD13E3" w14:textId="12A6D37D" w:rsidR="006F6B58" w:rsidRPr="0021550A" w:rsidRDefault="006F6B58" w:rsidP="00C54C4D">
      <w:pPr>
        <w:ind w:firstLine="0"/>
      </w:pPr>
      <w:r w:rsidRPr="0021550A">
        <w:rPr>
          <w:noProof/>
          <w:lang w:eastAsia="en-GB"/>
        </w:rPr>
        <w:drawing>
          <wp:inline distT="0" distB="0" distL="0" distR="0" wp14:anchorId="2E4D3C12" wp14:editId="6E5B8464">
            <wp:extent cx="4985385" cy="556037"/>
            <wp:effectExtent l="0" t="0" r="0" b="317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olychronicon k = 4.pdf"/>
                    <pic:cNvPicPr/>
                  </pic:nvPicPr>
                  <pic:blipFill rotWithShape="1">
                    <a:blip r:embed="rId81">
                      <a:extLst>
                        <a:ext uri="{28A0092B-C50C-407E-A947-70E740481C1C}">
                          <a14:useLocalDpi xmlns:a14="http://schemas.microsoft.com/office/drawing/2010/main"/>
                        </a:ext>
                      </a:extLst>
                    </a:blip>
                    <a:srcRect l="2581" t="4152" r="36879" b="83845"/>
                    <a:stretch/>
                  </pic:blipFill>
                  <pic:spPr bwMode="auto">
                    <a:xfrm>
                      <a:off x="0" y="0"/>
                      <a:ext cx="5214652" cy="581608"/>
                    </a:xfrm>
                    <a:prstGeom prst="rect">
                      <a:avLst/>
                    </a:prstGeom>
                    <a:ln>
                      <a:noFill/>
                    </a:ln>
                    <a:extLst>
                      <a:ext uri="{53640926-AAD7-44D8-BBD7-CCE9431645EC}">
                        <a14:shadowObscured xmlns:a14="http://schemas.microsoft.com/office/drawing/2010/main"/>
                      </a:ext>
                    </a:extLst>
                  </pic:spPr>
                </pic:pic>
              </a:graphicData>
            </a:graphic>
          </wp:inline>
        </w:drawing>
      </w:r>
    </w:p>
    <w:p w14:paraId="45509B7E" w14:textId="12458A3B" w:rsidR="006F6B58" w:rsidRPr="0021550A" w:rsidRDefault="00453776" w:rsidP="000737CB">
      <w:pPr>
        <w:pStyle w:val="Caption"/>
      </w:pPr>
      <w:bookmarkStart w:id="214" w:name="_Toc499753557"/>
      <w:r>
        <w:t>Figure 7.17</w:t>
      </w:r>
      <w:r w:rsidR="006F6B58" w:rsidRPr="0021550A">
        <w:t xml:space="preserve"> </w:t>
      </w:r>
      <w:r w:rsidR="00104CBE">
        <w:t>Clustering</w:t>
      </w:r>
      <w:r w:rsidR="006F6B58" w:rsidRPr="0021550A">
        <w:t xml:space="preserve"> the </w:t>
      </w:r>
      <w:r w:rsidR="006F6B58" w:rsidRPr="0021550A">
        <w:rPr>
          <w:i/>
        </w:rPr>
        <w:t>Polychronicon</w:t>
      </w:r>
      <w:r w:rsidR="00634698">
        <w:t>,</w:t>
      </w:r>
      <w:r w:rsidR="006F6B58" w:rsidRPr="0021550A">
        <w:t xml:space="preserve"> </w:t>
      </w:r>
      <w:r w:rsidR="006F6B58" w:rsidRPr="0021550A">
        <w:rPr>
          <w:i/>
        </w:rPr>
        <w:t>k</w:t>
      </w:r>
      <w:r w:rsidR="006F6B58" w:rsidRPr="0021550A">
        <w:t xml:space="preserve"> = 4</w:t>
      </w:r>
      <w:bookmarkEnd w:id="214"/>
    </w:p>
    <w:p w14:paraId="406A1B2C" w14:textId="77777777" w:rsidR="006F6B58" w:rsidRPr="0021550A" w:rsidRDefault="006F6B58" w:rsidP="000737CB"/>
    <w:p w14:paraId="41A13E20" w14:textId="3A79A13F" w:rsidR="006F6B58" w:rsidRPr="0021550A" w:rsidRDefault="00E12429" w:rsidP="000737CB">
      <w:r>
        <w:fldChar w:fldCharType="begin"/>
      </w:r>
      <w:r>
        <w:instrText xml:space="preserve"> REF _Ref491356427 </w:instrText>
      </w:r>
      <w:r>
        <w:fldChar w:fldCharType="separate"/>
      </w:r>
      <w:r w:rsidR="00D11844" w:rsidRPr="0021550A">
        <w:t xml:space="preserve">Figure </w:t>
      </w:r>
      <w:r w:rsidR="00D11844">
        <w:rPr>
          <w:noProof/>
        </w:rPr>
        <w:t>7</w:t>
      </w:r>
      <w:r w:rsidR="00D11844">
        <w:t>.</w:t>
      </w:r>
      <w:r w:rsidR="00D11844">
        <w:rPr>
          <w:noProof/>
        </w:rPr>
        <w:t>17</w:t>
      </w:r>
      <w:r>
        <w:rPr>
          <w:noProof/>
        </w:rPr>
        <w:fldChar w:fldCharType="end"/>
      </w:r>
      <w:r w:rsidR="006F6B58" w:rsidRPr="0021550A">
        <w:t xml:space="preserve"> shows that when </w:t>
      </w:r>
      <w:r w:rsidR="006F6B58" w:rsidRPr="0021550A">
        <w:rPr>
          <w:i/>
        </w:rPr>
        <w:t>k</w:t>
      </w:r>
      <w:r w:rsidR="006F6B58" w:rsidRPr="0021550A">
        <w:t xml:space="preserve"> = 4 the quires from Quire 50 to the end of the text form a separate cluster. The change in spellings maps onto the change from the text of the </w:t>
      </w:r>
      <w:r w:rsidR="006F6B58" w:rsidRPr="0021550A">
        <w:rPr>
          <w:i/>
        </w:rPr>
        <w:t>Polychronicon</w:t>
      </w:r>
      <w:r w:rsidR="006F6B58" w:rsidRPr="0021550A">
        <w:t xml:space="preserve"> and the additional Liber Ultimus. These results suggest that the Liber Ultimus contains a lot of the same spellings used with other parts of the text; when </w:t>
      </w:r>
      <w:r w:rsidR="006F6B58" w:rsidRPr="0021550A">
        <w:rPr>
          <w:i/>
        </w:rPr>
        <w:t>k</w:t>
      </w:r>
      <w:r w:rsidR="006F6B58" w:rsidRPr="0021550A">
        <w:t xml:space="preserve"> = 2 and when </w:t>
      </w:r>
      <w:r w:rsidR="006F6B58" w:rsidRPr="0021550A">
        <w:rPr>
          <w:i/>
        </w:rPr>
        <w:t>k</w:t>
      </w:r>
      <w:r w:rsidR="006F6B58" w:rsidRPr="0021550A">
        <w:t xml:space="preserve"> = 3, the quires of the Liber Ultimus still include the same spellings as the quires from Quire 24 onwards. We can find out more about the spelling variants used in the </w:t>
      </w:r>
      <w:r w:rsidR="006F6B58" w:rsidRPr="0021550A">
        <w:rPr>
          <w:i/>
        </w:rPr>
        <w:t xml:space="preserve">Polychronicon </w:t>
      </w:r>
      <w:r w:rsidR="006F6B58" w:rsidRPr="0021550A">
        <w:t xml:space="preserve">by extending the value of </w:t>
      </w:r>
      <w:r w:rsidR="006F6B58" w:rsidRPr="0021550A">
        <w:rPr>
          <w:i/>
        </w:rPr>
        <w:t>k</w:t>
      </w:r>
      <w:r w:rsidR="006F6B58" w:rsidRPr="0021550A">
        <w:t xml:space="preserve"> into </w:t>
      </w:r>
      <w:r w:rsidR="00D85BBA">
        <w:t>five and then six clusters</w:t>
      </w:r>
      <w:r w:rsidR="006F6B58" w:rsidRPr="0021550A">
        <w:t xml:space="preserve">. </w:t>
      </w:r>
    </w:p>
    <w:p w14:paraId="61D934FA" w14:textId="77777777" w:rsidR="006F6B58" w:rsidRPr="0021550A" w:rsidRDefault="006F6B58" w:rsidP="000737CB"/>
    <w:p w14:paraId="64D2557A" w14:textId="5063545F" w:rsidR="006F6B58" w:rsidRPr="0021550A" w:rsidRDefault="006F6B58" w:rsidP="00C54C4D">
      <w:pPr>
        <w:ind w:firstLine="0"/>
      </w:pPr>
      <w:r w:rsidRPr="0021550A">
        <w:rPr>
          <w:noProof/>
          <w:lang w:eastAsia="en-GB"/>
        </w:rPr>
        <w:lastRenderedPageBreak/>
        <w:drawing>
          <wp:inline distT="0" distB="0" distL="0" distR="0" wp14:anchorId="62A47C78" wp14:editId="677126D4">
            <wp:extent cx="4985385" cy="567571"/>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olychronicon k = 5.pdf"/>
                    <pic:cNvPicPr/>
                  </pic:nvPicPr>
                  <pic:blipFill rotWithShape="1">
                    <a:blip r:embed="rId82">
                      <a:extLst>
                        <a:ext uri="{28A0092B-C50C-407E-A947-70E740481C1C}">
                          <a14:useLocalDpi xmlns:a14="http://schemas.microsoft.com/office/drawing/2010/main"/>
                        </a:ext>
                      </a:extLst>
                    </a:blip>
                    <a:srcRect l="2579" t="37767" r="37002" b="50005"/>
                    <a:stretch/>
                  </pic:blipFill>
                  <pic:spPr bwMode="auto">
                    <a:xfrm>
                      <a:off x="0" y="0"/>
                      <a:ext cx="5472041" cy="622975"/>
                    </a:xfrm>
                    <a:prstGeom prst="rect">
                      <a:avLst/>
                    </a:prstGeom>
                    <a:ln>
                      <a:noFill/>
                    </a:ln>
                    <a:extLst>
                      <a:ext uri="{53640926-AAD7-44D8-BBD7-CCE9431645EC}">
                        <a14:shadowObscured xmlns:a14="http://schemas.microsoft.com/office/drawing/2010/main"/>
                      </a:ext>
                    </a:extLst>
                  </pic:spPr>
                </pic:pic>
              </a:graphicData>
            </a:graphic>
          </wp:inline>
        </w:drawing>
      </w:r>
    </w:p>
    <w:p w14:paraId="7426106B" w14:textId="5BAD7B7C" w:rsidR="006F6B58" w:rsidRPr="0021550A" w:rsidRDefault="00453776" w:rsidP="000737CB">
      <w:pPr>
        <w:pStyle w:val="Caption"/>
      </w:pPr>
      <w:bookmarkStart w:id="215" w:name="_Toc499753558"/>
      <w:r>
        <w:t>Figure 7.18:</w:t>
      </w:r>
      <w:r w:rsidR="006F6B58" w:rsidRPr="0021550A">
        <w:t xml:space="preserve"> </w:t>
      </w:r>
      <w:r w:rsidR="00104CBE">
        <w:t>Clustering</w:t>
      </w:r>
      <w:r w:rsidR="006F6B58" w:rsidRPr="0021550A">
        <w:t xml:space="preserve"> the </w:t>
      </w:r>
      <w:r w:rsidR="006F6B58" w:rsidRPr="0021550A">
        <w:rPr>
          <w:i/>
        </w:rPr>
        <w:t>Polychronicon</w:t>
      </w:r>
      <w:r w:rsidR="00634698">
        <w:t>,</w:t>
      </w:r>
      <w:r w:rsidR="006F6B58" w:rsidRPr="0021550A">
        <w:t xml:space="preserve"> </w:t>
      </w:r>
      <w:r w:rsidR="006F6B58" w:rsidRPr="0021550A">
        <w:rPr>
          <w:i/>
        </w:rPr>
        <w:t>k</w:t>
      </w:r>
      <w:r w:rsidR="006F6B58" w:rsidRPr="0021550A">
        <w:t xml:space="preserve"> = 5</w:t>
      </w:r>
      <w:bookmarkEnd w:id="215"/>
    </w:p>
    <w:p w14:paraId="7350D6AC" w14:textId="77777777" w:rsidR="006F6B58" w:rsidRPr="0021550A" w:rsidRDefault="006F6B58" w:rsidP="000737CB"/>
    <w:p w14:paraId="7F4883C9" w14:textId="045235BA" w:rsidR="006F6B58" w:rsidRPr="0021550A" w:rsidRDefault="00E12429" w:rsidP="000737CB">
      <w:r>
        <w:fldChar w:fldCharType="begin"/>
      </w:r>
      <w:r>
        <w:instrText xml:space="preserve"> REF _Ref491356716 </w:instrText>
      </w:r>
      <w:r>
        <w:fldChar w:fldCharType="separate"/>
      </w:r>
      <w:r w:rsidR="00D11844" w:rsidRPr="0021550A">
        <w:t xml:space="preserve">Figure </w:t>
      </w:r>
      <w:r w:rsidR="00D11844">
        <w:rPr>
          <w:noProof/>
        </w:rPr>
        <w:t>7</w:t>
      </w:r>
      <w:r w:rsidR="00D11844">
        <w:t>.</w:t>
      </w:r>
      <w:r w:rsidR="00D11844">
        <w:rPr>
          <w:noProof/>
        </w:rPr>
        <w:t>18</w:t>
      </w:r>
      <w:r>
        <w:rPr>
          <w:noProof/>
        </w:rPr>
        <w:fldChar w:fldCharType="end"/>
      </w:r>
      <w:r w:rsidR="006F6B58" w:rsidRPr="0021550A">
        <w:t xml:space="preserve"> shows the distribution of quires in the </w:t>
      </w:r>
      <w:r w:rsidR="006F6B58" w:rsidRPr="0021550A">
        <w:rPr>
          <w:i/>
        </w:rPr>
        <w:t>Polychronicon</w:t>
      </w:r>
      <w:r w:rsidR="006F6B58" w:rsidRPr="0021550A">
        <w:t xml:space="preserve"> into five clusters. The additional cluster when </w:t>
      </w:r>
      <w:r w:rsidR="006F6B58" w:rsidRPr="0021550A">
        <w:rPr>
          <w:i/>
        </w:rPr>
        <w:t>k</w:t>
      </w:r>
      <w:r w:rsidR="006F6B58" w:rsidRPr="0021550A">
        <w:t xml:space="preserve"> = 5 is formed from Quire 36 to Quire 49. The change in spellings at the beginning of Quire 36 also marks a change in book. Book VI begins towards the end of Quire 35. We can extend the analysis once more to </w:t>
      </w:r>
      <w:r w:rsidR="006F6B58" w:rsidRPr="0021550A">
        <w:rPr>
          <w:i/>
        </w:rPr>
        <w:t>k</w:t>
      </w:r>
      <w:r w:rsidR="006F6B58" w:rsidRPr="0021550A">
        <w:t xml:space="preserve"> = 6 before the cluster analysis becomes unstable and the clusters are not formed of consecutive quires. </w:t>
      </w:r>
    </w:p>
    <w:p w14:paraId="1BF4A73D" w14:textId="77777777" w:rsidR="006F6B58" w:rsidRPr="0021550A" w:rsidRDefault="006F6B58" w:rsidP="000737CB"/>
    <w:p w14:paraId="13C09452" w14:textId="00483B93" w:rsidR="006F6B58" w:rsidRPr="0021550A" w:rsidRDefault="006F6B58" w:rsidP="00C54C4D">
      <w:pPr>
        <w:ind w:firstLine="0"/>
      </w:pPr>
      <w:r w:rsidRPr="0021550A">
        <w:rPr>
          <w:noProof/>
          <w:lang w:eastAsia="en-GB"/>
        </w:rPr>
        <w:drawing>
          <wp:inline distT="0" distB="0" distL="0" distR="0" wp14:anchorId="73FE5EAF" wp14:editId="43C27083">
            <wp:extent cx="5024161" cy="956423"/>
            <wp:effectExtent l="0" t="0" r="5080" b="889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olychronicon k = 6.pdf"/>
                    <pic:cNvPicPr/>
                  </pic:nvPicPr>
                  <pic:blipFill rotWithShape="1">
                    <a:blip r:embed="rId83">
                      <a:extLst>
                        <a:ext uri="{28A0092B-C50C-407E-A947-70E740481C1C}">
                          <a14:useLocalDpi xmlns:a14="http://schemas.microsoft.com/office/drawing/2010/main"/>
                        </a:ext>
                      </a:extLst>
                    </a:blip>
                    <a:srcRect l="2457" t="63091" r="36880" b="16380"/>
                    <a:stretch/>
                  </pic:blipFill>
                  <pic:spPr bwMode="auto">
                    <a:xfrm>
                      <a:off x="0" y="0"/>
                      <a:ext cx="5365930" cy="1021484"/>
                    </a:xfrm>
                    <a:prstGeom prst="rect">
                      <a:avLst/>
                    </a:prstGeom>
                    <a:ln>
                      <a:noFill/>
                    </a:ln>
                    <a:extLst>
                      <a:ext uri="{53640926-AAD7-44D8-BBD7-CCE9431645EC}">
                        <a14:shadowObscured xmlns:a14="http://schemas.microsoft.com/office/drawing/2010/main"/>
                      </a:ext>
                    </a:extLst>
                  </pic:spPr>
                </pic:pic>
              </a:graphicData>
            </a:graphic>
          </wp:inline>
        </w:drawing>
      </w:r>
    </w:p>
    <w:p w14:paraId="5E06DA5D" w14:textId="60997606" w:rsidR="006F6B58" w:rsidRPr="0021550A" w:rsidRDefault="00453776" w:rsidP="000737CB">
      <w:pPr>
        <w:pStyle w:val="Caption"/>
      </w:pPr>
      <w:bookmarkStart w:id="216" w:name="_Toc499753559"/>
      <w:r>
        <w:t>Figure 7.19:</w:t>
      </w:r>
      <w:r w:rsidR="006F6B58" w:rsidRPr="0021550A">
        <w:t xml:space="preserve"> </w:t>
      </w:r>
      <w:r w:rsidR="00104CBE">
        <w:t>Clustering</w:t>
      </w:r>
      <w:r w:rsidR="006F6B58" w:rsidRPr="0021550A">
        <w:t xml:space="preserve"> the </w:t>
      </w:r>
      <w:r w:rsidR="006F6B58" w:rsidRPr="0021550A">
        <w:rPr>
          <w:i/>
        </w:rPr>
        <w:t>Polychronicon</w:t>
      </w:r>
      <w:r w:rsidR="00634698">
        <w:t>,</w:t>
      </w:r>
      <w:r w:rsidR="006F6B58" w:rsidRPr="0021550A">
        <w:t xml:space="preserve"> </w:t>
      </w:r>
      <w:r w:rsidR="006F6B58" w:rsidRPr="0021550A">
        <w:rPr>
          <w:i/>
        </w:rPr>
        <w:t>k</w:t>
      </w:r>
      <w:r w:rsidR="006F6B58" w:rsidRPr="0021550A">
        <w:t xml:space="preserve"> = 6</w:t>
      </w:r>
      <w:bookmarkEnd w:id="216"/>
    </w:p>
    <w:p w14:paraId="47F4140D" w14:textId="77777777" w:rsidR="006F6B58" w:rsidRPr="0021550A" w:rsidRDefault="006F6B58" w:rsidP="000737CB"/>
    <w:p w14:paraId="79B210A2" w14:textId="132D182E" w:rsidR="006F6B58" w:rsidRPr="0021550A" w:rsidRDefault="00E12429" w:rsidP="000737CB">
      <w:r>
        <w:fldChar w:fldCharType="begin"/>
      </w:r>
      <w:r>
        <w:instrText xml:space="preserve"> REF _Ref491357338 </w:instrText>
      </w:r>
      <w:r>
        <w:fldChar w:fldCharType="separate"/>
      </w:r>
      <w:r w:rsidR="00D11844" w:rsidRPr="0021550A">
        <w:t xml:space="preserve">Figure </w:t>
      </w:r>
      <w:r w:rsidR="00D11844">
        <w:rPr>
          <w:noProof/>
        </w:rPr>
        <w:t>7</w:t>
      </w:r>
      <w:r w:rsidR="00D11844">
        <w:t>.</w:t>
      </w:r>
      <w:r w:rsidR="00D11844">
        <w:rPr>
          <w:noProof/>
        </w:rPr>
        <w:t>19</w:t>
      </w:r>
      <w:r>
        <w:rPr>
          <w:noProof/>
        </w:rPr>
        <w:fldChar w:fldCharType="end"/>
      </w:r>
      <w:r w:rsidR="006F6B58" w:rsidRPr="0021550A">
        <w:t xml:space="preserve"> shows the quires of the </w:t>
      </w:r>
      <w:r w:rsidR="006F6B58" w:rsidRPr="0021550A">
        <w:rPr>
          <w:i/>
        </w:rPr>
        <w:t>Polychronicon</w:t>
      </w:r>
      <w:r w:rsidR="006F6B58" w:rsidRPr="0021550A">
        <w:t xml:space="preserve"> when clustered into six groups</w:t>
      </w:r>
      <w:r w:rsidR="001B514A">
        <w:t>, where each colour marks a different cluster</w:t>
      </w:r>
      <w:r w:rsidR="006F6B58" w:rsidRPr="0021550A">
        <w:t xml:space="preserve">. </w:t>
      </w:r>
      <w:r w:rsidR="00F23CDF">
        <w:t xml:space="preserve">The text of the </w:t>
      </w:r>
      <w:r w:rsidR="00F23CDF">
        <w:rPr>
          <w:i/>
        </w:rPr>
        <w:t xml:space="preserve">Polychronicon </w:t>
      </w:r>
      <w:r w:rsidR="00F23CDF">
        <w:t xml:space="preserve">thus contains six </w:t>
      </w:r>
      <w:r w:rsidR="00D85BBA">
        <w:t>separate sections of spellings</w:t>
      </w:r>
      <w:r w:rsidR="00F23CDF">
        <w:t xml:space="preserve">, suggesting that </w:t>
      </w:r>
      <w:r w:rsidR="005624DB">
        <w:t xml:space="preserve">up to </w:t>
      </w:r>
      <w:r w:rsidR="00F23CDF">
        <w:t xml:space="preserve">six people were involved in the creation of the text at some point. </w:t>
      </w:r>
      <w:r w:rsidR="006F6B58" w:rsidRPr="0021550A">
        <w:t xml:space="preserve">The clusters link clearly with the format of the text into books: Book I maps closely onto Cluster 1, Books II and III map onto Cluster 2, Books IV and V map onto Cluster 3, Books VI maps onto Cluster 4, Book VII maps onto Cluster 5, and finally Caxton’s addition to the text, the </w:t>
      </w:r>
      <w:r w:rsidR="006F6B58" w:rsidRPr="0021550A">
        <w:rPr>
          <w:i/>
        </w:rPr>
        <w:t>Liber Ultimus</w:t>
      </w:r>
      <w:r w:rsidR="00C54C4D">
        <w:t xml:space="preserve"> maps onto the sixth cluster. </w:t>
      </w:r>
      <w:r w:rsidR="006F6B58" w:rsidRPr="0021550A">
        <w:t>The clustering demonstrates changes in spelling variation that occur in the underlying text, perhaps suggesting that the copy (or the manuscript used to make that copy) from which Caxton worked was put together by more than one scribe at some point in its history.</w:t>
      </w:r>
    </w:p>
    <w:p w14:paraId="3F3515DB" w14:textId="1D897D0C" w:rsidR="006F6B58" w:rsidRPr="0021550A" w:rsidRDefault="006F6B58" w:rsidP="000737CB">
      <w:r w:rsidRPr="0021550A">
        <w:t xml:space="preserve">It is particularly striking that there is no differentiation between two compositors where Hellinga </w:t>
      </w:r>
      <w:r w:rsidR="001B514A">
        <w:t>and</w:t>
      </w:r>
      <w:r w:rsidRPr="0021550A">
        <w:t xml:space="preserve"> Painter suggest that there ought to be. There are two possible conclusions that can be drawn from this: the first is that the text was typeset by one compositor, and the second possible conclusion is that the differences at the level of the copy text are so strong as to negate any influence by the compositor. It is not possible with the current data to determine whether a change in compositor took place at the beginning of Quire 29 as suggested by Hellinga </w:t>
      </w:r>
      <w:r w:rsidR="001B514A">
        <w:t>and</w:t>
      </w:r>
      <w:r w:rsidRPr="0021550A">
        <w:t xml:space="preserve"> Painter</w:t>
      </w:r>
      <w:r w:rsidR="00F23CDF">
        <w:t xml:space="preserve">, but I return to this question in Section </w:t>
      </w:r>
      <w:r w:rsidR="00F23CDF">
        <w:fldChar w:fldCharType="begin"/>
      </w:r>
      <w:r w:rsidR="00F23CDF">
        <w:instrText xml:space="preserve"> REF _Ref497212201 \r </w:instrText>
      </w:r>
      <w:r w:rsidR="00F23CDF">
        <w:fldChar w:fldCharType="separate"/>
      </w:r>
      <w:r w:rsidR="00D11844">
        <w:t>8.3.3</w:t>
      </w:r>
      <w:r w:rsidR="00F23CDF">
        <w:fldChar w:fldCharType="end"/>
      </w:r>
      <w:r w:rsidR="00F23CDF">
        <w:t xml:space="preserve"> when use of similarity testing provides more information</w:t>
      </w:r>
      <w:r w:rsidRPr="0021550A">
        <w:t xml:space="preserve">. </w:t>
      </w:r>
    </w:p>
    <w:p w14:paraId="729447E6" w14:textId="470E3622" w:rsidR="006F6B58" w:rsidRDefault="0023467B" w:rsidP="000737CB">
      <w:r>
        <w:t>I</w:t>
      </w:r>
      <w:r w:rsidR="006F6B58" w:rsidRPr="0021550A">
        <w:t xml:space="preserve"> began this exploration of the </w:t>
      </w:r>
      <w:r w:rsidR="006F6B58" w:rsidRPr="0021550A">
        <w:rPr>
          <w:i/>
        </w:rPr>
        <w:t xml:space="preserve">Polychronicon </w:t>
      </w:r>
      <w:r w:rsidR="006F6B58" w:rsidRPr="0021550A">
        <w:t xml:space="preserve">by asking whether the Liber Ultimus was written by Caxton or someone else, and whether Caxton wrote out the full text by </w:t>
      </w:r>
      <w:r w:rsidR="006F6B58" w:rsidRPr="0021550A">
        <w:lastRenderedPageBreak/>
        <w:t xml:space="preserve">hand. At this point, it is not possible to say with any certainty whether Caxton wrote the Liber Ultimus. The results at present show that the spellings used in the Liber Ultimus were similar to the spellings used in the quires from Quire 24 to the end of the text, because the Liber Ultimus is not separated from these quires until </w:t>
      </w:r>
      <w:r w:rsidR="006F6B58" w:rsidRPr="0021550A">
        <w:rPr>
          <w:i/>
        </w:rPr>
        <w:t>k</w:t>
      </w:r>
      <w:r w:rsidR="006F6B58" w:rsidRPr="0021550A">
        <w:t xml:space="preserve"> = 4. However, we do not know how similar the</w:t>
      </w:r>
      <w:r w:rsidR="00F23CDF">
        <w:t xml:space="preserve"> spellings in the</w:t>
      </w:r>
      <w:r w:rsidR="006F6B58" w:rsidRPr="0021550A">
        <w:t xml:space="preserve"> Liber Ultimus </w:t>
      </w:r>
      <w:r w:rsidR="00F23CDF">
        <w:t>are</w:t>
      </w:r>
      <w:r w:rsidR="006F6B58" w:rsidRPr="0021550A">
        <w:t xml:space="preserve"> to the rest of the text, nor do we know how similar the Liber Ultimus is to other sections of text that were written by Caxton. This section has raised </w:t>
      </w:r>
      <w:r w:rsidR="006F6B58">
        <w:t xml:space="preserve">three </w:t>
      </w:r>
      <w:r w:rsidR="006F6B58" w:rsidRPr="0021550A">
        <w:t>further research questions:</w:t>
      </w:r>
    </w:p>
    <w:p w14:paraId="3D973E7D" w14:textId="161E3753" w:rsidR="006F6B58" w:rsidRPr="0021550A" w:rsidRDefault="00453776" w:rsidP="001F6408">
      <w:pPr>
        <w:ind w:left="1260" w:hanging="540"/>
      </w:pPr>
      <w:r>
        <w:t>J</w:t>
      </w:r>
      <w:r w:rsidR="006F6B58" w:rsidRPr="0021550A">
        <w:t>:</w:t>
      </w:r>
      <w:r w:rsidR="006F6B58">
        <w:tab/>
      </w:r>
      <w:r w:rsidR="006F6B58" w:rsidRPr="0021550A">
        <w:t xml:space="preserve">Was Caxton the author of the Liber Ultimus in the </w:t>
      </w:r>
      <w:r w:rsidR="006F6B58" w:rsidRPr="0021550A">
        <w:rPr>
          <w:i/>
        </w:rPr>
        <w:t>Polychronicon</w:t>
      </w:r>
      <w:r w:rsidR="006F6B58" w:rsidRPr="0021550A">
        <w:t xml:space="preserve">? </w:t>
      </w:r>
    </w:p>
    <w:p w14:paraId="6E4505AB" w14:textId="64A74E54" w:rsidR="006F6B58" w:rsidRPr="0021550A" w:rsidRDefault="00453776" w:rsidP="001F6408">
      <w:pPr>
        <w:ind w:left="1260" w:hanging="540"/>
      </w:pPr>
      <w:r>
        <w:t>K</w:t>
      </w:r>
      <w:r w:rsidR="006F6B58">
        <w:t>:</w:t>
      </w:r>
      <w:r w:rsidR="006F6B58">
        <w:tab/>
      </w:r>
      <w:r w:rsidR="006F6B58" w:rsidRPr="0021550A">
        <w:t xml:space="preserve">Did Caxton write out the entirety of the </w:t>
      </w:r>
      <w:r w:rsidR="006F6B58" w:rsidRPr="0021550A">
        <w:rPr>
          <w:i/>
        </w:rPr>
        <w:t>Polychronicon</w:t>
      </w:r>
      <w:r w:rsidR="006F6B58" w:rsidRPr="0021550A">
        <w:t xml:space="preserve"> when preparing the text for printing?</w:t>
      </w:r>
    </w:p>
    <w:p w14:paraId="68F75D2A" w14:textId="7CA76C27" w:rsidR="006F6B58" w:rsidRDefault="00453776" w:rsidP="001F6408">
      <w:pPr>
        <w:ind w:left="1260" w:hanging="540"/>
      </w:pPr>
      <w:r>
        <w:t>L</w:t>
      </w:r>
      <w:r w:rsidR="006F6B58" w:rsidRPr="0021550A">
        <w:t>:</w:t>
      </w:r>
      <w:r w:rsidR="006F6B58">
        <w:tab/>
      </w:r>
      <w:r w:rsidR="006F6B58" w:rsidRPr="0021550A">
        <w:t xml:space="preserve">Was there a change in compositor in the </w:t>
      </w:r>
      <w:r w:rsidR="006F6B58" w:rsidRPr="0021550A">
        <w:rPr>
          <w:i/>
        </w:rPr>
        <w:t xml:space="preserve">Polychronicon </w:t>
      </w:r>
      <w:r w:rsidR="006F6B58" w:rsidRPr="0021550A">
        <w:t xml:space="preserve">at the location suggested by Hellinga </w:t>
      </w:r>
      <w:r w:rsidR="005624DB">
        <w:t>and</w:t>
      </w:r>
      <w:r w:rsidR="006F6B58" w:rsidRPr="0021550A">
        <w:t xml:space="preserve"> Painter?</w:t>
      </w:r>
    </w:p>
    <w:p w14:paraId="74BE11C3" w14:textId="1A15DF16" w:rsidR="006F6B58" w:rsidRPr="0021550A" w:rsidRDefault="006F6B58" w:rsidP="000737CB">
      <w:r w:rsidRPr="0021550A">
        <w:t>I explore these q</w:t>
      </w:r>
      <w:r w:rsidR="005624DB">
        <w:t>uestions more fully in Chapter 8 and Chapter 9.</w:t>
      </w:r>
      <w:r w:rsidRPr="0021550A">
        <w:t xml:space="preserve"> This section has shown that by using cluster analysis on the quires of the </w:t>
      </w:r>
      <w:r w:rsidRPr="0021550A">
        <w:rPr>
          <w:i/>
        </w:rPr>
        <w:t xml:space="preserve">Polychronicon </w:t>
      </w:r>
      <w:r w:rsidRPr="0021550A">
        <w:t xml:space="preserve">it is possible to distinguish between the books that comprise the whole text. These results suggest that Caxton was using a copy text that had been written by several scribes, and that his own editorial interventions had not been very great. </w:t>
      </w:r>
    </w:p>
    <w:p w14:paraId="3ABC4932" w14:textId="77777777" w:rsidR="006F6B58" w:rsidRPr="0021550A" w:rsidRDefault="006F6B58" w:rsidP="000737CB"/>
    <w:p w14:paraId="6450D79B" w14:textId="5FE56324" w:rsidR="006F6B58" w:rsidRPr="0021550A" w:rsidRDefault="006F6B58" w:rsidP="000737CB">
      <w:pPr>
        <w:pStyle w:val="Heading2"/>
      </w:pPr>
      <w:bookmarkStart w:id="217" w:name="_Toc497899874"/>
      <w:r w:rsidRPr="0021550A">
        <w:t xml:space="preserve">Chapter </w:t>
      </w:r>
      <w:bookmarkEnd w:id="217"/>
      <w:r w:rsidR="005624DB">
        <w:t>conclusions</w:t>
      </w:r>
    </w:p>
    <w:p w14:paraId="0C6C4A5A" w14:textId="7E193A2F" w:rsidR="006F6B58" w:rsidRPr="0021550A" w:rsidRDefault="006F6B58" w:rsidP="000737CB">
      <w:r w:rsidRPr="0021550A">
        <w:t>In order to find the locations of spelling change within a selection of Caxton’s texts, this study trial</w:t>
      </w:r>
      <w:r>
        <w:t>l</w:t>
      </w:r>
      <w:r w:rsidRPr="0021550A">
        <w:t>ed the use of changes in spelling variation as a method to find a change in compositor or copy text. In doing so, this study demonstrates how we can use cluster analysis to isolate the different sources of spelling variation in Caxton’s texts. This chapter began by asking three research questions:</w:t>
      </w:r>
    </w:p>
    <w:p w14:paraId="316D0788" w14:textId="4939748F" w:rsidR="006F6B58" w:rsidRPr="00BD0662" w:rsidRDefault="00453776" w:rsidP="001F6408">
      <w:pPr>
        <w:ind w:left="1170" w:hanging="450"/>
      </w:pPr>
      <w:r>
        <w:t>A</w:t>
      </w:r>
      <w:r w:rsidR="006F6B58">
        <w:t>:</w:t>
      </w:r>
      <w:r w:rsidR="006F6B58">
        <w:tab/>
      </w:r>
      <w:r w:rsidR="006F6B58" w:rsidRPr="00BD0662">
        <w:t>Can cluster analysis be used to distinguish changes in either the copy text or the compositor of a printed text?</w:t>
      </w:r>
    </w:p>
    <w:p w14:paraId="3EC6C605" w14:textId="0230D2D3" w:rsidR="006F6B58" w:rsidRPr="00BD0662" w:rsidRDefault="00453776" w:rsidP="001F6408">
      <w:pPr>
        <w:ind w:left="1170" w:hanging="450"/>
      </w:pPr>
      <w:r>
        <w:t>B</w:t>
      </w:r>
      <w:r w:rsidR="006F6B58">
        <w:t>:</w:t>
      </w:r>
      <w:r w:rsidR="006F6B58">
        <w:tab/>
      </w:r>
      <w:r w:rsidR="006F6B58" w:rsidRPr="00BD0662">
        <w:t>Which source of input has the greater amount of influence over the spellings that appear in the new text, the compositor or the copy text?</w:t>
      </w:r>
    </w:p>
    <w:p w14:paraId="6AA790F2" w14:textId="0173FB9F" w:rsidR="006F6B58" w:rsidRPr="00BD0662" w:rsidRDefault="00453776" w:rsidP="001F6408">
      <w:pPr>
        <w:ind w:left="1170" w:hanging="450"/>
      </w:pPr>
      <w:r>
        <w:t>C</w:t>
      </w:r>
      <w:r w:rsidR="006F6B58">
        <w:t>:</w:t>
      </w:r>
      <w:r w:rsidR="006F6B58">
        <w:tab/>
      </w:r>
      <w:r w:rsidR="006F6B58" w:rsidRPr="00BD0662">
        <w:t>What can we find out about the way in which Caxton’s printing house produced books using cluster analysis?</w:t>
      </w:r>
    </w:p>
    <w:p w14:paraId="6D293FE6" w14:textId="5988B3D7" w:rsidR="002D19E3" w:rsidRDefault="006F6B58" w:rsidP="000737CB">
      <w:r w:rsidRPr="0021550A">
        <w:t xml:space="preserve">In response to Research Question </w:t>
      </w:r>
      <w:r w:rsidR="006A4137">
        <w:t>A</w:t>
      </w:r>
      <w:r w:rsidRPr="0021550A">
        <w:t xml:space="preserve"> this study demonstrated that cluster analysis can be used to distinguish the locations of changes in </w:t>
      </w:r>
      <w:r w:rsidR="00AD7357">
        <w:t>orthographic idiolect</w:t>
      </w:r>
      <w:r w:rsidRPr="0021550A">
        <w:t xml:space="preserve"> within a text, and that thes</w:t>
      </w:r>
      <w:r w:rsidR="00D85BBA">
        <w:t xml:space="preserve">e changes map onto </w:t>
      </w:r>
      <w:r w:rsidRPr="0021550A">
        <w:t>change</w:t>
      </w:r>
      <w:r w:rsidR="00AD7357">
        <w:t>s</w:t>
      </w:r>
      <w:r w:rsidRPr="0021550A">
        <w:t xml:space="preserve"> in the compositor and the copy text. </w:t>
      </w:r>
      <w:r w:rsidR="00AD7357">
        <w:t xml:space="preserve">In the </w:t>
      </w:r>
      <w:r w:rsidR="00AD7357">
        <w:rPr>
          <w:i/>
        </w:rPr>
        <w:t>Golden Legend</w:t>
      </w:r>
      <w:r w:rsidR="00AD7357">
        <w:t xml:space="preserve"> </w:t>
      </w:r>
      <w:r w:rsidR="00553FED">
        <w:t xml:space="preserve">clusters of quires that were typeset by different compositors were distinguished from one another, and in the </w:t>
      </w:r>
      <w:r w:rsidR="00553FED">
        <w:rPr>
          <w:i/>
        </w:rPr>
        <w:t>Polychronicon</w:t>
      </w:r>
      <w:r w:rsidR="00553FED">
        <w:t xml:space="preserve"> it was possible to differentiate between </w:t>
      </w:r>
      <w:r w:rsidR="002D19E3">
        <w:t>different scribes who were involved in creating the copy text.</w:t>
      </w:r>
    </w:p>
    <w:p w14:paraId="45C3B3A2" w14:textId="6C6817F8" w:rsidR="001F3903" w:rsidRDefault="006F6B58" w:rsidP="000737CB">
      <w:r w:rsidRPr="0021550A">
        <w:lastRenderedPageBreak/>
        <w:t xml:space="preserve">In response to Research Question </w:t>
      </w:r>
      <w:r w:rsidR="006A4137">
        <w:t>B</w:t>
      </w:r>
      <w:r w:rsidRPr="0021550A">
        <w:t xml:space="preserve">, the source of input that has the greater amount of influence over the spellings that appear in the new text is the source that has the greater level of input. </w:t>
      </w:r>
      <w:r w:rsidR="001F3903">
        <w:t xml:space="preserve">While Section </w:t>
      </w:r>
      <w:r w:rsidR="001F3903">
        <w:fldChar w:fldCharType="begin"/>
      </w:r>
      <w:r w:rsidR="001F3903">
        <w:instrText xml:space="preserve"> REF _Ref499629608 \r </w:instrText>
      </w:r>
      <w:r w:rsidR="001F3903">
        <w:fldChar w:fldCharType="separate"/>
      </w:r>
      <w:r w:rsidR="00D11844">
        <w:t>6.3</w:t>
      </w:r>
      <w:r w:rsidR="001F3903">
        <w:fldChar w:fldCharType="end"/>
      </w:r>
      <w:r w:rsidR="001F3903">
        <w:t xml:space="preserve"> showed that the spellings used by individuals are stable, the spellings that the different compositors and scribes used are not the same as one another. When multiple people were working on a book at once, their individual sections were put together to form the finished text. Thus, in the finished text the sections that were typeset (or written in the copy text) by different people will contain the spellings of each person involved with creating that section of the book. In these books that were created by multiple people, Section </w:t>
      </w:r>
      <w:r w:rsidR="001F3903">
        <w:fldChar w:fldCharType="begin"/>
      </w:r>
      <w:r w:rsidR="001F3903">
        <w:instrText xml:space="preserve"> REF _Ref497478760 \r </w:instrText>
      </w:r>
      <w:r w:rsidR="001F3903">
        <w:fldChar w:fldCharType="separate"/>
      </w:r>
      <w:r w:rsidR="00D11844">
        <w:t>7.2</w:t>
      </w:r>
      <w:r w:rsidR="001F3903">
        <w:fldChar w:fldCharType="end"/>
      </w:r>
      <w:r w:rsidR="001F3903">
        <w:t xml:space="preserve"> showed that changes in spellings take place when a change in the person creating the text takes place.</w:t>
      </w:r>
    </w:p>
    <w:p w14:paraId="2AF86239" w14:textId="5422E69C" w:rsidR="006F6B58" w:rsidRDefault="006F6B58" w:rsidP="000737CB">
      <w:r w:rsidRPr="0021550A">
        <w:t xml:space="preserve">When copying, the compositor tends to copy around </w:t>
      </w:r>
      <w:r w:rsidR="002D19E3">
        <w:t>seventy per cent</w:t>
      </w:r>
      <w:r w:rsidRPr="0021550A">
        <w:t xml:space="preserve"> of spellings from the copy text into the new text, and makes changes to the remaining </w:t>
      </w:r>
      <w:r w:rsidR="002D19E3">
        <w:t>thirty per cent</w:t>
      </w:r>
      <w:r w:rsidRPr="0021550A">
        <w:t xml:space="preserve">. The copy text thus has the greater amount of influence over the spelling variants that appear in the new text. The greater influence of the copy text as opposed to the changes made by the compositor can be seen in the clusters of the </w:t>
      </w:r>
      <w:r w:rsidR="002D19E3">
        <w:rPr>
          <w:i/>
        </w:rPr>
        <w:t>Confessio Amantis</w:t>
      </w:r>
      <w:r w:rsidRPr="0021550A">
        <w:t xml:space="preserve">. In the case of the </w:t>
      </w:r>
      <w:r w:rsidRPr="0021550A">
        <w:rPr>
          <w:i/>
        </w:rPr>
        <w:t>Confessio Amantis</w:t>
      </w:r>
      <w:r w:rsidRPr="0021550A">
        <w:t xml:space="preserve"> both the copy text and the compositor appear to influence the spellings used on the text, but the strongest marker of divide which appears when </w:t>
      </w:r>
      <w:r w:rsidRPr="0021550A">
        <w:rPr>
          <w:i/>
        </w:rPr>
        <w:t>k</w:t>
      </w:r>
      <w:r w:rsidRPr="0021550A">
        <w:t xml:space="preserve"> = 2 maps onto a change in the manuscript used for the copy text, and the secondary divide occurs when </w:t>
      </w:r>
      <w:r w:rsidRPr="0021550A">
        <w:rPr>
          <w:i/>
        </w:rPr>
        <w:t>k</w:t>
      </w:r>
      <w:r w:rsidRPr="0021550A">
        <w:t xml:space="preserve"> = 3 and maps onto a change in compositor. </w:t>
      </w:r>
    </w:p>
    <w:p w14:paraId="5996F89C" w14:textId="706C7ABB" w:rsidR="006F6B58" w:rsidRPr="0021550A" w:rsidRDefault="006F6B58" w:rsidP="001F6408">
      <w:r w:rsidRPr="0021550A">
        <w:t xml:space="preserve">Finally, in response to Research Question </w:t>
      </w:r>
      <w:r w:rsidR="006A4137">
        <w:t>C</w:t>
      </w:r>
      <w:r w:rsidRPr="0021550A">
        <w:t xml:space="preserve"> this study has demonstrated that we can find out about the structure of the copy text used in Caxton’s printing house by clustering sections of the text based on the similarity of spelling variants. In the case of the </w:t>
      </w:r>
      <w:r w:rsidRPr="0021550A">
        <w:rPr>
          <w:i/>
        </w:rPr>
        <w:t>Polychronicon</w:t>
      </w:r>
      <w:r w:rsidRPr="0021550A">
        <w:t>, the cluster analysis divides the text into clusters that align with the books of the text</w:t>
      </w:r>
      <w:r w:rsidR="00CD1038">
        <w:t xml:space="preserve">, suggesting </w:t>
      </w:r>
      <w:r w:rsidRPr="0021550A">
        <w:t>that the manuscript used as a copy text may have been written by several scribes. It may not have been unusual for Caxton’s printing house to work with manuscripts that were put together by several scribes. In answering research questions one to three, more research questions have arisen that will be explored more thoroughly in future chapters. These are:</w:t>
      </w:r>
    </w:p>
    <w:p w14:paraId="6CB1CA91" w14:textId="0CAD38AB" w:rsidR="00CD1038" w:rsidRPr="00CD1038" w:rsidRDefault="00453776" w:rsidP="00CD1038">
      <w:pPr>
        <w:ind w:left="1260" w:hanging="540"/>
      </w:pPr>
      <w:r>
        <w:t>D</w:t>
      </w:r>
      <w:r w:rsidR="00CD1038" w:rsidRPr="00CD1038">
        <w:t>:</w:t>
      </w:r>
      <w:r w:rsidR="00CD1038" w:rsidRPr="00CD1038">
        <w:tab/>
        <w:t xml:space="preserve">What is the source of the change in spelling variants in Caxton’s first edition of the </w:t>
      </w:r>
      <w:r w:rsidR="00CD1038" w:rsidRPr="00CD1038">
        <w:rPr>
          <w:i/>
        </w:rPr>
        <w:t>Canterbury Tales</w:t>
      </w:r>
      <w:r w:rsidR="00CD1038" w:rsidRPr="00CD1038">
        <w:t>?</w:t>
      </w:r>
    </w:p>
    <w:p w14:paraId="7BB4FB88" w14:textId="6C63BEC7" w:rsidR="00CD1038" w:rsidRPr="00CD1038" w:rsidRDefault="00453776" w:rsidP="00CD1038">
      <w:pPr>
        <w:ind w:left="1260" w:hanging="540"/>
      </w:pPr>
      <w:r>
        <w:t>E</w:t>
      </w:r>
      <w:r w:rsidR="00CD1038" w:rsidRPr="00CD1038">
        <w:t xml:space="preserve">: what is the source of the change in spelling variants in the </w:t>
      </w:r>
      <w:r w:rsidR="00CD1038" w:rsidRPr="00CD1038">
        <w:rPr>
          <w:i/>
        </w:rPr>
        <w:t>Book of Good Manners</w:t>
      </w:r>
      <w:r w:rsidR="00CD1038" w:rsidRPr="00CD1038">
        <w:t>?</w:t>
      </w:r>
    </w:p>
    <w:p w14:paraId="69228F1C" w14:textId="499ABD25" w:rsidR="00CD1038" w:rsidRPr="00CD1038" w:rsidRDefault="00453776" w:rsidP="00CD1038">
      <w:pPr>
        <w:ind w:left="1260" w:hanging="540"/>
      </w:pPr>
      <w:r>
        <w:t>F</w:t>
      </w:r>
      <w:r w:rsidR="00CD1038" w:rsidRPr="00CD1038">
        <w:t>:</w:t>
      </w:r>
      <w:r w:rsidR="00CD1038" w:rsidRPr="00CD1038">
        <w:tab/>
        <w:t xml:space="preserve">Are the differences between Cluster 3a and 3b and Cluster 5 in the </w:t>
      </w:r>
      <w:r w:rsidR="00CD1038" w:rsidRPr="00CD1038">
        <w:rPr>
          <w:i/>
        </w:rPr>
        <w:t>Golden Legend</w:t>
      </w:r>
      <w:r w:rsidR="00CD1038" w:rsidRPr="00CD1038">
        <w:t xml:space="preserve"> caused by a change in compositor? </w:t>
      </w:r>
    </w:p>
    <w:p w14:paraId="6DD90501" w14:textId="50572129" w:rsidR="00CD1038" w:rsidRPr="00CD1038" w:rsidRDefault="00453776" w:rsidP="00CD1038">
      <w:pPr>
        <w:ind w:left="1260" w:hanging="540"/>
      </w:pPr>
      <w:r>
        <w:t>G</w:t>
      </w:r>
      <w:r w:rsidR="00CD1038" w:rsidRPr="00CD1038">
        <w:t>:</w:t>
      </w:r>
      <w:r w:rsidR="00CD1038" w:rsidRPr="00CD1038">
        <w:tab/>
        <w:t>Are the quires in Cluster 3a and Cluster 3b typeset by the same compositor?</w:t>
      </w:r>
    </w:p>
    <w:p w14:paraId="39A1DD6B" w14:textId="39A0113D" w:rsidR="00CD1038" w:rsidRPr="00CD1038" w:rsidRDefault="00453776" w:rsidP="00CD1038">
      <w:pPr>
        <w:ind w:left="1260" w:hanging="540"/>
        <w:rPr>
          <w:i/>
        </w:rPr>
      </w:pPr>
      <w:r>
        <w:t>H</w:t>
      </w:r>
      <w:r w:rsidR="00CD1038" w:rsidRPr="00CD1038">
        <w:t>:</w:t>
      </w:r>
      <w:r w:rsidR="00CD1038" w:rsidRPr="00CD1038">
        <w:tab/>
        <w:t xml:space="preserve">To what extent did Caxton copy sections of his edition of the </w:t>
      </w:r>
      <w:r w:rsidR="00CD1038" w:rsidRPr="00CD1038">
        <w:rPr>
          <w:i/>
        </w:rPr>
        <w:t>Golden Legend</w:t>
      </w:r>
      <w:r w:rsidR="00CD1038" w:rsidRPr="00CD1038">
        <w:t xml:space="preserve"> from the English </w:t>
      </w:r>
      <w:r w:rsidR="00CD1038" w:rsidRPr="00CD1038">
        <w:rPr>
          <w:i/>
        </w:rPr>
        <w:t>Gilte Legende?</w:t>
      </w:r>
    </w:p>
    <w:p w14:paraId="11B814A3" w14:textId="4CC227DA" w:rsidR="00CD1038" w:rsidRPr="00CD1038" w:rsidRDefault="00453776" w:rsidP="00CD1038">
      <w:pPr>
        <w:ind w:left="1260" w:hanging="540"/>
      </w:pPr>
      <w:r>
        <w:lastRenderedPageBreak/>
        <w:t>I</w:t>
      </w:r>
      <w:r w:rsidR="00CD1038" w:rsidRPr="00CD1038">
        <w:t>:</w:t>
      </w:r>
      <w:r w:rsidR="00CD1038" w:rsidRPr="00CD1038">
        <w:tab/>
        <w:t xml:space="preserve">Are the differences between Cluster 1 and Cluster 2 in the </w:t>
      </w:r>
      <w:r w:rsidR="00CD1038" w:rsidRPr="00CD1038">
        <w:rPr>
          <w:i/>
        </w:rPr>
        <w:t>Golden Legend</w:t>
      </w:r>
      <w:r w:rsidR="00CD1038" w:rsidRPr="00CD1038">
        <w:t xml:space="preserve"> caused by Caxton’s editing practices?</w:t>
      </w:r>
    </w:p>
    <w:p w14:paraId="5DFC5E9F" w14:textId="4F7FB61A" w:rsidR="00CD1038" w:rsidRPr="00CD1038" w:rsidRDefault="00453776" w:rsidP="00CD1038">
      <w:pPr>
        <w:ind w:left="1260" w:hanging="540"/>
      </w:pPr>
      <w:r>
        <w:t>J</w:t>
      </w:r>
      <w:r w:rsidR="00CD1038" w:rsidRPr="00CD1038">
        <w:t>:</w:t>
      </w:r>
      <w:r w:rsidR="00CD1038" w:rsidRPr="00CD1038">
        <w:tab/>
        <w:t xml:space="preserve">Was Caxton the author of the Liber Ultimus in the </w:t>
      </w:r>
      <w:r w:rsidR="00CD1038" w:rsidRPr="00CD1038">
        <w:rPr>
          <w:i/>
        </w:rPr>
        <w:t>Polychronicon</w:t>
      </w:r>
      <w:r w:rsidR="00CD1038" w:rsidRPr="00CD1038">
        <w:t xml:space="preserve">? </w:t>
      </w:r>
    </w:p>
    <w:p w14:paraId="35C6D673" w14:textId="7179F077" w:rsidR="00CD1038" w:rsidRPr="00CD1038" w:rsidRDefault="00453776" w:rsidP="00CD1038">
      <w:pPr>
        <w:ind w:left="1260" w:hanging="540"/>
      </w:pPr>
      <w:r>
        <w:t>K</w:t>
      </w:r>
      <w:r w:rsidR="00CD1038" w:rsidRPr="00CD1038">
        <w:t>:</w:t>
      </w:r>
      <w:r w:rsidR="00CD1038" w:rsidRPr="00CD1038">
        <w:tab/>
        <w:t xml:space="preserve">Did Caxton write out the entirety of the </w:t>
      </w:r>
      <w:r w:rsidR="00CD1038" w:rsidRPr="00CD1038">
        <w:rPr>
          <w:i/>
        </w:rPr>
        <w:t>Polychronicon</w:t>
      </w:r>
      <w:r w:rsidR="00CD1038" w:rsidRPr="00CD1038">
        <w:t xml:space="preserve"> when preparing the text for printing?</w:t>
      </w:r>
    </w:p>
    <w:p w14:paraId="281DC7B4" w14:textId="6E0AEA15" w:rsidR="00CD1038" w:rsidRPr="00CD1038" w:rsidRDefault="00453776" w:rsidP="00CD1038">
      <w:pPr>
        <w:ind w:left="1260" w:hanging="540"/>
      </w:pPr>
      <w:r>
        <w:t>L</w:t>
      </w:r>
      <w:r w:rsidR="00CD1038" w:rsidRPr="00CD1038">
        <w:t>:</w:t>
      </w:r>
      <w:r w:rsidR="00CD1038" w:rsidRPr="00CD1038">
        <w:tab/>
        <w:t xml:space="preserve">Was there a change in compositor in the </w:t>
      </w:r>
      <w:r w:rsidR="00CD1038" w:rsidRPr="00CD1038">
        <w:rPr>
          <w:i/>
        </w:rPr>
        <w:t xml:space="preserve">Polychronicon </w:t>
      </w:r>
      <w:r w:rsidR="00CD1038" w:rsidRPr="00CD1038">
        <w:t>at the location suggested by Hellinga and Painter?</w:t>
      </w:r>
    </w:p>
    <w:p w14:paraId="781193AC" w14:textId="1DC0C276" w:rsidR="006F6B58" w:rsidRPr="0021550A" w:rsidRDefault="001F3903" w:rsidP="001F3903">
      <w:r>
        <w:t>This chapter has applied the cluster analysis that was developed at tested in Section Two to some of Caxton’s texts. The</w:t>
      </w:r>
      <w:r w:rsidR="006F6B58" w:rsidRPr="0021550A">
        <w:t xml:space="preserve"> next chapter </w:t>
      </w:r>
      <w:r>
        <w:t>applies the use of similarity testing to Caxton’s texts and explores some of the research qu</w:t>
      </w:r>
      <w:r w:rsidR="00D85BBA">
        <w:t>estions raised in this chapter.</w:t>
      </w:r>
    </w:p>
    <w:p w14:paraId="65A629C8" w14:textId="77777777" w:rsidR="00E13B92" w:rsidRDefault="00E13B92" w:rsidP="000737CB"/>
    <w:p w14:paraId="3002C6D6" w14:textId="77777777" w:rsidR="00E13B92" w:rsidRDefault="00E13B92" w:rsidP="000737CB">
      <w:r>
        <w:br w:type="page"/>
      </w:r>
    </w:p>
    <w:p w14:paraId="7E5E7ECA" w14:textId="18F13B1F" w:rsidR="00E13B92" w:rsidRDefault="00C54C4D" w:rsidP="00173DDA">
      <w:pPr>
        <w:pStyle w:val="Heading1"/>
      </w:pPr>
      <w:r>
        <w:lastRenderedPageBreak/>
        <w:t>Similar spellings in Caxton’s texts</w:t>
      </w:r>
    </w:p>
    <w:p w14:paraId="617BE7B7" w14:textId="1E294BE0" w:rsidR="00E151C7" w:rsidRPr="0021550A" w:rsidRDefault="0023467B" w:rsidP="00E151C7">
      <w:r>
        <w:t>This chapter explores the extent to which spellings in different sections of the same text are similar to one another. Through the use of similarity testing, t</w:t>
      </w:r>
      <w:r w:rsidR="00795860">
        <w:t xml:space="preserve">his chapter focuses on </w:t>
      </w:r>
      <w:r w:rsidR="00C50C39">
        <w:t>differentiating</w:t>
      </w:r>
      <w:r w:rsidR="00795860">
        <w:t xml:space="preserve"> between compositors who typeset Caxton’s texts concurrently with one another. </w:t>
      </w:r>
      <w:r w:rsidR="00E151C7" w:rsidRPr="0021550A">
        <w:t xml:space="preserve">In </w:t>
      </w:r>
      <w:r>
        <w:t>investigating</w:t>
      </w:r>
      <w:r w:rsidR="00E151C7" w:rsidRPr="0021550A">
        <w:t xml:space="preserve"> this question, I look broadly at the overall similarity of the spelling systems that compositors use when setting the type for a new text, and also look at the difference in spellings used by different compositors. </w:t>
      </w:r>
    </w:p>
    <w:p w14:paraId="5B1D8BB1" w14:textId="3F219DCD" w:rsidR="00E151C7" w:rsidRDefault="00134923" w:rsidP="00427B91">
      <w:r w:rsidRPr="0021550A">
        <w:t xml:space="preserve">In undertaking this study, I use the cosine measure in two ways: </w:t>
      </w:r>
      <w:r w:rsidR="00955423">
        <w:t xml:space="preserve">first, I expand on the case study that was undertaken in Section </w:t>
      </w:r>
      <w:r w:rsidR="00955423">
        <w:fldChar w:fldCharType="begin"/>
      </w:r>
      <w:r w:rsidR="00955423">
        <w:instrText xml:space="preserve"> REF _Ref499629608 \r </w:instrText>
      </w:r>
      <w:r w:rsidR="00955423">
        <w:fldChar w:fldCharType="separate"/>
      </w:r>
      <w:r w:rsidR="00D11844">
        <w:t>6.3</w:t>
      </w:r>
      <w:r w:rsidR="00955423">
        <w:fldChar w:fldCharType="end"/>
      </w:r>
      <w:r w:rsidR="00955423">
        <w:t xml:space="preserve"> which showed that the compositor who typeset Caxton’s first edition of </w:t>
      </w:r>
      <w:r w:rsidR="00955423">
        <w:rPr>
          <w:i/>
        </w:rPr>
        <w:t>Reynard the Fox</w:t>
      </w:r>
      <w:r w:rsidR="00955423">
        <w:t xml:space="preserve"> and the scribe who wrote the copy text both used a stable set of spellings in their work—that is, they </w:t>
      </w:r>
      <w:r w:rsidR="00507DE5">
        <w:t>each used one set of</w:t>
      </w:r>
      <w:r w:rsidR="00955423">
        <w:t xml:space="preserve"> spellings and the same ratios of spellings throughout their copying (though these spellings were not necessarily the same as one another). This research expands on the </w:t>
      </w:r>
      <w:r w:rsidR="00955423">
        <w:rPr>
          <w:i/>
        </w:rPr>
        <w:t>Reynard the Fox</w:t>
      </w:r>
      <w:r w:rsidR="00955423">
        <w:t xml:space="preserve"> study to show more widely how similar the spellings are within texts that were typeset by one compositor and used a copy text that was written by one scribe, in order to create a baseline measure (Section </w:t>
      </w:r>
      <w:r w:rsidR="00955423">
        <w:fldChar w:fldCharType="begin"/>
      </w:r>
      <w:r w:rsidR="00955423">
        <w:instrText xml:space="preserve"> REF _Ref498622569 \r </w:instrText>
      </w:r>
      <w:r w:rsidR="00955423">
        <w:fldChar w:fldCharType="separate"/>
      </w:r>
      <w:r w:rsidR="00D11844">
        <w:t>8.1</w:t>
      </w:r>
      <w:r w:rsidR="00955423">
        <w:fldChar w:fldCharType="end"/>
      </w:r>
      <w:r w:rsidR="00955423">
        <w:t xml:space="preserve">). </w:t>
      </w:r>
      <w:r w:rsidR="007D783C">
        <w:t>Second, this research makes use of similarity testing to explore the spellings</w:t>
      </w:r>
      <w:r w:rsidR="00427B91">
        <w:t xml:space="preserve"> used by different compositors. I</w:t>
      </w:r>
      <w:r w:rsidR="007D783C">
        <w:t xml:space="preserve">n Section </w:t>
      </w:r>
      <w:r w:rsidR="007D783C">
        <w:fldChar w:fldCharType="begin"/>
      </w:r>
      <w:r w:rsidR="007D783C">
        <w:instrText xml:space="preserve"> REF _Ref499624231 \r </w:instrText>
      </w:r>
      <w:r w:rsidR="007D783C">
        <w:fldChar w:fldCharType="separate"/>
      </w:r>
      <w:r w:rsidR="00D11844">
        <w:t>8.2</w:t>
      </w:r>
      <w:r w:rsidR="007D783C">
        <w:fldChar w:fldCharType="end"/>
      </w:r>
      <w:r w:rsidR="007D783C">
        <w:t xml:space="preserve"> I use Caxton’s second edition of the </w:t>
      </w:r>
      <w:r w:rsidR="007D783C">
        <w:rPr>
          <w:i/>
        </w:rPr>
        <w:t>Canterbury Tales</w:t>
      </w:r>
      <w:r w:rsidR="007D783C">
        <w:t xml:space="preserve"> </w:t>
      </w:r>
      <w:r w:rsidR="00427B91">
        <w:t xml:space="preserve">as a case study to show how similarity testing can be used to quantify the difference in the spellings used by compositors. Finally, Section </w:t>
      </w:r>
      <w:r w:rsidR="00427B91">
        <w:fldChar w:fldCharType="begin"/>
      </w:r>
      <w:r w:rsidR="00427B91">
        <w:instrText xml:space="preserve"> REF _Ref497394504 \r </w:instrText>
      </w:r>
      <w:r w:rsidR="00427B91">
        <w:fldChar w:fldCharType="separate"/>
      </w:r>
      <w:r w:rsidR="00D11844">
        <w:t>8.3</w:t>
      </w:r>
      <w:r w:rsidR="00427B91">
        <w:fldChar w:fldCharType="end"/>
      </w:r>
      <w:r w:rsidR="00427B91">
        <w:t xml:space="preserve"> </w:t>
      </w:r>
      <w:r w:rsidR="00955423">
        <w:t xml:space="preserve">explores some of the research questions that arose from the previous chapter in order to further our knowledge of the compositors who worked on Caxton’s first edition of the </w:t>
      </w:r>
      <w:r w:rsidR="00955423">
        <w:rPr>
          <w:i/>
        </w:rPr>
        <w:t>Canterbury Tales</w:t>
      </w:r>
      <w:r w:rsidR="00955423">
        <w:t xml:space="preserve">, the </w:t>
      </w:r>
      <w:r w:rsidR="00955423">
        <w:rPr>
          <w:i/>
        </w:rPr>
        <w:t>Golden Legend</w:t>
      </w:r>
      <w:r w:rsidR="00955423">
        <w:t xml:space="preserve">, and the </w:t>
      </w:r>
      <w:r w:rsidR="00955423">
        <w:rPr>
          <w:i/>
        </w:rPr>
        <w:t>Polychronicon</w:t>
      </w:r>
      <w:r w:rsidR="00955423">
        <w:t xml:space="preserve">. </w:t>
      </w:r>
      <w:r w:rsidR="00E151C7" w:rsidRPr="00E151C7">
        <w:t>In resolving these research questions, I show how similarity measures can be used as a tool to resolve issues where there is conflicting bibliographical and cluster analysis evidence.</w:t>
      </w:r>
    </w:p>
    <w:p w14:paraId="59DF2C6C" w14:textId="77777777" w:rsidR="00BF5A02" w:rsidRPr="0021550A" w:rsidRDefault="00BF5A02" w:rsidP="00BF5A02"/>
    <w:p w14:paraId="715FB8FC" w14:textId="1B3F1DCD" w:rsidR="006B7289" w:rsidRPr="0021550A" w:rsidRDefault="006B7289" w:rsidP="0023467B">
      <w:pPr>
        <w:pStyle w:val="Heading2"/>
      </w:pPr>
      <w:bookmarkStart w:id="218" w:name="_Ref498622569"/>
      <w:r w:rsidRPr="0021550A">
        <w:t>Stability of spelling variants</w:t>
      </w:r>
      <w:bookmarkEnd w:id="218"/>
    </w:p>
    <w:p w14:paraId="2DE3204E" w14:textId="367B63AF" w:rsidR="00427B91" w:rsidRPr="00427B91" w:rsidRDefault="00427B91" w:rsidP="00427B91">
      <w:r>
        <w:t xml:space="preserve">In the study into </w:t>
      </w:r>
      <w:r>
        <w:rPr>
          <w:i/>
        </w:rPr>
        <w:t>Reynard the Fox</w:t>
      </w:r>
      <w:r>
        <w:t xml:space="preserve"> undertaken in Section </w:t>
      </w:r>
      <w:r>
        <w:fldChar w:fldCharType="begin"/>
      </w:r>
      <w:r>
        <w:instrText xml:space="preserve"> REF _Ref499629608 \r </w:instrText>
      </w:r>
      <w:r>
        <w:fldChar w:fldCharType="separate"/>
      </w:r>
      <w:r w:rsidR="00D11844">
        <w:t>6.3</w:t>
      </w:r>
      <w:r>
        <w:fldChar w:fldCharType="end"/>
      </w:r>
      <w:r>
        <w:t xml:space="preserve">, I showed that the mean similarity for the text was 0.91. This high score coupled with the low </w:t>
      </w:r>
      <w:r w:rsidR="001E2BBE">
        <w:t>standard deviation</w:t>
      </w:r>
      <w:r>
        <w:t xml:space="preserve"> suggests that the spellings used throug</w:t>
      </w:r>
      <w:r w:rsidR="001E2BBE">
        <w:t xml:space="preserve">hout the text are very similar. This section expands the testing of texts that were typeset by one compositor and used a copy text that is not known to have any change in idiolect within it, in order to find out generally how stable the idiolects are that are used by Caxton’s compositors and the scribes who wrote the copy text. </w:t>
      </w:r>
    </w:p>
    <w:p w14:paraId="3FE7EB9A" w14:textId="69C38EAD" w:rsidR="001E2BBE" w:rsidRPr="000A01E5" w:rsidRDefault="006B7289" w:rsidP="00427B91">
      <w:r w:rsidRPr="0021550A">
        <w:t xml:space="preserve">When we expand the similarity measurements into the wider Caxton dataset, we find that other texts that were typeset by one compositor have a similarity score of around </w:t>
      </w:r>
      <w:r w:rsidRPr="0021550A">
        <w:lastRenderedPageBreak/>
        <w:t xml:space="preserve">0.9. The similarity scores for other texts that were typeset by one compositor are presented in </w:t>
      </w:r>
      <w:r w:rsidR="00E12429">
        <w:fldChar w:fldCharType="begin"/>
      </w:r>
      <w:r w:rsidR="00E12429">
        <w:instrText xml:space="preserve"> REF _Ref491958235 </w:instrText>
      </w:r>
      <w:r w:rsidR="00E12429">
        <w:fldChar w:fldCharType="separate"/>
      </w:r>
      <w:r w:rsidR="00D11844" w:rsidRPr="0021550A">
        <w:t xml:space="preserve">Table </w:t>
      </w:r>
      <w:r w:rsidR="00D11844">
        <w:rPr>
          <w:noProof/>
        </w:rPr>
        <w:t>8</w:t>
      </w:r>
      <w:r w:rsidR="00D11844">
        <w:t>.</w:t>
      </w:r>
      <w:r w:rsidR="00D11844">
        <w:rPr>
          <w:noProof/>
        </w:rPr>
        <w:t>1</w:t>
      </w:r>
      <w:r w:rsidR="00E12429">
        <w:rPr>
          <w:noProof/>
        </w:rPr>
        <w:fldChar w:fldCharType="end"/>
      </w:r>
      <w:r w:rsidRPr="0021550A">
        <w:t xml:space="preserve">. </w:t>
      </w:r>
      <w:r w:rsidR="001E2BBE">
        <w:t xml:space="preserve">The </w:t>
      </w:r>
      <w:r w:rsidR="001E2BBE">
        <w:rPr>
          <w:i/>
        </w:rPr>
        <w:t>Book of Good Manners</w:t>
      </w:r>
      <w:r w:rsidR="001E2BBE">
        <w:t xml:space="preserve"> is also included in this table. Up until the cluster analysis undertaken on the text in Section </w:t>
      </w:r>
      <w:r w:rsidR="001E2BBE">
        <w:fldChar w:fldCharType="begin"/>
      </w:r>
      <w:r w:rsidR="001E2BBE">
        <w:instrText xml:space="preserve"> REF _Ref498675067 \r </w:instrText>
      </w:r>
      <w:r w:rsidR="001E2BBE">
        <w:fldChar w:fldCharType="separate"/>
      </w:r>
      <w:r w:rsidR="00D11844">
        <w:t>7.3</w:t>
      </w:r>
      <w:r w:rsidR="001E2BBE">
        <w:fldChar w:fldCharType="end"/>
      </w:r>
      <w:r w:rsidR="001E2BBE">
        <w:t xml:space="preserve">, we would have expected the </w:t>
      </w:r>
      <w:r w:rsidR="00507DE5">
        <w:rPr>
          <w:i/>
        </w:rPr>
        <w:t>Book of Good Manners</w:t>
      </w:r>
      <w:r w:rsidR="001E2BBE">
        <w:t xml:space="preserve"> to include </w:t>
      </w:r>
      <w:r w:rsidR="00507DE5">
        <w:t xml:space="preserve">only </w:t>
      </w:r>
      <w:r w:rsidR="001E2BBE">
        <w:t>one orthographic idiolect</w:t>
      </w:r>
      <w:r w:rsidR="000A01E5">
        <w:t xml:space="preserve"> each at the layer of the copy text and the compositor. The copy text was created by Caxton himself because he translated the text, and the text is short, so we would only expect one compositor to have typeset it. However, the cluster analysis in Section </w:t>
      </w:r>
      <w:r w:rsidR="000A01E5">
        <w:fldChar w:fldCharType="begin"/>
      </w:r>
      <w:r w:rsidR="000A01E5">
        <w:instrText xml:space="preserve"> REF _Ref498675067 \r </w:instrText>
      </w:r>
      <w:r w:rsidR="000A01E5">
        <w:fldChar w:fldCharType="separate"/>
      </w:r>
      <w:r w:rsidR="00D11844">
        <w:t>7.3</w:t>
      </w:r>
      <w:r w:rsidR="000A01E5">
        <w:fldChar w:fldCharType="end"/>
      </w:r>
      <w:r w:rsidR="000A01E5">
        <w:t xml:space="preserve"> showed that there are two orthographic idiolects present in the text. In </w:t>
      </w:r>
      <w:r w:rsidR="000A01E5">
        <w:fldChar w:fldCharType="begin"/>
      </w:r>
      <w:r w:rsidR="000A01E5">
        <w:instrText xml:space="preserve"> REF _Ref491958235 </w:instrText>
      </w:r>
      <w:r w:rsidR="000A01E5">
        <w:fldChar w:fldCharType="separate"/>
      </w:r>
      <w:r w:rsidR="00D11844" w:rsidRPr="0021550A">
        <w:t xml:space="preserve">Table </w:t>
      </w:r>
      <w:r w:rsidR="00D11844">
        <w:rPr>
          <w:noProof/>
        </w:rPr>
        <w:t>8</w:t>
      </w:r>
      <w:r w:rsidR="00D11844">
        <w:t>.</w:t>
      </w:r>
      <w:r w:rsidR="00D11844">
        <w:rPr>
          <w:noProof/>
        </w:rPr>
        <w:t>1</w:t>
      </w:r>
      <w:r w:rsidR="000A01E5">
        <w:rPr>
          <w:noProof/>
        </w:rPr>
        <w:fldChar w:fldCharType="end"/>
      </w:r>
      <w:r w:rsidR="000A01E5">
        <w:rPr>
          <w:noProof/>
        </w:rPr>
        <w:t xml:space="preserve"> the similarity score for the </w:t>
      </w:r>
      <w:r w:rsidR="000A01E5">
        <w:rPr>
          <w:i/>
          <w:noProof/>
        </w:rPr>
        <w:t>Book of Good Manners</w:t>
      </w:r>
      <w:r w:rsidR="000A01E5">
        <w:rPr>
          <w:noProof/>
        </w:rPr>
        <w:t xml:space="preserve"> is provided for comparison. </w:t>
      </w:r>
    </w:p>
    <w:p w14:paraId="6067963C" w14:textId="77777777" w:rsidR="006B7289" w:rsidRPr="0021550A" w:rsidRDefault="006B7289" w:rsidP="000737CB"/>
    <w:tbl>
      <w:tblPr>
        <w:tblStyle w:val="GridTable1Light1"/>
        <w:tblW w:w="4945" w:type="dxa"/>
        <w:tblCellMar>
          <w:left w:w="115" w:type="dxa"/>
          <w:right w:w="115" w:type="dxa"/>
        </w:tblCellMar>
        <w:tblLook w:val="04A0" w:firstRow="1" w:lastRow="0" w:firstColumn="1" w:lastColumn="0" w:noHBand="0" w:noVBand="1"/>
      </w:tblPr>
      <w:tblGrid>
        <w:gridCol w:w="2785"/>
        <w:gridCol w:w="2160"/>
      </w:tblGrid>
      <w:tr w:rsidR="006B7289" w:rsidRPr="0021550A" w14:paraId="6648165F" w14:textId="77777777" w:rsidTr="000A01E5">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785" w:type="dxa"/>
            <w:noWrap/>
            <w:vAlign w:val="bottom"/>
          </w:tcPr>
          <w:p w14:paraId="00FB58B6" w14:textId="77777777" w:rsidR="006B7289" w:rsidRPr="0021550A" w:rsidRDefault="006B7289" w:rsidP="00C54C4D">
            <w:pPr>
              <w:ind w:hanging="7"/>
              <w:jc w:val="center"/>
            </w:pPr>
            <w:r w:rsidRPr="0021550A">
              <w:t>Text</w:t>
            </w:r>
          </w:p>
        </w:tc>
        <w:tc>
          <w:tcPr>
            <w:tcW w:w="2160" w:type="dxa"/>
            <w:noWrap/>
            <w:vAlign w:val="bottom"/>
          </w:tcPr>
          <w:p w14:paraId="4586FA96" w14:textId="77777777" w:rsidR="006B7289" w:rsidRPr="0021550A" w:rsidRDefault="006B7289" w:rsidP="00C54C4D">
            <w:pPr>
              <w:ind w:hanging="7"/>
              <w:jc w:val="center"/>
              <w:cnfStyle w:val="100000000000" w:firstRow="1" w:lastRow="0" w:firstColumn="0" w:lastColumn="0" w:oddVBand="0" w:evenVBand="0" w:oddHBand="0" w:evenHBand="0" w:firstRowFirstColumn="0" w:firstRowLastColumn="0" w:lastRowFirstColumn="0" w:lastRowLastColumn="0"/>
            </w:pPr>
            <w:r w:rsidRPr="0021550A">
              <w:t>Similarity score</w:t>
            </w:r>
          </w:p>
        </w:tc>
      </w:tr>
      <w:tr w:rsidR="006B7289" w:rsidRPr="0021550A" w14:paraId="712DF16A" w14:textId="77777777" w:rsidTr="000A01E5">
        <w:trPr>
          <w:trHeight w:val="348"/>
        </w:trPr>
        <w:tc>
          <w:tcPr>
            <w:cnfStyle w:val="001000000000" w:firstRow="0" w:lastRow="0" w:firstColumn="1" w:lastColumn="0" w:oddVBand="0" w:evenVBand="0" w:oddHBand="0" w:evenHBand="0" w:firstRowFirstColumn="0" w:firstRowLastColumn="0" w:lastRowFirstColumn="0" w:lastRowLastColumn="0"/>
            <w:tcW w:w="2785" w:type="dxa"/>
            <w:noWrap/>
            <w:vAlign w:val="bottom"/>
            <w:hideMark/>
          </w:tcPr>
          <w:p w14:paraId="768F238F" w14:textId="77777777" w:rsidR="006B7289" w:rsidRPr="00C54C4D" w:rsidRDefault="006B7289" w:rsidP="00C54C4D">
            <w:pPr>
              <w:ind w:hanging="7"/>
              <w:jc w:val="center"/>
              <w:rPr>
                <w:b w:val="0"/>
              </w:rPr>
            </w:pPr>
            <w:r w:rsidRPr="00C54C4D">
              <w:rPr>
                <w:b w:val="0"/>
              </w:rPr>
              <w:t>Book of Good Manners</w:t>
            </w:r>
          </w:p>
        </w:tc>
        <w:tc>
          <w:tcPr>
            <w:tcW w:w="2160" w:type="dxa"/>
            <w:noWrap/>
            <w:vAlign w:val="bottom"/>
            <w:hideMark/>
          </w:tcPr>
          <w:p w14:paraId="6C54181D" w14:textId="77777777" w:rsidR="006B7289" w:rsidRPr="0021550A" w:rsidRDefault="006B7289" w:rsidP="00C54C4D">
            <w:pPr>
              <w:ind w:hanging="7"/>
              <w:jc w:val="center"/>
              <w:cnfStyle w:val="000000000000" w:firstRow="0" w:lastRow="0" w:firstColumn="0" w:lastColumn="0" w:oddVBand="0" w:evenVBand="0" w:oddHBand="0" w:evenHBand="0" w:firstRowFirstColumn="0" w:firstRowLastColumn="0" w:lastRowFirstColumn="0" w:lastRowLastColumn="0"/>
            </w:pPr>
            <w:r w:rsidRPr="0021550A">
              <w:t>0.81</w:t>
            </w:r>
          </w:p>
        </w:tc>
      </w:tr>
      <w:tr w:rsidR="006B7289" w:rsidRPr="0021550A" w14:paraId="3C9C8C4C" w14:textId="77777777" w:rsidTr="000A01E5">
        <w:trPr>
          <w:trHeight w:val="386"/>
        </w:trPr>
        <w:tc>
          <w:tcPr>
            <w:cnfStyle w:val="001000000000" w:firstRow="0" w:lastRow="0" w:firstColumn="1" w:lastColumn="0" w:oddVBand="0" w:evenVBand="0" w:oddHBand="0" w:evenHBand="0" w:firstRowFirstColumn="0" w:firstRowLastColumn="0" w:lastRowFirstColumn="0" w:lastRowLastColumn="0"/>
            <w:tcW w:w="2785" w:type="dxa"/>
            <w:noWrap/>
            <w:vAlign w:val="bottom"/>
            <w:hideMark/>
          </w:tcPr>
          <w:p w14:paraId="0A936A78" w14:textId="77777777" w:rsidR="006B7289" w:rsidRPr="00C54C4D" w:rsidRDefault="006B7289" w:rsidP="00C54C4D">
            <w:pPr>
              <w:ind w:hanging="7"/>
              <w:jc w:val="center"/>
              <w:rPr>
                <w:b w:val="0"/>
              </w:rPr>
            </w:pPr>
            <w:r w:rsidRPr="00C54C4D">
              <w:rPr>
                <w:b w:val="0"/>
              </w:rPr>
              <w:t>Game of Chess</w:t>
            </w:r>
          </w:p>
        </w:tc>
        <w:tc>
          <w:tcPr>
            <w:tcW w:w="2160" w:type="dxa"/>
            <w:noWrap/>
            <w:vAlign w:val="bottom"/>
            <w:hideMark/>
          </w:tcPr>
          <w:p w14:paraId="546833EA" w14:textId="77777777" w:rsidR="006B7289" w:rsidRPr="0021550A" w:rsidRDefault="006B7289" w:rsidP="00C54C4D">
            <w:pPr>
              <w:ind w:hanging="7"/>
              <w:jc w:val="center"/>
              <w:cnfStyle w:val="000000000000" w:firstRow="0" w:lastRow="0" w:firstColumn="0" w:lastColumn="0" w:oddVBand="0" w:evenVBand="0" w:oddHBand="0" w:evenHBand="0" w:firstRowFirstColumn="0" w:firstRowLastColumn="0" w:lastRowFirstColumn="0" w:lastRowLastColumn="0"/>
            </w:pPr>
            <w:r w:rsidRPr="0021550A">
              <w:t>0.90</w:t>
            </w:r>
          </w:p>
        </w:tc>
      </w:tr>
      <w:tr w:rsidR="006B7289" w:rsidRPr="0021550A" w14:paraId="4C42946A" w14:textId="77777777" w:rsidTr="000A01E5">
        <w:trPr>
          <w:trHeight w:val="404"/>
        </w:trPr>
        <w:tc>
          <w:tcPr>
            <w:cnfStyle w:val="001000000000" w:firstRow="0" w:lastRow="0" w:firstColumn="1" w:lastColumn="0" w:oddVBand="0" w:evenVBand="0" w:oddHBand="0" w:evenHBand="0" w:firstRowFirstColumn="0" w:firstRowLastColumn="0" w:lastRowFirstColumn="0" w:lastRowLastColumn="0"/>
            <w:tcW w:w="2785" w:type="dxa"/>
            <w:noWrap/>
            <w:vAlign w:val="bottom"/>
            <w:hideMark/>
          </w:tcPr>
          <w:p w14:paraId="5CBF15DA" w14:textId="77777777" w:rsidR="006B7289" w:rsidRPr="00C54C4D" w:rsidRDefault="006B7289" w:rsidP="00C54C4D">
            <w:pPr>
              <w:ind w:hanging="7"/>
              <w:jc w:val="center"/>
              <w:rPr>
                <w:b w:val="0"/>
              </w:rPr>
            </w:pPr>
            <w:r w:rsidRPr="00C54C4D">
              <w:rPr>
                <w:b w:val="0"/>
              </w:rPr>
              <w:t>Life of our Lady</w:t>
            </w:r>
          </w:p>
        </w:tc>
        <w:tc>
          <w:tcPr>
            <w:tcW w:w="2160" w:type="dxa"/>
            <w:noWrap/>
            <w:vAlign w:val="bottom"/>
            <w:hideMark/>
          </w:tcPr>
          <w:p w14:paraId="29B628A9" w14:textId="77777777" w:rsidR="006B7289" w:rsidRPr="0021550A" w:rsidRDefault="006B7289" w:rsidP="00C54C4D">
            <w:pPr>
              <w:ind w:hanging="7"/>
              <w:jc w:val="center"/>
              <w:cnfStyle w:val="000000000000" w:firstRow="0" w:lastRow="0" w:firstColumn="0" w:lastColumn="0" w:oddVBand="0" w:evenVBand="0" w:oddHBand="0" w:evenHBand="0" w:firstRowFirstColumn="0" w:firstRowLastColumn="0" w:lastRowFirstColumn="0" w:lastRowLastColumn="0"/>
            </w:pPr>
            <w:r w:rsidRPr="0021550A">
              <w:t>0.89</w:t>
            </w:r>
          </w:p>
        </w:tc>
      </w:tr>
      <w:tr w:rsidR="006B7289" w:rsidRPr="0021550A" w14:paraId="7CF46CF5" w14:textId="77777777" w:rsidTr="000A01E5">
        <w:trPr>
          <w:trHeight w:val="404"/>
        </w:trPr>
        <w:tc>
          <w:tcPr>
            <w:cnfStyle w:val="001000000000" w:firstRow="0" w:lastRow="0" w:firstColumn="1" w:lastColumn="0" w:oddVBand="0" w:evenVBand="0" w:oddHBand="0" w:evenHBand="0" w:firstRowFirstColumn="0" w:firstRowLastColumn="0" w:lastRowFirstColumn="0" w:lastRowLastColumn="0"/>
            <w:tcW w:w="2785" w:type="dxa"/>
            <w:noWrap/>
            <w:vAlign w:val="bottom"/>
            <w:hideMark/>
          </w:tcPr>
          <w:p w14:paraId="3144891D" w14:textId="77777777" w:rsidR="006B7289" w:rsidRPr="00C54C4D" w:rsidRDefault="006B7289" w:rsidP="00C54C4D">
            <w:pPr>
              <w:ind w:hanging="7"/>
              <w:jc w:val="center"/>
              <w:rPr>
                <w:b w:val="0"/>
              </w:rPr>
            </w:pPr>
            <w:r w:rsidRPr="00C54C4D">
              <w:rPr>
                <w:b w:val="0"/>
              </w:rPr>
              <w:t>Paris and Vienne</w:t>
            </w:r>
          </w:p>
        </w:tc>
        <w:tc>
          <w:tcPr>
            <w:tcW w:w="2160" w:type="dxa"/>
            <w:noWrap/>
            <w:vAlign w:val="bottom"/>
            <w:hideMark/>
          </w:tcPr>
          <w:p w14:paraId="2D4CF8E0" w14:textId="77777777" w:rsidR="006B7289" w:rsidRPr="0021550A" w:rsidRDefault="006B7289" w:rsidP="00C54C4D">
            <w:pPr>
              <w:ind w:hanging="7"/>
              <w:jc w:val="center"/>
              <w:cnfStyle w:val="000000000000" w:firstRow="0" w:lastRow="0" w:firstColumn="0" w:lastColumn="0" w:oddVBand="0" w:evenVBand="0" w:oddHBand="0" w:evenHBand="0" w:firstRowFirstColumn="0" w:firstRowLastColumn="0" w:lastRowFirstColumn="0" w:lastRowLastColumn="0"/>
            </w:pPr>
            <w:r w:rsidRPr="0021550A">
              <w:t>0.90</w:t>
            </w:r>
          </w:p>
        </w:tc>
      </w:tr>
      <w:tr w:rsidR="006B7289" w:rsidRPr="0021550A" w14:paraId="34459753" w14:textId="77777777" w:rsidTr="000A01E5">
        <w:trPr>
          <w:trHeight w:val="422"/>
        </w:trPr>
        <w:tc>
          <w:tcPr>
            <w:cnfStyle w:val="001000000000" w:firstRow="0" w:lastRow="0" w:firstColumn="1" w:lastColumn="0" w:oddVBand="0" w:evenVBand="0" w:oddHBand="0" w:evenHBand="0" w:firstRowFirstColumn="0" w:firstRowLastColumn="0" w:lastRowFirstColumn="0" w:lastRowLastColumn="0"/>
            <w:tcW w:w="2785" w:type="dxa"/>
            <w:noWrap/>
            <w:vAlign w:val="bottom"/>
            <w:hideMark/>
          </w:tcPr>
          <w:p w14:paraId="4804ED10" w14:textId="77777777" w:rsidR="006B7289" w:rsidRPr="00C54C4D" w:rsidRDefault="006B7289" w:rsidP="00C54C4D">
            <w:pPr>
              <w:ind w:hanging="7"/>
              <w:jc w:val="center"/>
              <w:rPr>
                <w:b w:val="0"/>
              </w:rPr>
            </w:pPr>
            <w:r w:rsidRPr="00C54C4D">
              <w:rPr>
                <w:b w:val="0"/>
              </w:rPr>
              <w:t>Reynard the Fox</w:t>
            </w:r>
          </w:p>
        </w:tc>
        <w:tc>
          <w:tcPr>
            <w:tcW w:w="2160" w:type="dxa"/>
            <w:noWrap/>
            <w:vAlign w:val="bottom"/>
            <w:hideMark/>
          </w:tcPr>
          <w:p w14:paraId="0007549C" w14:textId="77777777" w:rsidR="006B7289" w:rsidRPr="0021550A" w:rsidRDefault="006B7289" w:rsidP="00C54C4D">
            <w:pPr>
              <w:ind w:hanging="7"/>
              <w:jc w:val="center"/>
              <w:cnfStyle w:val="000000000000" w:firstRow="0" w:lastRow="0" w:firstColumn="0" w:lastColumn="0" w:oddVBand="0" w:evenVBand="0" w:oddHBand="0" w:evenHBand="0" w:firstRowFirstColumn="0" w:firstRowLastColumn="0" w:lastRowFirstColumn="0" w:lastRowLastColumn="0"/>
            </w:pPr>
            <w:r w:rsidRPr="0021550A">
              <w:t>0.92</w:t>
            </w:r>
          </w:p>
        </w:tc>
      </w:tr>
    </w:tbl>
    <w:p w14:paraId="6CCB1CE6" w14:textId="0CC01AEF" w:rsidR="006B7289" w:rsidRPr="0021550A" w:rsidRDefault="00453776" w:rsidP="000737CB">
      <w:pPr>
        <w:pStyle w:val="Caption"/>
      </w:pPr>
      <w:bookmarkStart w:id="219" w:name="_Toc499753490"/>
      <w:r>
        <w:t>Table 8.1:</w:t>
      </w:r>
      <w:r w:rsidR="006B7289" w:rsidRPr="0021550A">
        <w:t xml:space="preserve"> Mean similarity scores for texts typeset by one compositor</w:t>
      </w:r>
      <w:bookmarkEnd w:id="219"/>
    </w:p>
    <w:p w14:paraId="4720918D" w14:textId="77777777" w:rsidR="006B7289" w:rsidRPr="0021550A" w:rsidRDefault="006B7289" w:rsidP="000737CB"/>
    <w:p w14:paraId="0B4C3C90" w14:textId="7A38F24C" w:rsidR="000A01E5" w:rsidRPr="000A01E5" w:rsidRDefault="000A01E5" w:rsidP="000A01E5">
      <w:r>
        <w:t xml:space="preserve">The similarity scores in </w:t>
      </w:r>
      <w:r>
        <w:fldChar w:fldCharType="begin"/>
      </w:r>
      <w:r>
        <w:instrText xml:space="preserve"> REF _Ref491958235 </w:instrText>
      </w:r>
      <w:r>
        <w:fldChar w:fldCharType="separate"/>
      </w:r>
      <w:r w:rsidR="00D11844" w:rsidRPr="0021550A">
        <w:t xml:space="preserve">Table </w:t>
      </w:r>
      <w:r w:rsidR="00D11844">
        <w:rPr>
          <w:noProof/>
        </w:rPr>
        <w:t>8</w:t>
      </w:r>
      <w:r w:rsidR="00D11844">
        <w:t>.</w:t>
      </w:r>
      <w:r w:rsidR="00D11844">
        <w:rPr>
          <w:noProof/>
        </w:rPr>
        <w:t>1</w:t>
      </w:r>
      <w:r>
        <w:rPr>
          <w:noProof/>
        </w:rPr>
        <w:fldChar w:fldCharType="end"/>
      </w:r>
      <w:r w:rsidRPr="0021550A">
        <w:t xml:space="preserve"> suggest that when we compare the similarity for samples of a text, the mean similarity score will be around 0.9, if the text was typeset by one compositor and there is not a change in the copy text. </w:t>
      </w:r>
      <w:r>
        <w:t xml:space="preserve">The </w:t>
      </w:r>
      <w:r>
        <w:rPr>
          <w:i/>
        </w:rPr>
        <w:t>Book of Good Manners</w:t>
      </w:r>
      <w:r>
        <w:t xml:space="preserve"> has a similarity score of 0.81 when the two distinct clusters that came out of the cluster analysis in Section </w:t>
      </w:r>
      <w:r>
        <w:fldChar w:fldCharType="begin"/>
      </w:r>
      <w:r>
        <w:instrText xml:space="preserve"> REF _Ref498675067 \r </w:instrText>
      </w:r>
      <w:r>
        <w:fldChar w:fldCharType="separate"/>
      </w:r>
      <w:r w:rsidR="00D11844">
        <w:t>7.3</w:t>
      </w:r>
      <w:r>
        <w:fldChar w:fldCharType="end"/>
      </w:r>
      <w:r>
        <w:t xml:space="preserve"> are compared against one another. </w:t>
      </w:r>
    </w:p>
    <w:p w14:paraId="73B556AE" w14:textId="258A2BC2" w:rsidR="00175844" w:rsidRPr="00685D6A" w:rsidRDefault="006B7289" w:rsidP="000A01E5">
      <w:r w:rsidRPr="0021550A">
        <w:t>We can expand the similarity testing to see whether the result is the same for individual compositors who were working on a text concur</w:t>
      </w:r>
      <w:r w:rsidR="00B359D5">
        <w:t>rently with another compositor</w:t>
      </w:r>
      <w:r w:rsidR="00507DE5">
        <w:t xml:space="preserve">, such as </w:t>
      </w:r>
      <w:r w:rsidR="00D11838">
        <w:t xml:space="preserve">in the case of </w:t>
      </w:r>
      <w:r w:rsidR="00D11838">
        <w:rPr>
          <w:i/>
        </w:rPr>
        <w:t>Troilus and Criseyde</w:t>
      </w:r>
      <w:r w:rsidR="00507DE5">
        <w:t>,</w:t>
      </w:r>
      <w:r w:rsidR="00D11838">
        <w:rPr>
          <w:i/>
        </w:rPr>
        <w:t xml:space="preserve"> </w:t>
      </w:r>
      <w:r w:rsidR="00D11838">
        <w:t xml:space="preserve">and to examine the different spellings in the two clusters of the </w:t>
      </w:r>
      <w:r w:rsidR="00D11838">
        <w:rPr>
          <w:i/>
        </w:rPr>
        <w:t>Book of Good Manners</w:t>
      </w:r>
      <w:r w:rsidR="00DC6D31">
        <w:t xml:space="preserve"> that arose from the cluster analysis undertaken on the text in Section </w:t>
      </w:r>
      <w:r w:rsidR="00DC6D31">
        <w:fldChar w:fldCharType="begin"/>
      </w:r>
      <w:r w:rsidR="00DC6D31">
        <w:instrText xml:space="preserve"> REF _Ref498675067 \r </w:instrText>
      </w:r>
      <w:r w:rsidR="00DC6D31">
        <w:fldChar w:fldCharType="separate"/>
      </w:r>
      <w:r w:rsidR="00D11844">
        <w:t>7.3</w:t>
      </w:r>
      <w:r w:rsidR="00DC6D31">
        <w:fldChar w:fldCharType="end"/>
      </w:r>
      <w:r w:rsidR="00D11838">
        <w:t xml:space="preserve">. </w:t>
      </w:r>
      <w:r w:rsidR="000A01E5">
        <w:fldChar w:fldCharType="begin"/>
      </w:r>
      <w:r w:rsidR="000A01E5">
        <w:instrText xml:space="preserve"> REF _Ref491964959 </w:instrText>
      </w:r>
      <w:r w:rsidR="000A01E5">
        <w:fldChar w:fldCharType="separate"/>
      </w:r>
      <w:r w:rsidR="00D11844" w:rsidRPr="0021550A">
        <w:t xml:space="preserve">Table </w:t>
      </w:r>
      <w:r w:rsidR="00D11844">
        <w:rPr>
          <w:noProof/>
        </w:rPr>
        <w:t>8</w:t>
      </w:r>
      <w:r w:rsidR="00D11844">
        <w:t>.</w:t>
      </w:r>
      <w:r w:rsidR="00D11844">
        <w:rPr>
          <w:noProof/>
        </w:rPr>
        <w:t>2</w:t>
      </w:r>
      <w:r w:rsidR="000A01E5">
        <w:rPr>
          <w:noProof/>
        </w:rPr>
        <w:fldChar w:fldCharType="end"/>
      </w:r>
      <w:r w:rsidR="000A01E5" w:rsidRPr="0021550A">
        <w:t xml:space="preserve"> shows the similarity scores for the two clusters in the </w:t>
      </w:r>
      <w:r w:rsidR="000A01E5" w:rsidRPr="0021550A">
        <w:rPr>
          <w:i/>
        </w:rPr>
        <w:t>Book of Good Manners</w:t>
      </w:r>
      <w:r w:rsidR="000A01E5" w:rsidRPr="0021550A">
        <w:t xml:space="preserve"> and</w:t>
      </w:r>
      <w:r w:rsidR="000A01E5">
        <w:t xml:space="preserve"> the two sections typeset by different compositors in</w:t>
      </w:r>
      <w:r w:rsidR="000A01E5" w:rsidRPr="0021550A">
        <w:t xml:space="preserve"> </w:t>
      </w:r>
      <w:r w:rsidR="000A01E5" w:rsidRPr="0021550A">
        <w:rPr>
          <w:i/>
        </w:rPr>
        <w:t>Troilus and Criseyde</w:t>
      </w:r>
      <w:r w:rsidR="000A01E5" w:rsidRPr="0021550A">
        <w:t xml:space="preserve"> that came out of the clus</w:t>
      </w:r>
      <w:r w:rsidR="000A01E5">
        <w:t xml:space="preserve">ter analysis in </w:t>
      </w:r>
      <w:r w:rsidR="001C1D08">
        <w:t xml:space="preserve">Section </w:t>
      </w:r>
      <w:r w:rsidR="001C1D08">
        <w:fldChar w:fldCharType="begin"/>
      </w:r>
      <w:r w:rsidR="001C1D08">
        <w:instrText xml:space="preserve"> REF _Ref497478756 \r </w:instrText>
      </w:r>
      <w:r w:rsidR="001C1D08">
        <w:fldChar w:fldCharType="separate"/>
      </w:r>
      <w:r w:rsidR="00D11844">
        <w:t>5.4</w:t>
      </w:r>
      <w:r w:rsidR="001C1D08">
        <w:fldChar w:fldCharType="end"/>
      </w:r>
      <w:r w:rsidR="000A01E5" w:rsidRPr="0021550A">
        <w:t xml:space="preserve">. </w:t>
      </w:r>
      <w:r w:rsidR="00175844">
        <w:t xml:space="preserve">When we look at the sections that are linked to an individual idiolect, such as the </w:t>
      </w:r>
      <w:r w:rsidR="00685D6A">
        <w:t xml:space="preserve">two compositors in </w:t>
      </w:r>
      <w:r w:rsidR="00685D6A">
        <w:rPr>
          <w:i/>
        </w:rPr>
        <w:t>Troilus and Criseyde</w:t>
      </w:r>
      <w:r w:rsidR="00685D6A">
        <w:t xml:space="preserve">, we can see that each compositor uses a very stable set of spellings. Again, so did the scribe who wrote their copy text, because </w:t>
      </w:r>
      <w:r w:rsidR="00DC6D31">
        <w:t xml:space="preserve">if there were a change in idiolect somewhere within the </w:t>
      </w:r>
      <w:r w:rsidR="00685D6A">
        <w:t>cop</w:t>
      </w:r>
      <w:r w:rsidR="00DC6D31">
        <w:t>y text, then the compositor typesetting that section would copy across spellings from both idiolects at the copy text level and the overall similarity would be reduced.</w:t>
      </w:r>
    </w:p>
    <w:tbl>
      <w:tblPr>
        <w:tblStyle w:val="GridTable1Light1"/>
        <w:tblW w:w="5778" w:type="dxa"/>
        <w:tblLayout w:type="fixed"/>
        <w:tblLook w:val="04A0" w:firstRow="1" w:lastRow="0" w:firstColumn="1" w:lastColumn="0" w:noHBand="0" w:noVBand="1"/>
      </w:tblPr>
      <w:tblGrid>
        <w:gridCol w:w="3618"/>
        <w:gridCol w:w="2160"/>
      </w:tblGrid>
      <w:tr w:rsidR="006B7289" w:rsidRPr="0021550A" w14:paraId="7A2840A8" w14:textId="77777777" w:rsidTr="00507DE5">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618" w:type="dxa"/>
            <w:noWrap/>
            <w:vAlign w:val="bottom"/>
          </w:tcPr>
          <w:p w14:paraId="12709F6B" w14:textId="77777777" w:rsidR="006B7289" w:rsidRPr="0021550A" w:rsidRDefault="006B7289" w:rsidP="00C54C4D">
            <w:pPr>
              <w:spacing w:line="276" w:lineRule="auto"/>
              <w:ind w:firstLine="0"/>
              <w:jc w:val="center"/>
            </w:pPr>
            <w:r w:rsidRPr="0021550A">
              <w:lastRenderedPageBreak/>
              <w:t>Text</w:t>
            </w:r>
          </w:p>
        </w:tc>
        <w:tc>
          <w:tcPr>
            <w:tcW w:w="2160" w:type="dxa"/>
            <w:noWrap/>
            <w:vAlign w:val="bottom"/>
          </w:tcPr>
          <w:p w14:paraId="05A08558" w14:textId="77777777" w:rsidR="006B7289" w:rsidRPr="0021550A" w:rsidRDefault="006B7289" w:rsidP="00C54C4D">
            <w:pPr>
              <w:spacing w:line="276" w:lineRule="auto"/>
              <w:ind w:firstLine="0"/>
              <w:jc w:val="center"/>
              <w:cnfStyle w:val="100000000000" w:firstRow="1" w:lastRow="0" w:firstColumn="0" w:lastColumn="0" w:oddVBand="0" w:evenVBand="0" w:oddHBand="0" w:evenHBand="0" w:firstRowFirstColumn="0" w:firstRowLastColumn="0" w:lastRowFirstColumn="0" w:lastRowLastColumn="0"/>
            </w:pPr>
            <w:r w:rsidRPr="0021550A">
              <w:t>Similarity score</w:t>
            </w:r>
          </w:p>
        </w:tc>
      </w:tr>
      <w:tr w:rsidR="006B7289" w:rsidRPr="0021550A" w14:paraId="4D7F42D3" w14:textId="77777777" w:rsidTr="00507DE5">
        <w:trPr>
          <w:trHeight w:val="348"/>
        </w:trPr>
        <w:tc>
          <w:tcPr>
            <w:cnfStyle w:val="001000000000" w:firstRow="0" w:lastRow="0" w:firstColumn="1" w:lastColumn="0" w:oddVBand="0" w:evenVBand="0" w:oddHBand="0" w:evenHBand="0" w:firstRowFirstColumn="0" w:firstRowLastColumn="0" w:lastRowFirstColumn="0" w:lastRowLastColumn="0"/>
            <w:tcW w:w="3618" w:type="dxa"/>
            <w:tcBorders>
              <w:top w:val="single" w:sz="12" w:space="0" w:color="767171" w:themeColor="background2" w:themeShade="80"/>
            </w:tcBorders>
            <w:noWrap/>
            <w:vAlign w:val="bottom"/>
            <w:hideMark/>
          </w:tcPr>
          <w:p w14:paraId="75455601" w14:textId="77777777" w:rsidR="006B7289" w:rsidRPr="00C54C4D" w:rsidRDefault="006B7289" w:rsidP="00C54C4D">
            <w:pPr>
              <w:spacing w:line="276" w:lineRule="auto"/>
              <w:ind w:firstLine="0"/>
              <w:jc w:val="center"/>
              <w:rPr>
                <w:b w:val="0"/>
              </w:rPr>
            </w:pPr>
            <w:r w:rsidRPr="00C54C4D">
              <w:rPr>
                <w:b w:val="0"/>
              </w:rPr>
              <w:t>Book of Good Manners, Cluster 1</w:t>
            </w:r>
          </w:p>
        </w:tc>
        <w:tc>
          <w:tcPr>
            <w:tcW w:w="2160" w:type="dxa"/>
            <w:tcBorders>
              <w:top w:val="single" w:sz="12" w:space="0" w:color="767171" w:themeColor="background2" w:themeShade="80"/>
            </w:tcBorders>
            <w:noWrap/>
            <w:vAlign w:val="bottom"/>
            <w:hideMark/>
          </w:tcPr>
          <w:p w14:paraId="000150A4" w14:textId="77777777" w:rsidR="006B7289" w:rsidRPr="0021550A" w:rsidRDefault="006B7289" w:rsidP="00C54C4D">
            <w:pPr>
              <w:spacing w:line="276" w:lineRule="auto"/>
              <w:ind w:firstLine="0"/>
              <w:jc w:val="center"/>
              <w:cnfStyle w:val="000000000000" w:firstRow="0" w:lastRow="0" w:firstColumn="0" w:lastColumn="0" w:oddVBand="0" w:evenVBand="0" w:oddHBand="0" w:evenHBand="0" w:firstRowFirstColumn="0" w:firstRowLastColumn="0" w:lastRowFirstColumn="0" w:lastRowLastColumn="0"/>
            </w:pPr>
            <w:r w:rsidRPr="0021550A">
              <w:t>0.95</w:t>
            </w:r>
          </w:p>
        </w:tc>
      </w:tr>
      <w:tr w:rsidR="006B7289" w:rsidRPr="0021550A" w14:paraId="45CE1034" w14:textId="77777777" w:rsidTr="00507DE5">
        <w:trPr>
          <w:trHeight w:val="386"/>
        </w:trPr>
        <w:tc>
          <w:tcPr>
            <w:cnfStyle w:val="001000000000" w:firstRow="0" w:lastRow="0" w:firstColumn="1" w:lastColumn="0" w:oddVBand="0" w:evenVBand="0" w:oddHBand="0" w:evenHBand="0" w:firstRowFirstColumn="0" w:firstRowLastColumn="0" w:lastRowFirstColumn="0" w:lastRowLastColumn="0"/>
            <w:tcW w:w="3618" w:type="dxa"/>
            <w:noWrap/>
            <w:vAlign w:val="bottom"/>
            <w:hideMark/>
          </w:tcPr>
          <w:p w14:paraId="263368AE" w14:textId="77777777" w:rsidR="006B7289" w:rsidRPr="00C54C4D" w:rsidRDefault="006B7289" w:rsidP="00C54C4D">
            <w:pPr>
              <w:spacing w:line="276" w:lineRule="auto"/>
              <w:ind w:firstLine="0"/>
              <w:jc w:val="center"/>
              <w:rPr>
                <w:b w:val="0"/>
              </w:rPr>
            </w:pPr>
            <w:r w:rsidRPr="00C54C4D">
              <w:rPr>
                <w:b w:val="0"/>
              </w:rPr>
              <w:t>Book of Good Manners, Cluster 2</w:t>
            </w:r>
          </w:p>
        </w:tc>
        <w:tc>
          <w:tcPr>
            <w:tcW w:w="2160" w:type="dxa"/>
            <w:noWrap/>
            <w:vAlign w:val="bottom"/>
            <w:hideMark/>
          </w:tcPr>
          <w:p w14:paraId="1D439C40" w14:textId="77777777" w:rsidR="006B7289" w:rsidRPr="0021550A" w:rsidRDefault="006B7289" w:rsidP="00C54C4D">
            <w:pPr>
              <w:spacing w:line="276" w:lineRule="auto"/>
              <w:ind w:firstLine="0"/>
              <w:jc w:val="center"/>
              <w:cnfStyle w:val="000000000000" w:firstRow="0" w:lastRow="0" w:firstColumn="0" w:lastColumn="0" w:oddVBand="0" w:evenVBand="0" w:oddHBand="0" w:evenHBand="0" w:firstRowFirstColumn="0" w:firstRowLastColumn="0" w:lastRowFirstColumn="0" w:lastRowLastColumn="0"/>
            </w:pPr>
            <w:r w:rsidRPr="0021550A">
              <w:t>0.94</w:t>
            </w:r>
          </w:p>
        </w:tc>
      </w:tr>
      <w:tr w:rsidR="006B7289" w:rsidRPr="0021550A" w14:paraId="6D9D9C01" w14:textId="77777777" w:rsidTr="00507DE5">
        <w:trPr>
          <w:trHeight w:val="386"/>
        </w:trPr>
        <w:tc>
          <w:tcPr>
            <w:cnfStyle w:val="001000000000" w:firstRow="0" w:lastRow="0" w:firstColumn="1" w:lastColumn="0" w:oddVBand="0" w:evenVBand="0" w:oddHBand="0" w:evenHBand="0" w:firstRowFirstColumn="0" w:firstRowLastColumn="0" w:lastRowFirstColumn="0" w:lastRowLastColumn="0"/>
            <w:tcW w:w="3618" w:type="dxa"/>
            <w:tcBorders>
              <w:bottom w:val="single" w:sz="12" w:space="0" w:color="767171" w:themeColor="background2" w:themeShade="80"/>
            </w:tcBorders>
            <w:shd w:val="clear" w:color="auto" w:fill="FFF2CC" w:themeFill="accent4" w:themeFillTint="33"/>
            <w:noWrap/>
            <w:vAlign w:val="bottom"/>
          </w:tcPr>
          <w:p w14:paraId="0D506346" w14:textId="77777777" w:rsidR="006B7289" w:rsidRPr="00C54C4D" w:rsidRDefault="006B7289" w:rsidP="00C54C4D">
            <w:pPr>
              <w:spacing w:line="276" w:lineRule="auto"/>
              <w:ind w:firstLine="0"/>
              <w:jc w:val="center"/>
              <w:rPr>
                <w:b w:val="0"/>
              </w:rPr>
            </w:pPr>
            <w:r w:rsidRPr="00C54C4D">
              <w:rPr>
                <w:b w:val="0"/>
              </w:rPr>
              <w:t>Book of Good Manners,</w:t>
            </w:r>
          </w:p>
          <w:p w14:paraId="5FFD39BD" w14:textId="77777777" w:rsidR="006B7289" w:rsidRPr="00C54C4D" w:rsidRDefault="006B7289" w:rsidP="00C54C4D">
            <w:pPr>
              <w:spacing w:line="276" w:lineRule="auto"/>
              <w:ind w:firstLine="0"/>
              <w:jc w:val="center"/>
              <w:rPr>
                <w:b w:val="0"/>
              </w:rPr>
            </w:pPr>
            <w:r w:rsidRPr="00C54C4D">
              <w:rPr>
                <w:b w:val="0"/>
              </w:rPr>
              <w:t>Cluster 1 compared with Cluster 2</w:t>
            </w:r>
          </w:p>
        </w:tc>
        <w:tc>
          <w:tcPr>
            <w:tcW w:w="2160" w:type="dxa"/>
            <w:tcBorders>
              <w:bottom w:val="single" w:sz="12" w:space="0" w:color="767171" w:themeColor="background2" w:themeShade="80"/>
            </w:tcBorders>
            <w:shd w:val="clear" w:color="auto" w:fill="FFF2CC" w:themeFill="accent4" w:themeFillTint="33"/>
            <w:noWrap/>
            <w:vAlign w:val="bottom"/>
          </w:tcPr>
          <w:p w14:paraId="109CE22D" w14:textId="77777777" w:rsidR="006B7289" w:rsidRPr="0021550A" w:rsidRDefault="006B7289" w:rsidP="00C54C4D">
            <w:pPr>
              <w:spacing w:line="276" w:lineRule="auto"/>
              <w:ind w:firstLine="0"/>
              <w:jc w:val="center"/>
              <w:cnfStyle w:val="000000000000" w:firstRow="0" w:lastRow="0" w:firstColumn="0" w:lastColumn="0" w:oddVBand="0" w:evenVBand="0" w:oddHBand="0" w:evenHBand="0" w:firstRowFirstColumn="0" w:firstRowLastColumn="0" w:lastRowFirstColumn="0" w:lastRowLastColumn="0"/>
            </w:pPr>
            <w:r w:rsidRPr="0021550A">
              <w:t>0.81</w:t>
            </w:r>
          </w:p>
        </w:tc>
      </w:tr>
      <w:tr w:rsidR="006B7289" w:rsidRPr="0021550A" w14:paraId="7AD03A42" w14:textId="77777777" w:rsidTr="00507DE5">
        <w:trPr>
          <w:trHeight w:val="404"/>
        </w:trPr>
        <w:tc>
          <w:tcPr>
            <w:cnfStyle w:val="001000000000" w:firstRow="0" w:lastRow="0" w:firstColumn="1" w:lastColumn="0" w:oddVBand="0" w:evenVBand="0" w:oddHBand="0" w:evenHBand="0" w:firstRowFirstColumn="0" w:firstRowLastColumn="0" w:lastRowFirstColumn="0" w:lastRowLastColumn="0"/>
            <w:tcW w:w="3618" w:type="dxa"/>
            <w:tcBorders>
              <w:top w:val="single" w:sz="12" w:space="0" w:color="767171" w:themeColor="background2" w:themeShade="80"/>
            </w:tcBorders>
            <w:noWrap/>
            <w:vAlign w:val="bottom"/>
            <w:hideMark/>
          </w:tcPr>
          <w:p w14:paraId="5276D364" w14:textId="77777777" w:rsidR="006B7289" w:rsidRPr="00C54C4D" w:rsidRDefault="006B7289" w:rsidP="00C54C4D">
            <w:pPr>
              <w:spacing w:line="276" w:lineRule="auto"/>
              <w:ind w:firstLine="0"/>
              <w:jc w:val="center"/>
              <w:rPr>
                <w:b w:val="0"/>
              </w:rPr>
            </w:pPr>
            <w:r w:rsidRPr="00C54C4D">
              <w:rPr>
                <w:b w:val="0"/>
              </w:rPr>
              <w:t>Troilus and Criseyde, Cluster 1</w:t>
            </w:r>
          </w:p>
        </w:tc>
        <w:tc>
          <w:tcPr>
            <w:tcW w:w="2160" w:type="dxa"/>
            <w:tcBorders>
              <w:top w:val="single" w:sz="12" w:space="0" w:color="767171" w:themeColor="background2" w:themeShade="80"/>
            </w:tcBorders>
            <w:noWrap/>
            <w:vAlign w:val="bottom"/>
            <w:hideMark/>
          </w:tcPr>
          <w:p w14:paraId="33987513" w14:textId="77777777" w:rsidR="006B7289" w:rsidRPr="0021550A" w:rsidRDefault="006B7289" w:rsidP="00C54C4D">
            <w:pPr>
              <w:spacing w:line="276" w:lineRule="auto"/>
              <w:ind w:firstLine="0"/>
              <w:jc w:val="center"/>
              <w:cnfStyle w:val="000000000000" w:firstRow="0" w:lastRow="0" w:firstColumn="0" w:lastColumn="0" w:oddVBand="0" w:evenVBand="0" w:oddHBand="0" w:evenHBand="0" w:firstRowFirstColumn="0" w:firstRowLastColumn="0" w:lastRowFirstColumn="0" w:lastRowLastColumn="0"/>
            </w:pPr>
            <w:r w:rsidRPr="0021550A">
              <w:t>0.93</w:t>
            </w:r>
          </w:p>
        </w:tc>
      </w:tr>
      <w:tr w:rsidR="006B7289" w:rsidRPr="0021550A" w14:paraId="1136CFD3" w14:textId="77777777" w:rsidTr="00507DE5">
        <w:trPr>
          <w:trHeight w:val="404"/>
        </w:trPr>
        <w:tc>
          <w:tcPr>
            <w:cnfStyle w:val="001000000000" w:firstRow="0" w:lastRow="0" w:firstColumn="1" w:lastColumn="0" w:oddVBand="0" w:evenVBand="0" w:oddHBand="0" w:evenHBand="0" w:firstRowFirstColumn="0" w:firstRowLastColumn="0" w:lastRowFirstColumn="0" w:lastRowLastColumn="0"/>
            <w:tcW w:w="3618" w:type="dxa"/>
            <w:noWrap/>
            <w:vAlign w:val="bottom"/>
            <w:hideMark/>
          </w:tcPr>
          <w:p w14:paraId="2157E672" w14:textId="77777777" w:rsidR="006B7289" w:rsidRPr="00C54C4D" w:rsidRDefault="006B7289" w:rsidP="00C54C4D">
            <w:pPr>
              <w:spacing w:line="276" w:lineRule="auto"/>
              <w:ind w:firstLine="0"/>
              <w:jc w:val="center"/>
              <w:rPr>
                <w:b w:val="0"/>
              </w:rPr>
            </w:pPr>
            <w:r w:rsidRPr="00C54C4D">
              <w:rPr>
                <w:b w:val="0"/>
              </w:rPr>
              <w:t>Troilus and Criseyde, Cluster 2</w:t>
            </w:r>
          </w:p>
        </w:tc>
        <w:tc>
          <w:tcPr>
            <w:tcW w:w="2160" w:type="dxa"/>
            <w:noWrap/>
            <w:vAlign w:val="bottom"/>
            <w:hideMark/>
          </w:tcPr>
          <w:p w14:paraId="44306F9E" w14:textId="77777777" w:rsidR="006B7289" w:rsidRPr="0021550A" w:rsidRDefault="006B7289" w:rsidP="00C54C4D">
            <w:pPr>
              <w:spacing w:line="276" w:lineRule="auto"/>
              <w:ind w:firstLine="0"/>
              <w:jc w:val="center"/>
              <w:cnfStyle w:val="000000000000" w:firstRow="0" w:lastRow="0" w:firstColumn="0" w:lastColumn="0" w:oddVBand="0" w:evenVBand="0" w:oddHBand="0" w:evenHBand="0" w:firstRowFirstColumn="0" w:firstRowLastColumn="0" w:lastRowFirstColumn="0" w:lastRowLastColumn="0"/>
            </w:pPr>
            <w:r w:rsidRPr="0021550A">
              <w:t>0.93</w:t>
            </w:r>
          </w:p>
        </w:tc>
      </w:tr>
      <w:tr w:rsidR="006B7289" w:rsidRPr="0021550A" w14:paraId="44BBD506" w14:textId="77777777" w:rsidTr="00507DE5">
        <w:trPr>
          <w:trHeight w:val="404"/>
        </w:trPr>
        <w:tc>
          <w:tcPr>
            <w:cnfStyle w:val="001000000000" w:firstRow="0" w:lastRow="0" w:firstColumn="1" w:lastColumn="0" w:oddVBand="0" w:evenVBand="0" w:oddHBand="0" w:evenHBand="0" w:firstRowFirstColumn="0" w:firstRowLastColumn="0" w:lastRowFirstColumn="0" w:lastRowLastColumn="0"/>
            <w:tcW w:w="3618" w:type="dxa"/>
            <w:shd w:val="clear" w:color="auto" w:fill="FFF2CC" w:themeFill="accent4" w:themeFillTint="33"/>
            <w:noWrap/>
            <w:vAlign w:val="bottom"/>
          </w:tcPr>
          <w:p w14:paraId="7ECF99CE" w14:textId="03E9A416" w:rsidR="006B7289" w:rsidRPr="00C54C4D" w:rsidRDefault="006B7289" w:rsidP="00C54C4D">
            <w:pPr>
              <w:spacing w:line="276" w:lineRule="auto"/>
              <w:ind w:firstLine="0"/>
              <w:jc w:val="center"/>
              <w:rPr>
                <w:b w:val="0"/>
              </w:rPr>
            </w:pPr>
            <w:r w:rsidRPr="00C54C4D">
              <w:rPr>
                <w:b w:val="0"/>
              </w:rPr>
              <w:t>Troilus and Criseyde,</w:t>
            </w:r>
          </w:p>
          <w:p w14:paraId="7D4C70F6" w14:textId="77777777" w:rsidR="006B7289" w:rsidRPr="00C54C4D" w:rsidRDefault="006B7289" w:rsidP="00C54C4D">
            <w:pPr>
              <w:spacing w:line="276" w:lineRule="auto"/>
              <w:ind w:firstLine="0"/>
              <w:jc w:val="center"/>
              <w:rPr>
                <w:b w:val="0"/>
              </w:rPr>
            </w:pPr>
            <w:r w:rsidRPr="00C54C4D">
              <w:rPr>
                <w:b w:val="0"/>
              </w:rPr>
              <w:t>Cluster 1 compared with Cluster 2</w:t>
            </w:r>
          </w:p>
        </w:tc>
        <w:tc>
          <w:tcPr>
            <w:tcW w:w="2160" w:type="dxa"/>
            <w:shd w:val="clear" w:color="auto" w:fill="FFF2CC" w:themeFill="accent4" w:themeFillTint="33"/>
            <w:noWrap/>
            <w:vAlign w:val="bottom"/>
          </w:tcPr>
          <w:p w14:paraId="78969AC1" w14:textId="77777777" w:rsidR="006B7289" w:rsidRPr="0021550A" w:rsidRDefault="006B7289" w:rsidP="00C54C4D">
            <w:pPr>
              <w:spacing w:line="276" w:lineRule="auto"/>
              <w:ind w:firstLine="0"/>
              <w:jc w:val="center"/>
              <w:cnfStyle w:val="000000000000" w:firstRow="0" w:lastRow="0" w:firstColumn="0" w:lastColumn="0" w:oddVBand="0" w:evenVBand="0" w:oddHBand="0" w:evenHBand="0" w:firstRowFirstColumn="0" w:firstRowLastColumn="0" w:lastRowFirstColumn="0" w:lastRowLastColumn="0"/>
            </w:pPr>
            <w:r w:rsidRPr="0021550A">
              <w:t>0.77</w:t>
            </w:r>
          </w:p>
        </w:tc>
      </w:tr>
    </w:tbl>
    <w:p w14:paraId="74E82B35" w14:textId="57FB8833" w:rsidR="006B7289" w:rsidRPr="0021550A" w:rsidRDefault="00453776" w:rsidP="000737CB">
      <w:pPr>
        <w:pStyle w:val="Caption"/>
      </w:pPr>
      <w:bookmarkStart w:id="220" w:name="_Toc499753491"/>
      <w:r>
        <w:t>Table 8.2:</w:t>
      </w:r>
      <w:r w:rsidR="006B7289" w:rsidRPr="0021550A">
        <w:t xml:space="preserve"> </w:t>
      </w:r>
      <w:r w:rsidR="00176CED">
        <w:t>Cluster similarities</w:t>
      </w:r>
      <w:r w:rsidR="006B7289" w:rsidRPr="0021550A">
        <w:t xml:space="preserve"> </w:t>
      </w:r>
      <w:r w:rsidR="00176CED">
        <w:t>of</w:t>
      </w:r>
      <w:r w:rsidR="006B7289" w:rsidRPr="0021550A">
        <w:t xml:space="preserve"> </w:t>
      </w:r>
      <w:r w:rsidR="006B7289" w:rsidRPr="0021550A">
        <w:rPr>
          <w:i/>
        </w:rPr>
        <w:t>Book of Good Manners</w:t>
      </w:r>
      <w:r w:rsidR="006B7289" w:rsidRPr="0021550A">
        <w:t xml:space="preserve"> and </w:t>
      </w:r>
      <w:r w:rsidR="006B7289" w:rsidRPr="0021550A">
        <w:rPr>
          <w:i/>
        </w:rPr>
        <w:t>Troilus and Criseyde</w:t>
      </w:r>
      <w:bookmarkEnd w:id="220"/>
    </w:p>
    <w:p w14:paraId="09CE7CE7" w14:textId="77777777" w:rsidR="006B7289" w:rsidRPr="0021550A" w:rsidRDefault="006B7289" w:rsidP="000737CB"/>
    <w:p w14:paraId="716E5B53" w14:textId="24FB1831" w:rsidR="00CC44ED" w:rsidRDefault="001C1D08" w:rsidP="00CC44ED">
      <w:r>
        <w:t xml:space="preserve">In </w:t>
      </w:r>
      <w:r>
        <w:fldChar w:fldCharType="begin"/>
      </w:r>
      <w:r>
        <w:instrText xml:space="preserve"> REF _Ref491964959 </w:instrText>
      </w:r>
      <w:r>
        <w:fldChar w:fldCharType="separate"/>
      </w:r>
      <w:r w:rsidR="00D11844" w:rsidRPr="0021550A">
        <w:t xml:space="preserve">Table </w:t>
      </w:r>
      <w:r w:rsidR="00D11844">
        <w:rPr>
          <w:noProof/>
        </w:rPr>
        <w:t>8</w:t>
      </w:r>
      <w:r w:rsidR="00D11844">
        <w:t>.</w:t>
      </w:r>
      <w:r w:rsidR="00D11844">
        <w:rPr>
          <w:noProof/>
        </w:rPr>
        <w:t>2</w:t>
      </w:r>
      <w:r>
        <w:fldChar w:fldCharType="end"/>
      </w:r>
      <w:r>
        <w:t xml:space="preserve"> t</w:t>
      </w:r>
      <w:r w:rsidRPr="0021550A">
        <w:t xml:space="preserve">he similarity scores </w:t>
      </w:r>
      <w:r>
        <w:t>for the spellings within the individual clusters</w:t>
      </w:r>
      <w:r w:rsidRPr="0021550A">
        <w:t xml:space="preserve"> of the </w:t>
      </w:r>
      <w:r w:rsidRPr="0021550A">
        <w:rPr>
          <w:i/>
        </w:rPr>
        <w:t>Book of Good Manners</w:t>
      </w:r>
      <w:r w:rsidRPr="0021550A">
        <w:t xml:space="preserve"> and </w:t>
      </w:r>
      <w:r w:rsidRPr="0021550A">
        <w:rPr>
          <w:i/>
        </w:rPr>
        <w:t>Troilus and Criseyde</w:t>
      </w:r>
      <w:r w:rsidRPr="0021550A">
        <w:t xml:space="preserve"> are both very high, between 0.93 and 0.95 for the </w:t>
      </w:r>
      <w:r>
        <w:t>stability of the spellings in sections of both texts</w:t>
      </w:r>
      <w:r w:rsidRPr="0021550A">
        <w:t xml:space="preserve">. These high similarity scores show that within </w:t>
      </w:r>
      <w:r>
        <w:t xml:space="preserve">each of </w:t>
      </w:r>
      <w:r w:rsidR="00CC44ED">
        <w:t>the clusters within both texts</w:t>
      </w:r>
      <w:r w:rsidRPr="0021550A">
        <w:t xml:space="preserve">, the same spellings are being used, that is, the compositor and the copy text </w:t>
      </w:r>
      <w:r w:rsidR="00CC44ED">
        <w:t>uses one stable idiolect</w:t>
      </w:r>
      <w:r>
        <w:t xml:space="preserve"> throughout the section they are working on</w:t>
      </w:r>
      <w:r w:rsidRPr="0021550A">
        <w:t xml:space="preserve">. </w:t>
      </w:r>
      <w:r>
        <w:t xml:space="preserve">While the idiolects used by individuals appear to be highly stable and the same spellings in the same ratios are used throughout, when we compare sections against one another the similarity is reduced. </w:t>
      </w:r>
      <w:r w:rsidR="006B7289" w:rsidRPr="0021550A">
        <w:t xml:space="preserve">In the case of </w:t>
      </w:r>
      <w:r w:rsidR="006B7289" w:rsidRPr="0021550A">
        <w:rPr>
          <w:i/>
        </w:rPr>
        <w:t>Troilus and Criseyde</w:t>
      </w:r>
      <w:r w:rsidR="006B7289" w:rsidRPr="0021550A">
        <w:t xml:space="preserve">, the change </w:t>
      </w:r>
      <w:r w:rsidR="00F76C00">
        <w:t xml:space="preserve">in spellings </w:t>
      </w:r>
      <w:r w:rsidR="00CC44ED">
        <w:t xml:space="preserve">that the cluster analysis identified as taking place </w:t>
      </w:r>
      <w:r w:rsidR="006B7289" w:rsidRPr="0021550A">
        <w:t xml:space="preserve">between Cluster 1 and Cluster 2 lines up with a change in compositor at the start of Quire i. When we compare the spellings used in Cluster 1 of </w:t>
      </w:r>
      <w:r w:rsidR="006B7289" w:rsidRPr="0021550A">
        <w:rPr>
          <w:i/>
        </w:rPr>
        <w:t xml:space="preserve">Troilus and Criseyde </w:t>
      </w:r>
      <w:r w:rsidR="006B7289" w:rsidRPr="0021550A">
        <w:t xml:space="preserve">against the spellings used in Cluster 2, the similarity is 0.77, and the difference between </w:t>
      </w:r>
      <w:r w:rsidR="00CC44ED">
        <w:t>the two clusters in</w:t>
      </w:r>
      <w:r w:rsidR="006B7289" w:rsidRPr="0021550A">
        <w:t xml:space="preserve"> the </w:t>
      </w:r>
      <w:r w:rsidR="006B7289" w:rsidRPr="0021550A">
        <w:rPr>
          <w:i/>
        </w:rPr>
        <w:t>Book of Good Manners</w:t>
      </w:r>
      <w:r w:rsidR="006B7289" w:rsidRPr="0021550A">
        <w:t xml:space="preserve"> is 0.81</w:t>
      </w:r>
      <w:r w:rsidR="00F76C00">
        <w:t>.</w:t>
      </w:r>
      <w:r w:rsidR="006B7289" w:rsidRPr="0021550A">
        <w:t xml:space="preserve"> </w:t>
      </w:r>
    </w:p>
    <w:p w14:paraId="654E0585" w14:textId="3DBA9529" w:rsidR="00D11162" w:rsidRDefault="006B7289" w:rsidP="00A32E36">
      <w:r w:rsidRPr="0021550A">
        <w:t xml:space="preserve">These results show that when we isolate the section of text typeset by one </w:t>
      </w:r>
      <w:r w:rsidR="00CC44ED">
        <w:t>compositor or scribe</w:t>
      </w:r>
      <w:r w:rsidRPr="0021550A">
        <w:t xml:space="preserve">, the spelling variants are similar throughout that section of text. </w:t>
      </w:r>
      <w:r w:rsidR="005B49C9">
        <w:t xml:space="preserve">When one compositor sets the type for a text the spellings that he uses are stable, whether the compositor is typesetting a whole text </w:t>
      </w:r>
      <w:r w:rsidR="00CC44ED">
        <w:t xml:space="preserve">(as in </w:t>
      </w:r>
      <w:r w:rsidR="00CC44ED">
        <w:fldChar w:fldCharType="begin"/>
      </w:r>
      <w:r w:rsidR="00CC44ED">
        <w:instrText xml:space="preserve"> REF _Ref491958235 </w:instrText>
      </w:r>
      <w:r w:rsidR="00CC44ED">
        <w:fldChar w:fldCharType="separate"/>
      </w:r>
      <w:r w:rsidR="00D11844" w:rsidRPr="0021550A">
        <w:t xml:space="preserve">Table </w:t>
      </w:r>
      <w:r w:rsidR="00D11844">
        <w:rPr>
          <w:noProof/>
        </w:rPr>
        <w:t>8</w:t>
      </w:r>
      <w:r w:rsidR="00D11844">
        <w:t>.</w:t>
      </w:r>
      <w:r w:rsidR="00D11844">
        <w:rPr>
          <w:noProof/>
        </w:rPr>
        <w:t>1</w:t>
      </w:r>
      <w:r w:rsidR="00CC44ED">
        <w:fldChar w:fldCharType="end"/>
      </w:r>
      <w:r w:rsidR="00CC44ED">
        <w:t xml:space="preserve">) </w:t>
      </w:r>
      <w:r w:rsidR="005B49C9">
        <w:t>or just a section of text</w:t>
      </w:r>
      <w:r w:rsidR="00CC44ED">
        <w:t xml:space="preserve"> (shown in </w:t>
      </w:r>
      <w:r w:rsidR="00CC44ED">
        <w:fldChar w:fldCharType="begin"/>
      </w:r>
      <w:r w:rsidR="00CC44ED">
        <w:instrText xml:space="preserve"> REF _Ref491964959 </w:instrText>
      </w:r>
      <w:r w:rsidR="00CC44ED">
        <w:fldChar w:fldCharType="separate"/>
      </w:r>
      <w:r w:rsidR="00D11844" w:rsidRPr="0021550A">
        <w:t xml:space="preserve">Table </w:t>
      </w:r>
      <w:r w:rsidR="00D11844">
        <w:rPr>
          <w:noProof/>
        </w:rPr>
        <w:t>8</w:t>
      </w:r>
      <w:r w:rsidR="00D11844">
        <w:t>.</w:t>
      </w:r>
      <w:r w:rsidR="00D11844">
        <w:rPr>
          <w:noProof/>
        </w:rPr>
        <w:t>2</w:t>
      </w:r>
      <w:r w:rsidR="00CC44ED">
        <w:fldChar w:fldCharType="end"/>
      </w:r>
      <w:r w:rsidR="00CC44ED">
        <w:t>)</w:t>
      </w:r>
      <w:r w:rsidR="005B49C9">
        <w:t xml:space="preserve">. However, </w:t>
      </w:r>
      <w:r w:rsidR="00CC44ED">
        <w:t xml:space="preserve">these results show that </w:t>
      </w:r>
      <w:r w:rsidR="005B49C9">
        <w:t xml:space="preserve">when two compositors </w:t>
      </w:r>
      <w:r w:rsidR="00CC44ED">
        <w:t xml:space="preserve">typeset the same </w:t>
      </w:r>
      <w:r w:rsidR="005B49C9">
        <w:t>text, those two sections include dif</w:t>
      </w:r>
      <w:r w:rsidR="00CC44ED">
        <w:t xml:space="preserve">ferent spellings to one another. The lower </w:t>
      </w:r>
      <w:r w:rsidR="00A32E36">
        <w:t>similarity</w:t>
      </w:r>
      <w:r w:rsidR="00CC44ED">
        <w:t xml:space="preserve"> score for these sections of the same text shows that those sections use many of the same spellings as each other (because the score is still fairly high), but the similarity is far lower than when we are looking at the spellings from just one person. </w:t>
      </w:r>
      <w:r w:rsidR="00264CBE">
        <w:t>Therefore, we can see here that</w:t>
      </w:r>
      <w:r w:rsidR="00A32E36">
        <w:t xml:space="preserve"> </w:t>
      </w:r>
      <w:r w:rsidR="005B49C9">
        <w:t xml:space="preserve">compositors use different spellings to one another—i.e. they write in different orthographic idiolects. </w:t>
      </w:r>
      <w:r w:rsidR="00A32E36">
        <w:t xml:space="preserve">Additionally, the similarity testing also provides evidence to show that </w:t>
      </w:r>
      <w:r w:rsidR="005B49C9">
        <w:t xml:space="preserve">compositors </w:t>
      </w:r>
      <w:r w:rsidR="00A32E36">
        <w:t>change</w:t>
      </w:r>
      <w:r w:rsidR="005B49C9">
        <w:t xml:space="preserve"> spellings from the spellings used in their copy texts, even when the co</w:t>
      </w:r>
      <w:r w:rsidR="00A32E36">
        <w:t xml:space="preserve">py text is no longer available for direct comparison. </w:t>
      </w:r>
    </w:p>
    <w:p w14:paraId="2C312404" w14:textId="65A06FA1" w:rsidR="006B7289" w:rsidRPr="0021550A" w:rsidRDefault="006B7289" w:rsidP="000737CB">
      <w:r w:rsidRPr="0021550A">
        <w:lastRenderedPageBreak/>
        <w:t xml:space="preserve">In the case of the </w:t>
      </w:r>
      <w:r w:rsidRPr="0021550A">
        <w:rPr>
          <w:i/>
        </w:rPr>
        <w:t>Book of Good Manners</w:t>
      </w:r>
      <w:r w:rsidRPr="0021550A">
        <w:t xml:space="preserve">, we do not know why there is a difference between the spellings that are used in Cluster 1 and the spellings that are used in Cluster 2. </w:t>
      </w:r>
      <w:r w:rsidR="005B49C9">
        <w:t>However,</w:t>
      </w:r>
      <w:r w:rsidRPr="0021550A">
        <w:t xml:space="preserve"> </w:t>
      </w:r>
      <w:r w:rsidR="005B49C9">
        <w:t xml:space="preserve">while the similarity measure does not provide enough information as to why a change in spellings has taken place </w:t>
      </w:r>
      <w:r w:rsidRPr="0021550A">
        <w:t>the similarity score can corroborate that there is a change in spellings that takes place in the middle of the text, and is able to quantify</w:t>
      </w:r>
      <w:r w:rsidR="00A32E36">
        <w:t xml:space="preserve"> the difference in spellings between these two clusters relative to the similarity in other texts</w:t>
      </w:r>
      <w:r w:rsidRPr="0021550A">
        <w:t xml:space="preserve">. </w:t>
      </w:r>
      <w:r w:rsidR="00A32E36">
        <w:t xml:space="preserve">I return to discuss the spellings in the </w:t>
      </w:r>
      <w:r w:rsidR="00A32E36">
        <w:rPr>
          <w:i/>
        </w:rPr>
        <w:t>Book of Good Manners</w:t>
      </w:r>
      <w:r w:rsidR="00A32E36">
        <w:t xml:space="preserve"> in Section </w:t>
      </w:r>
      <w:r w:rsidR="00A32E36">
        <w:fldChar w:fldCharType="begin"/>
      </w:r>
      <w:r w:rsidR="00A32E36">
        <w:instrText xml:space="preserve"> REF _Ref497397371 \r </w:instrText>
      </w:r>
      <w:r w:rsidR="00A32E36">
        <w:fldChar w:fldCharType="separate"/>
      </w:r>
      <w:r w:rsidR="00D11844">
        <w:t>9.2</w:t>
      </w:r>
      <w:r w:rsidR="00A32E36">
        <w:fldChar w:fldCharType="end"/>
      </w:r>
      <w:r w:rsidR="00A32E36">
        <w:t>.</w:t>
      </w:r>
      <w:r w:rsidRPr="0021550A">
        <w:t xml:space="preserve"> </w:t>
      </w:r>
    </w:p>
    <w:p w14:paraId="43D45E51" w14:textId="553D54E7" w:rsidR="006B7289" w:rsidRPr="00264CBE" w:rsidRDefault="006B7289" w:rsidP="00BF5A02">
      <w:r w:rsidRPr="0021550A">
        <w:t xml:space="preserve">The texts and sections of text that we have seen so far in this chapter all have a similarity score of around 0.9 (and in some cases, slightly higher). We can use this as a baseline measure for the level of similarity that we would expect when a section of text has been typeset by one compositor and there has not been a change at the level of the underlying copy text. </w:t>
      </w:r>
      <w:r w:rsidR="000F5857">
        <w:t xml:space="preserve">For example, when we compare sections together where a change in spellings has taken place, such as the two compositors of </w:t>
      </w:r>
      <w:r w:rsidR="000F5857">
        <w:rPr>
          <w:i/>
        </w:rPr>
        <w:t>Troilus and Criseyde</w:t>
      </w:r>
      <w:r w:rsidR="000F5857">
        <w:t xml:space="preserve">, the similarity score is well below the baseline. </w:t>
      </w:r>
      <w:r w:rsidR="00264CBE">
        <w:t xml:space="preserve">While the difference in the spellings used by the two compositors of </w:t>
      </w:r>
      <w:r w:rsidR="00264CBE">
        <w:rPr>
          <w:i/>
        </w:rPr>
        <w:t>Troilus and Criseyde</w:t>
      </w:r>
      <w:r w:rsidR="00264CBE">
        <w:t xml:space="preserve"> reduces the similarity score for those sections of text, both compositors still have a high level of input from the copy text that they were using. The next section considers the one of the few cases in which we can differentiate the spellings of the compositors from the spellings that they copied from the copy text. </w:t>
      </w:r>
    </w:p>
    <w:p w14:paraId="5CAD8451" w14:textId="77777777" w:rsidR="00B81C16" w:rsidRPr="0021550A" w:rsidRDefault="00B81C16" w:rsidP="00BF5A02"/>
    <w:p w14:paraId="7CAAA2FD" w14:textId="1E4E84EC" w:rsidR="00B81C16" w:rsidRPr="0021550A" w:rsidRDefault="00A32E36" w:rsidP="00CE1630">
      <w:pPr>
        <w:pStyle w:val="Heading2"/>
        <w:jc w:val="left"/>
      </w:pPr>
      <w:bookmarkStart w:id="221" w:name="_Ref499624231"/>
      <w:r>
        <w:t>Quantifying the difference in idiolects</w:t>
      </w:r>
      <w:r w:rsidR="00B81C16">
        <w:t>:</w:t>
      </w:r>
      <w:r>
        <w:t xml:space="preserve"> the compositors of Caxton’s second</w:t>
      </w:r>
      <w:r w:rsidR="00B81C16">
        <w:t xml:space="preserve"> </w:t>
      </w:r>
      <w:r w:rsidR="00B81C16">
        <w:rPr>
          <w:i/>
        </w:rPr>
        <w:t>Canterbury Tales</w:t>
      </w:r>
      <w:bookmarkEnd w:id="221"/>
      <w:r w:rsidR="00B81C16">
        <w:t xml:space="preserve"> </w:t>
      </w:r>
    </w:p>
    <w:p w14:paraId="4685EB59" w14:textId="778DE34C" w:rsidR="00B81C16" w:rsidRPr="0021550A" w:rsidRDefault="00B81C16" w:rsidP="00B81C16">
      <w:r w:rsidRPr="0021550A">
        <w:t xml:space="preserve">This section considers how we can use similarity testing to look </w:t>
      </w:r>
      <w:r w:rsidR="007339A3">
        <w:t xml:space="preserve">at </w:t>
      </w:r>
      <w:r w:rsidRPr="0021550A">
        <w:t xml:space="preserve">the difference between the spellings used by the two compositors of Caxton’s second edition of the </w:t>
      </w:r>
      <w:r w:rsidRPr="0021550A">
        <w:rPr>
          <w:i/>
        </w:rPr>
        <w:t>Canterbury Tales</w:t>
      </w:r>
      <w:r w:rsidRPr="0021550A">
        <w:t xml:space="preserve">. It was not possible to undertake cluster analysis on the quires of Caxton’s second </w:t>
      </w:r>
      <w:r w:rsidRPr="0021550A">
        <w:rPr>
          <w:i/>
        </w:rPr>
        <w:t>Canterbury Tales</w:t>
      </w:r>
      <w:r w:rsidRPr="0021550A">
        <w:t xml:space="preserve"> </w:t>
      </w:r>
      <w:r w:rsidR="00264CBE">
        <w:t xml:space="preserve">in the previous chapter </w:t>
      </w:r>
      <w:r w:rsidRPr="0021550A">
        <w:t>because the text is not available in a plain text edition</w:t>
      </w:r>
      <w:r w:rsidR="00D52635">
        <w:t>, probably</w:t>
      </w:r>
      <w:r>
        <w:t xml:space="preserve"> due to </w:t>
      </w:r>
      <w:r>
        <w:rPr>
          <w:i/>
        </w:rPr>
        <w:t>EEBO-</w:t>
      </w:r>
      <w:r>
        <w:t>TCP’s preference for digitising first editions</w:t>
      </w:r>
      <w:r w:rsidRPr="0021550A">
        <w:t xml:space="preserve">. As such, we do not know whether there is any change in spelling that takes place within the text, and if any change in spellings does take place, we do not know whether the changes are caused by the compositor or the copy text. </w:t>
      </w:r>
      <w:r w:rsidR="00D52635">
        <w:t xml:space="preserve">However, Hellinga and Painter (2007: 132) state that, as in the first edition of the text, there is a change of compositors that takes place at the beginning of Quire L. </w:t>
      </w:r>
      <w:r w:rsidRPr="0021550A">
        <w:t>We can divide the text into two sections</w:t>
      </w:r>
      <w:r w:rsidR="00D52635">
        <w:t xml:space="preserve"> for comparison</w:t>
      </w:r>
      <w:r w:rsidRPr="0021550A">
        <w:t xml:space="preserve">: the section of text that was typeset by Compositor 1 and the section of text that was typeset by Compositor 2. We can measure the similarity of the spellings used on either side of the beginning of Quire L against one another, and see the extent to which a change in compositors causes a change in the spellings used in the text. </w:t>
      </w:r>
    </w:p>
    <w:p w14:paraId="1AA27E51" w14:textId="6B5C03AF" w:rsidR="00B81C16" w:rsidRPr="0021550A" w:rsidRDefault="00B81C16" w:rsidP="00B81C16">
      <w:r w:rsidRPr="0021550A">
        <w:lastRenderedPageBreak/>
        <w:t xml:space="preserve">Hellinga </w:t>
      </w:r>
      <w:r w:rsidR="00D52635">
        <w:t>and</w:t>
      </w:r>
      <w:r w:rsidRPr="0021550A">
        <w:t xml:space="preserve"> Painter determined the location of the change in compositor based on three </w:t>
      </w:r>
      <w:r w:rsidR="00264CBE">
        <w:t xml:space="preserve">bibliographic </w:t>
      </w:r>
      <w:r w:rsidRPr="0021550A">
        <w:t>factors: a blank page mid-text, the paper stocks, and the use of headings. The end of the last quire typeset by Compositor 1 is a blank page (</w:t>
      </w:r>
      <w:r w:rsidR="00D52635">
        <w:t>the end of Quire K</w:t>
      </w:r>
      <w:r w:rsidRPr="0021550A">
        <w:t xml:space="preserve">), and this is the only blank page to appear mid-text throughout the whole book. The paper stocks also support the change of compositors at this location. In addition to the material evidence, the work of the two compositors can be distinguished through their use of paratextual features. Compositor 1 wrote the header for each page as “The Prologue” as opposed to headers in the form “The marchauntes prolog”, used by Compositor 2. Finally, Compositor 1 used capital letters as guide letters for later rubrication of a larger, decorative letter at the start of a section, but Compositor 2 used lower-case guide letters. </w:t>
      </w:r>
      <w:r>
        <w:t>These additional factors support the conclusion that</w:t>
      </w:r>
      <w:r w:rsidRPr="0021550A">
        <w:t xml:space="preserve"> any spelling changes that were introduced between Quire A to the end of Quire K were those of Compositor 1, and those from the beginning of Quire L to the end of the text were introduced by Compositor 2. By knowing where the work of Compositor 1 stopped and the work of Compositor 2 began, we can see the spellings that each compositor used, independent of the spellings in the copy text. </w:t>
      </w:r>
    </w:p>
    <w:p w14:paraId="1FBE079E" w14:textId="60353B43" w:rsidR="00D53369" w:rsidRDefault="00B81C16" w:rsidP="00B81C16">
      <w:r w:rsidRPr="0021550A">
        <w:t xml:space="preserve">Caxton’s second edition of the </w:t>
      </w:r>
      <w:r w:rsidRPr="0021550A">
        <w:rPr>
          <w:i/>
        </w:rPr>
        <w:t>Canterbury Tales</w:t>
      </w:r>
      <w:r w:rsidRPr="0021550A">
        <w:t xml:space="preserve"> is ideal for testing the similarity measure, because it is the only text for which we can isolate the spellings that were introduced by the compositors. It is only possible to compare the spellings of compositors directly when we know what the copy text was for a text, and </w:t>
      </w:r>
      <w:r w:rsidR="00B06FD5">
        <w:t>when</w:t>
      </w:r>
      <w:r w:rsidRPr="0021550A">
        <w:t xml:space="preserve"> we can compare the text against its copy text</w:t>
      </w:r>
      <w:r w:rsidR="00D52635">
        <w:t xml:space="preserve"> on a word by word basis</w:t>
      </w:r>
      <w:r w:rsidRPr="0021550A">
        <w:t xml:space="preserve">. In the case of Caxton’s second </w:t>
      </w:r>
      <w:r w:rsidRPr="0021550A">
        <w:rPr>
          <w:i/>
        </w:rPr>
        <w:t>Canterbury Tales</w:t>
      </w:r>
      <w:r w:rsidRPr="0021550A">
        <w:t xml:space="preserve">, we know that its copy text was Caxton’s first edition of the text </w:t>
      </w:r>
      <w:r w:rsidR="00D52635">
        <w:t>(Blake 2000)</w:t>
      </w:r>
      <w:r w:rsidRPr="0021550A">
        <w:t xml:space="preserve">. </w:t>
      </w:r>
      <w:r w:rsidRPr="0021550A">
        <w:rPr>
          <w:color w:val="000000" w:themeColor="text1"/>
        </w:rPr>
        <w:t xml:space="preserve">By comparing the second edition against the first, we can </w:t>
      </w:r>
      <w:r w:rsidR="00B06FD5">
        <w:rPr>
          <w:color w:val="000000" w:themeColor="text1"/>
        </w:rPr>
        <w:t>find</w:t>
      </w:r>
      <w:r w:rsidRPr="0021550A">
        <w:rPr>
          <w:color w:val="000000" w:themeColor="text1"/>
        </w:rPr>
        <w:t xml:space="preserve"> </w:t>
      </w:r>
      <w:r w:rsidR="00B06FD5">
        <w:rPr>
          <w:color w:val="000000" w:themeColor="text1"/>
        </w:rPr>
        <w:t>where the compositor deviated from the spellings in the copy text</w:t>
      </w:r>
      <w:r w:rsidRPr="0021550A">
        <w:rPr>
          <w:color w:val="000000" w:themeColor="text1"/>
        </w:rPr>
        <w:t xml:space="preserve"> and isolate these from the variants that he copied directly.</w:t>
      </w:r>
      <w:r w:rsidRPr="0021550A">
        <w:t xml:space="preserve"> </w:t>
      </w:r>
      <w:r w:rsidRPr="0021550A">
        <w:rPr>
          <w:color w:val="000000" w:themeColor="text1"/>
        </w:rPr>
        <w:t>If we only look at the words where the compositor used a different spelling to the spelling in the copy text, then we can remove the influence of the copy text. In this way, we can pinpoint the influence of the compositor on the spellings of the new text, and remove the noise from the spellings copied from the copy text.</w:t>
      </w:r>
      <w:r w:rsidR="00D53369">
        <w:rPr>
          <w:color w:val="000000" w:themeColor="text1"/>
        </w:rPr>
        <w:t xml:space="preserve"> </w:t>
      </w:r>
      <w:r w:rsidRPr="0021550A">
        <w:t xml:space="preserve">Once we isolate the spellings that differ from those in the copy text, we have a set of words that were changed by the compositor. Spellings that are changed before Quire L are spellings that were changed by Compositor 1, and spellings that were changed in or after Quire </w:t>
      </w:r>
      <w:r w:rsidR="00D53369">
        <w:t>L were changed by Compositor 2.</w:t>
      </w:r>
    </w:p>
    <w:p w14:paraId="207B4FCF" w14:textId="0BE96436" w:rsidR="00D53369" w:rsidRPr="00D53369" w:rsidRDefault="00D53369" w:rsidP="00B81C16">
      <w:r>
        <w:t xml:space="preserve">This similarity test was not undertaken on the entirety of the second edition of the </w:t>
      </w:r>
      <w:r>
        <w:rPr>
          <w:i/>
        </w:rPr>
        <w:t>Canterbury Tales</w:t>
      </w:r>
      <w:r>
        <w:t xml:space="preserve"> because the text is not available online through </w:t>
      </w:r>
      <w:r>
        <w:rPr>
          <w:i/>
        </w:rPr>
        <w:t>EEBO</w:t>
      </w:r>
      <w:r>
        <w:t xml:space="preserve">-TCP. Instead, the spellings must be manually compiled for comparison. Due to limited time and resources it was not possible to undertake a full comparison of the spellings used in the second </w:t>
      </w:r>
      <w:r>
        <w:rPr>
          <w:i/>
        </w:rPr>
        <w:t>Canterbury Tales</w:t>
      </w:r>
      <w:r>
        <w:t xml:space="preserve">, but instead </w:t>
      </w:r>
      <w:r w:rsidR="007339A3">
        <w:t xml:space="preserve">I </w:t>
      </w:r>
      <w:r>
        <w:t xml:space="preserve">used the data that was created in studying section of the </w:t>
      </w:r>
      <w:r>
        <w:lastRenderedPageBreak/>
        <w:t xml:space="preserve">text in Chapter 3. As such, this comparison was undertaken on a sample of approximately 10,000 words of text each from Compositor 1 and Compositor 2. </w:t>
      </w:r>
    </w:p>
    <w:p w14:paraId="0665E9D7" w14:textId="7F35B56D" w:rsidR="00B81C16" w:rsidRDefault="00B81C16" w:rsidP="00B81C16">
      <w:r w:rsidRPr="0021550A">
        <w:t xml:space="preserve">The similarity score when we compare the two compositors spelling systems together is 0.39. This is a low score, suggesting that though the compositors preferred to use some of the same spelling variants, for the most part </w:t>
      </w:r>
      <w:r w:rsidR="00D53369">
        <w:t>when the compositors were replacing the spellings in their copy texts, they chose to use different spellings to one another</w:t>
      </w:r>
      <w:r w:rsidRPr="0021550A">
        <w:t xml:space="preserve">. For example, though both compositors preferred to use </w:t>
      </w:r>
      <w:r w:rsidRPr="0021550A">
        <w:rPr>
          <w:i/>
          <w:iCs/>
        </w:rPr>
        <w:t>might</w:t>
      </w:r>
      <w:r w:rsidRPr="0021550A">
        <w:t xml:space="preserve"> for </w:t>
      </w:r>
      <w:r w:rsidRPr="0021550A">
        <w:rPr>
          <w:sz w:val="16"/>
          <w:szCs w:val="16"/>
        </w:rPr>
        <w:t>MIGHT</w:t>
      </w:r>
      <w:r w:rsidRPr="0021550A">
        <w:t xml:space="preserve">, Compositor 1 used the forms </w:t>
      </w:r>
      <w:r w:rsidRPr="0021550A">
        <w:rPr>
          <w:i/>
          <w:iCs/>
        </w:rPr>
        <w:t>al, all, alle</w:t>
      </w:r>
      <w:r w:rsidRPr="0021550A">
        <w:t xml:space="preserve"> in roughly equal measure when representing the word </w:t>
      </w:r>
      <w:r w:rsidRPr="0021550A">
        <w:rPr>
          <w:smallCaps/>
        </w:rPr>
        <w:t>all</w:t>
      </w:r>
      <w:r w:rsidRPr="0021550A">
        <w:t xml:space="preserve">, but Compositor 2 only ever used </w:t>
      </w:r>
      <w:r w:rsidRPr="0021550A">
        <w:rPr>
          <w:i/>
          <w:iCs/>
        </w:rPr>
        <w:t>al</w:t>
      </w:r>
      <w:r w:rsidRPr="0021550A">
        <w:t xml:space="preserve">. And where Compositor 1 tended to use </w:t>
      </w:r>
      <w:r w:rsidRPr="0021550A">
        <w:rPr>
          <w:i/>
          <w:iCs/>
        </w:rPr>
        <w:t>hyr</w:t>
      </w:r>
      <w:r w:rsidRPr="0021550A">
        <w:t xml:space="preserve"> for the word </w:t>
      </w:r>
      <w:r w:rsidRPr="0021550A">
        <w:rPr>
          <w:sz w:val="16"/>
          <w:szCs w:val="16"/>
        </w:rPr>
        <w:t>HER</w:t>
      </w:r>
      <w:r w:rsidRPr="0021550A">
        <w:t xml:space="preserve">, Compositor 2 preferred to use </w:t>
      </w:r>
      <w:r w:rsidRPr="0021550A">
        <w:rPr>
          <w:i/>
          <w:iCs/>
        </w:rPr>
        <w:t>her</w:t>
      </w:r>
      <w:r w:rsidRPr="0021550A">
        <w:t xml:space="preserve">. It is the sum of these small differences in spelling choice that come together cumulatively to suggest that Compositor 1 and Compositor 2 do not prefer to use the same spelling variants as one another overall. </w:t>
      </w:r>
    </w:p>
    <w:p w14:paraId="12C3429C" w14:textId="5ED4D6E1" w:rsidR="000162DA" w:rsidRDefault="000162DA" w:rsidP="00B81C16">
      <w:r>
        <w:t xml:space="preserve">This score for the comparison of compositors is far lower than the scores for the two compositors of </w:t>
      </w:r>
      <w:r>
        <w:rPr>
          <w:i/>
        </w:rPr>
        <w:t>Troilus and Criseyde</w:t>
      </w:r>
      <w:r>
        <w:t xml:space="preserve"> and the two sections of the </w:t>
      </w:r>
      <w:r>
        <w:rPr>
          <w:i/>
        </w:rPr>
        <w:t>Book of Good Manners</w:t>
      </w:r>
      <w:r>
        <w:t xml:space="preserve"> observed in the previous section. However, in those cases, both texts also include spellings from the copy text as well as the compositor. </w:t>
      </w:r>
      <w:r w:rsidR="00B81C16" w:rsidRPr="0021550A">
        <w:t xml:space="preserve">Caxton’s second edition of the </w:t>
      </w:r>
      <w:r w:rsidR="00B81C16" w:rsidRPr="0021550A">
        <w:rPr>
          <w:i/>
        </w:rPr>
        <w:t>Canterbury Tales</w:t>
      </w:r>
      <w:r w:rsidR="00B81C16" w:rsidRPr="0021550A">
        <w:t xml:space="preserve"> is a rare example of a text that was both typeset by two compositors and for which we have an extant copy text. The copy text is important in this case, because </w:t>
      </w:r>
      <w:r>
        <w:t>it allows us to</w:t>
      </w:r>
      <w:r w:rsidR="00B81C16" w:rsidRPr="0021550A">
        <w:t xml:space="preserve"> separate the spellings that were introduced by the compositor from the spellings that the compositor copied directly from the copy text. </w:t>
      </w:r>
      <w:r>
        <w:t xml:space="preserve">This lower score suggests that were we able to isolate the spellings from the compositors alone, </w:t>
      </w:r>
      <w:r w:rsidR="00011644">
        <w:t xml:space="preserve">then </w:t>
      </w:r>
      <w:r>
        <w:t xml:space="preserve">the compositors could use far less similar spellings to one another than may otherwise appear from the similarity data. </w:t>
      </w:r>
    </w:p>
    <w:p w14:paraId="0EC89B99" w14:textId="29D82276" w:rsidR="00B81C16" w:rsidRPr="0021550A" w:rsidRDefault="00B81C16" w:rsidP="00B81C16">
      <w:r w:rsidRPr="0021550A">
        <w:t>However, for most incunables printed by C</w:t>
      </w:r>
      <w:r w:rsidR="00011644">
        <w:t>axton this method does not work</w:t>
      </w:r>
      <w:r w:rsidRPr="0021550A">
        <w:t xml:space="preserve"> because of the difficulty in finding texts where we know what the copy text was. For texts without the copy text, it is necessary to take the noise from the copy text into account. Where it is not possible to separate the copy text from the spellings that the compositor introduced, we would expect the similarity between sections of the same text to be far higher because both sections include spellings from the same source of input—the copy text. </w:t>
      </w:r>
    </w:p>
    <w:p w14:paraId="63C905CE" w14:textId="77777777" w:rsidR="00E13B92" w:rsidRDefault="00E13B92" w:rsidP="000737CB"/>
    <w:p w14:paraId="46F24B63" w14:textId="60C49B0B" w:rsidR="00B83317" w:rsidRPr="009E1049" w:rsidRDefault="00B83317" w:rsidP="008F4B75">
      <w:pPr>
        <w:pStyle w:val="Heading2"/>
        <w:jc w:val="left"/>
      </w:pPr>
      <w:bookmarkStart w:id="222" w:name="_Ref497394504"/>
      <w:bookmarkStart w:id="223" w:name="_Toc497899876"/>
      <w:r w:rsidRPr="009E1049">
        <w:t>Using similarity measurements to find out about Caxton’s texts</w:t>
      </w:r>
      <w:bookmarkEnd w:id="222"/>
      <w:bookmarkEnd w:id="223"/>
    </w:p>
    <w:p w14:paraId="5842E390" w14:textId="081A4C14" w:rsidR="00B83317" w:rsidRPr="0021550A" w:rsidRDefault="00B83317" w:rsidP="000737CB">
      <w:r w:rsidRPr="0021550A">
        <w:t xml:space="preserve">In the previous chapter, I raised several research questions that came out of the clustering process. In this section, I aim to resolve some of them by </w:t>
      </w:r>
      <w:r w:rsidR="00FA3BD9">
        <w:t>using similarity measurements, i</w:t>
      </w:r>
      <w:r w:rsidRPr="0021550A">
        <w:t xml:space="preserve">n particular, the questions that are most apt to be answered using similarity </w:t>
      </w:r>
      <w:r w:rsidRPr="0021550A">
        <w:lastRenderedPageBreak/>
        <w:t>measurements are changes in compositor. The questions that this section aims to answer are:</w:t>
      </w:r>
    </w:p>
    <w:p w14:paraId="1920F9E9" w14:textId="3F2BF3C8" w:rsidR="00B83317" w:rsidRPr="0021550A" w:rsidRDefault="00453776" w:rsidP="00C54C4D">
      <w:pPr>
        <w:ind w:left="720" w:hanging="540"/>
      </w:pPr>
      <w:r>
        <w:t>D</w:t>
      </w:r>
      <w:r w:rsidR="00B83317">
        <w:t>:</w:t>
      </w:r>
      <w:r w:rsidR="00B83317">
        <w:tab/>
      </w:r>
      <w:r w:rsidR="00B83317" w:rsidRPr="0021550A">
        <w:t xml:space="preserve">What is the source of the change in spelling variants in Caxton’s first edition of the </w:t>
      </w:r>
      <w:r w:rsidR="00B83317" w:rsidRPr="0021550A">
        <w:rPr>
          <w:i/>
        </w:rPr>
        <w:t>Canterbury Tales</w:t>
      </w:r>
      <w:r w:rsidR="00B83317" w:rsidRPr="0021550A">
        <w:t>?</w:t>
      </w:r>
    </w:p>
    <w:p w14:paraId="21201705" w14:textId="2A591620" w:rsidR="00B83317" w:rsidRDefault="00453776" w:rsidP="00C54C4D">
      <w:pPr>
        <w:ind w:left="720" w:hanging="540"/>
      </w:pPr>
      <w:r>
        <w:t>F</w:t>
      </w:r>
      <w:r w:rsidR="00B83317">
        <w:t>:</w:t>
      </w:r>
      <w:r w:rsidR="00B83317">
        <w:tab/>
      </w:r>
      <w:r w:rsidR="00B83317" w:rsidRPr="0021550A">
        <w:t xml:space="preserve">Are the differences between Cluster 3a and 3b and Cluster 5 in the </w:t>
      </w:r>
      <w:r w:rsidR="00B83317" w:rsidRPr="0021550A">
        <w:rPr>
          <w:i/>
        </w:rPr>
        <w:t>Golden Legend</w:t>
      </w:r>
      <w:r w:rsidR="00B83317" w:rsidRPr="0021550A">
        <w:t xml:space="preserve"> caused by a change in compositor?</w:t>
      </w:r>
    </w:p>
    <w:p w14:paraId="671FD735" w14:textId="7C2AB570" w:rsidR="00B83317" w:rsidRPr="0021550A" w:rsidRDefault="00453776" w:rsidP="00C54C4D">
      <w:pPr>
        <w:ind w:left="720" w:hanging="540"/>
      </w:pPr>
      <w:r>
        <w:t>G</w:t>
      </w:r>
      <w:r w:rsidR="00B83317">
        <w:t>:</w:t>
      </w:r>
      <w:r w:rsidR="00B83317">
        <w:tab/>
      </w:r>
      <w:r w:rsidR="00B83317" w:rsidRPr="0021550A">
        <w:t>Are the quires in Cluster 3a and Cluster 3b typeset by the same compositor?</w:t>
      </w:r>
    </w:p>
    <w:p w14:paraId="6CCB1DBF" w14:textId="6E336018" w:rsidR="00B83317" w:rsidRDefault="00453776" w:rsidP="00C54C4D">
      <w:pPr>
        <w:ind w:left="720" w:hanging="540"/>
      </w:pPr>
      <w:r>
        <w:t>L</w:t>
      </w:r>
      <w:r w:rsidR="00B83317">
        <w:t>:</w:t>
      </w:r>
      <w:r w:rsidR="00B83317">
        <w:tab/>
      </w:r>
      <w:r w:rsidR="00B83317" w:rsidRPr="0021550A">
        <w:t xml:space="preserve">Was there a change in compositor in the </w:t>
      </w:r>
      <w:r w:rsidR="00B83317" w:rsidRPr="0021550A">
        <w:rPr>
          <w:i/>
        </w:rPr>
        <w:t xml:space="preserve">Polychronicon </w:t>
      </w:r>
      <w:r w:rsidR="00B83317" w:rsidRPr="0021550A">
        <w:t xml:space="preserve">at the location suggested by Hellinga </w:t>
      </w:r>
      <w:r w:rsidR="000162DA">
        <w:t>and</w:t>
      </w:r>
      <w:r w:rsidR="00B83317" w:rsidRPr="0021550A">
        <w:t xml:space="preserve"> Painter?</w:t>
      </w:r>
    </w:p>
    <w:p w14:paraId="47412332" w14:textId="77777777" w:rsidR="00B83317" w:rsidRPr="0021550A" w:rsidRDefault="00B83317" w:rsidP="000737CB"/>
    <w:p w14:paraId="28F003EA" w14:textId="1BED6CB7" w:rsidR="00B83317" w:rsidRPr="0021550A" w:rsidRDefault="00B83317" w:rsidP="000737CB">
      <w:pPr>
        <w:pStyle w:val="Heading3"/>
      </w:pPr>
      <w:bookmarkStart w:id="224" w:name="_Ref497210599"/>
      <w:r w:rsidRPr="0021550A">
        <w:t xml:space="preserve">Change of compositor in the first edition of the </w:t>
      </w:r>
      <w:r w:rsidRPr="00C54C4D">
        <w:rPr>
          <w:i/>
        </w:rPr>
        <w:t>Canterbury Tales</w:t>
      </w:r>
      <w:bookmarkEnd w:id="224"/>
    </w:p>
    <w:p w14:paraId="2B6DD9D8" w14:textId="67090F96" w:rsidR="00B83317" w:rsidRDefault="00B83317" w:rsidP="000737CB">
      <w:r w:rsidRPr="0021550A">
        <w:t xml:space="preserve">In Caxton’s first edition of the </w:t>
      </w:r>
      <w:r w:rsidRPr="0021550A">
        <w:rPr>
          <w:i/>
        </w:rPr>
        <w:t>Canterbury Tales</w:t>
      </w:r>
      <w:r w:rsidRPr="0021550A">
        <w:t xml:space="preserve">, the cluster analysis found a change in spellings at the beginning of Quire L. However, partway through the second cluster the quires began to use the same spellings that were used in the first cluster again. The cluster analysis is unstable after </w:t>
      </w:r>
      <w:r w:rsidRPr="0021550A">
        <w:rPr>
          <w:i/>
        </w:rPr>
        <w:t>k</w:t>
      </w:r>
      <w:r w:rsidRPr="0021550A">
        <w:t xml:space="preserve"> = 2, i.e. if we try to cluster the quires of the </w:t>
      </w:r>
      <w:r w:rsidRPr="0021550A">
        <w:rPr>
          <w:i/>
        </w:rPr>
        <w:t>Canterbury Tales</w:t>
      </w:r>
      <w:r w:rsidRPr="0021550A">
        <w:t xml:space="preserve"> into three clusters, the clusters that are produced are not made up of consecutive quires and the results are liable to change upon rerunning the algorithm. The question here is whether the change at the beginning of Quire L marks a change in the copy text alone, or also a change in the compositor. We can attempt to find this out by comparing the spellings </w:t>
      </w:r>
      <w:r w:rsidR="00652BF7">
        <w:t xml:space="preserve">in the verse </w:t>
      </w:r>
      <w:r w:rsidRPr="0021550A">
        <w:t xml:space="preserve">on either side of the compositorial divide. </w:t>
      </w:r>
    </w:p>
    <w:p w14:paraId="34E9130C" w14:textId="77777777" w:rsidR="00652BF7" w:rsidRPr="0021550A" w:rsidRDefault="00652BF7" w:rsidP="000737CB"/>
    <w:p w14:paraId="304AF09D" w14:textId="29315AF8" w:rsidR="00B83317" w:rsidRPr="0021550A" w:rsidRDefault="00B83317" w:rsidP="00C54C4D">
      <w:pPr>
        <w:ind w:firstLine="0"/>
      </w:pPr>
      <w:r w:rsidRPr="0021550A">
        <w:rPr>
          <w:noProof/>
          <w:lang w:eastAsia="en-GB"/>
        </w:rPr>
        <w:drawing>
          <wp:inline distT="0" distB="0" distL="0" distR="0" wp14:anchorId="539C702C" wp14:editId="63671B6B">
            <wp:extent cx="4985385" cy="693983"/>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anterbury Tales k = 2 restricted vars.pdf"/>
                    <pic:cNvPicPr/>
                  </pic:nvPicPr>
                  <pic:blipFill rotWithShape="1">
                    <a:blip r:embed="rId66">
                      <a:extLst>
                        <a:ext uri="{28A0092B-C50C-407E-A947-70E740481C1C}">
                          <a14:useLocalDpi xmlns:a14="http://schemas.microsoft.com/office/drawing/2010/main"/>
                        </a:ext>
                      </a:extLst>
                    </a:blip>
                    <a:srcRect l="7002" t="11792" r="44493" b="76205"/>
                    <a:stretch/>
                  </pic:blipFill>
                  <pic:spPr bwMode="auto">
                    <a:xfrm>
                      <a:off x="0" y="0"/>
                      <a:ext cx="5495592" cy="765006"/>
                    </a:xfrm>
                    <a:prstGeom prst="rect">
                      <a:avLst/>
                    </a:prstGeom>
                    <a:ln>
                      <a:noFill/>
                    </a:ln>
                    <a:extLst>
                      <a:ext uri="{53640926-AAD7-44D8-BBD7-CCE9431645EC}">
                        <a14:shadowObscured xmlns:a14="http://schemas.microsoft.com/office/drawing/2010/main"/>
                      </a:ext>
                    </a:extLst>
                  </pic:spPr>
                </pic:pic>
              </a:graphicData>
            </a:graphic>
          </wp:inline>
        </w:drawing>
      </w:r>
    </w:p>
    <w:p w14:paraId="45FD72E7" w14:textId="48A83E30" w:rsidR="00B83317" w:rsidRPr="0021550A" w:rsidRDefault="00453776" w:rsidP="000737CB">
      <w:pPr>
        <w:pStyle w:val="Caption"/>
      </w:pPr>
      <w:bookmarkStart w:id="225" w:name="_Toc499753560"/>
      <w:r>
        <w:t>Figure 8.3:</w:t>
      </w:r>
      <w:r w:rsidR="00B83317" w:rsidRPr="0021550A">
        <w:t xml:space="preserve"> </w:t>
      </w:r>
      <w:r w:rsidR="00104CBE">
        <w:t>Clustering the</w:t>
      </w:r>
      <w:r w:rsidR="00B83317" w:rsidRPr="0021550A">
        <w:t xml:space="preserve"> </w:t>
      </w:r>
      <w:r w:rsidR="00B83317" w:rsidRPr="0021550A">
        <w:rPr>
          <w:i/>
        </w:rPr>
        <w:t>Canterbury Tales</w:t>
      </w:r>
      <w:r w:rsidR="00634698">
        <w:t xml:space="preserve"> with </w:t>
      </w:r>
      <w:r w:rsidR="00B83317" w:rsidRPr="0021550A">
        <w:t>restricted spelling</w:t>
      </w:r>
      <w:r w:rsidR="00634698">
        <w:t>s</w:t>
      </w:r>
      <w:r w:rsidR="00B83317" w:rsidRPr="0021550A">
        <w:t xml:space="preserve">, </w:t>
      </w:r>
      <w:r w:rsidR="00B83317" w:rsidRPr="0021550A">
        <w:rPr>
          <w:i/>
        </w:rPr>
        <w:t>k</w:t>
      </w:r>
      <w:r w:rsidR="00B83317" w:rsidRPr="0021550A">
        <w:t xml:space="preserve"> = 2</w:t>
      </w:r>
      <w:bookmarkEnd w:id="225"/>
    </w:p>
    <w:p w14:paraId="272DE6C7" w14:textId="77777777" w:rsidR="00B83317" w:rsidRPr="0021550A" w:rsidRDefault="00B83317" w:rsidP="000737CB"/>
    <w:p w14:paraId="26FB387C" w14:textId="333D32E0" w:rsidR="00B83317" w:rsidRPr="0021550A" w:rsidRDefault="00B83317" w:rsidP="000737CB">
      <w:r w:rsidRPr="0021550A">
        <w:t>This section aims to find out whether there is a change in compositor that takes place at the beginning of Quire L</w:t>
      </w:r>
      <w:r w:rsidR="00FA3BD9">
        <w:t xml:space="preserve"> of the </w:t>
      </w:r>
      <w:r w:rsidR="00FA3BD9">
        <w:rPr>
          <w:i/>
        </w:rPr>
        <w:t>Canterbury Tales</w:t>
      </w:r>
      <w:r w:rsidRPr="0021550A">
        <w:t xml:space="preserve">, as suggested by Hellinga </w:t>
      </w:r>
      <w:r w:rsidR="000162DA">
        <w:t>and</w:t>
      </w:r>
      <w:r w:rsidRPr="0021550A">
        <w:t xml:space="preserve"> Painter</w:t>
      </w:r>
      <w:r w:rsidR="001E636E">
        <w:t xml:space="preserve"> </w:t>
      </w:r>
      <w:r w:rsidR="001E636E" w:rsidRPr="001E636E">
        <w:t>(2007:</w:t>
      </w:r>
      <w:r w:rsidR="00634698">
        <w:t xml:space="preserve"> </w:t>
      </w:r>
      <w:r w:rsidR="001E636E" w:rsidRPr="001E636E">
        <w:t>104, 132)</w:t>
      </w:r>
      <w:r w:rsidRPr="0021550A">
        <w:t xml:space="preserve">. Hellinga </w:t>
      </w:r>
      <w:r w:rsidR="00652BF7">
        <w:t>and</w:t>
      </w:r>
      <w:r w:rsidRPr="0021550A">
        <w:t xml:space="preserve"> Painter believe that there is a change in the compositor at the beginning of Quire L on the grounds that the sectio</w:t>
      </w:r>
      <w:r w:rsidR="00E92592">
        <w:t xml:space="preserve">n beginning on Quire L begins </w:t>
      </w:r>
      <w:r w:rsidRPr="0021550A">
        <w:t>at the top of the page. There is also half a blank page preceding the start of the Tale of Melibee, whereas elsewhere in the text there are no blank pages between the end of one Tale and the start of another. However, evidence from t</w:t>
      </w:r>
      <w:r w:rsidR="00B41305">
        <w:t xml:space="preserve">he cluster analysis in Section </w:t>
      </w:r>
      <w:r w:rsidR="00A11845">
        <w:fldChar w:fldCharType="begin"/>
      </w:r>
      <w:r w:rsidR="00A11845">
        <w:instrText xml:space="preserve"> REF _Ref499753468 \r </w:instrText>
      </w:r>
      <w:r w:rsidR="00A11845">
        <w:fldChar w:fldCharType="separate"/>
      </w:r>
      <w:r w:rsidR="00D11844">
        <w:t>7.2</w:t>
      </w:r>
      <w:r w:rsidR="00A11845">
        <w:fldChar w:fldCharType="end"/>
      </w:r>
      <w:r w:rsidR="00A11845">
        <w:t xml:space="preserve"> </w:t>
      </w:r>
      <w:r w:rsidRPr="0021550A">
        <w:t xml:space="preserve">suggests that the changeover may have been at the level of the copy text and not at the level of the compositor. While the spelling variants appear to change back partway through </w:t>
      </w:r>
      <w:r w:rsidRPr="0021550A">
        <w:lastRenderedPageBreak/>
        <w:t xml:space="preserve">the section of text typeset by Compositor 2, the change at the beginning of Quire P is an unlikely location in the text for a change in compositor; the change from prose to verse (and also the change from one Tale to the next) does not happen at the beginning of the quire. Instead, Quire P begins mid-sentence. </w:t>
      </w:r>
    </w:p>
    <w:p w14:paraId="0EB2BEDF" w14:textId="2AEDA2A6" w:rsidR="00B83317" w:rsidRPr="0021550A" w:rsidRDefault="00B83317" w:rsidP="000737CB">
      <w:r w:rsidRPr="0021550A">
        <w:t xml:space="preserve">The cluster analysis did not find any evidence of a change in compositor, but we can use similarity measurements to try to determine whether a change in compositor has taken place. In particular, we can look at the similarity between the two sections of verse that Hellinga </w:t>
      </w:r>
      <w:r w:rsidR="00B41305">
        <w:t>and</w:t>
      </w:r>
      <w:r w:rsidRPr="0021550A">
        <w:t xml:space="preserve"> Painter claim were typeset by two different compositors: Quire a to Quire K typeset by Compositor 1 and Quire P to Quire S typeset by Compositor 2. </w:t>
      </w:r>
      <w:r w:rsidR="000D003F">
        <w:t xml:space="preserve">We can compare the similarity of these spellings against the baseline established in Section </w:t>
      </w:r>
      <w:r w:rsidR="000D003F">
        <w:fldChar w:fldCharType="begin"/>
      </w:r>
      <w:r w:rsidR="000D003F">
        <w:instrText xml:space="preserve"> REF _Ref498622569 \r </w:instrText>
      </w:r>
      <w:r w:rsidR="000D003F">
        <w:fldChar w:fldCharType="separate"/>
      </w:r>
      <w:r w:rsidR="00D11844">
        <w:t>8.1</w:t>
      </w:r>
      <w:r w:rsidR="000D003F">
        <w:fldChar w:fldCharType="end"/>
      </w:r>
      <w:r w:rsidR="000D003F">
        <w:t>.</w:t>
      </w:r>
    </w:p>
    <w:p w14:paraId="5EF9BE48" w14:textId="77777777" w:rsidR="00B83317" w:rsidRPr="0021550A" w:rsidRDefault="00B83317" w:rsidP="00C54C4D">
      <w:pPr>
        <w:ind w:firstLine="0"/>
      </w:pPr>
    </w:p>
    <w:tbl>
      <w:tblPr>
        <w:tblStyle w:val="GridTable1Light1"/>
        <w:tblW w:w="0" w:type="auto"/>
        <w:tblLook w:val="04A0" w:firstRow="1" w:lastRow="0" w:firstColumn="1" w:lastColumn="0" w:noHBand="0" w:noVBand="1"/>
      </w:tblPr>
      <w:tblGrid>
        <w:gridCol w:w="3058"/>
        <w:gridCol w:w="3202"/>
        <w:gridCol w:w="1598"/>
      </w:tblGrid>
      <w:tr w:rsidR="00634698" w:rsidRPr="0021550A" w14:paraId="0EC57B0A" w14:textId="77777777" w:rsidTr="006346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8" w:type="dxa"/>
            <w:vAlign w:val="center"/>
          </w:tcPr>
          <w:p w14:paraId="2E05A61A" w14:textId="77777777" w:rsidR="00B83317" w:rsidRPr="0021550A" w:rsidRDefault="00B83317" w:rsidP="00634698">
            <w:pPr>
              <w:spacing w:line="276" w:lineRule="auto"/>
              <w:ind w:firstLine="0"/>
              <w:jc w:val="center"/>
            </w:pPr>
            <w:r w:rsidRPr="0021550A">
              <w:t>Comparison</w:t>
            </w:r>
          </w:p>
        </w:tc>
        <w:tc>
          <w:tcPr>
            <w:tcW w:w="3202" w:type="dxa"/>
            <w:vAlign w:val="center"/>
          </w:tcPr>
          <w:p w14:paraId="29C1F409" w14:textId="77777777" w:rsidR="00B83317" w:rsidRPr="0021550A" w:rsidRDefault="00B83317" w:rsidP="00634698">
            <w:pPr>
              <w:spacing w:line="276" w:lineRule="auto"/>
              <w:ind w:firstLine="0"/>
              <w:jc w:val="center"/>
              <w:cnfStyle w:val="100000000000" w:firstRow="1" w:lastRow="0" w:firstColumn="0" w:lastColumn="0" w:oddVBand="0" w:evenVBand="0" w:oddHBand="0" w:evenHBand="0" w:firstRowFirstColumn="0" w:firstRowLastColumn="0" w:lastRowFirstColumn="0" w:lastRowLastColumn="0"/>
            </w:pPr>
            <w:r w:rsidRPr="0021550A">
              <w:t>Quires undergoing comparison</w:t>
            </w:r>
          </w:p>
        </w:tc>
        <w:tc>
          <w:tcPr>
            <w:tcW w:w="1598" w:type="dxa"/>
            <w:vAlign w:val="center"/>
          </w:tcPr>
          <w:p w14:paraId="10BBC6C7" w14:textId="77777777" w:rsidR="00B83317" w:rsidRPr="0021550A" w:rsidRDefault="00B83317" w:rsidP="00634698">
            <w:pPr>
              <w:spacing w:line="276" w:lineRule="auto"/>
              <w:ind w:firstLine="0"/>
              <w:jc w:val="center"/>
              <w:cnfStyle w:val="100000000000" w:firstRow="1" w:lastRow="0" w:firstColumn="0" w:lastColumn="0" w:oddVBand="0" w:evenVBand="0" w:oddHBand="0" w:evenHBand="0" w:firstRowFirstColumn="0" w:firstRowLastColumn="0" w:lastRowFirstColumn="0" w:lastRowLastColumn="0"/>
            </w:pPr>
            <w:r w:rsidRPr="0021550A">
              <w:t>Similarity score</w:t>
            </w:r>
          </w:p>
        </w:tc>
      </w:tr>
      <w:tr w:rsidR="00634698" w:rsidRPr="0021550A" w14:paraId="772DB052" w14:textId="77777777" w:rsidTr="00634698">
        <w:tc>
          <w:tcPr>
            <w:cnfStyle w:val="001000000000" w:firstRow="0" w:lastRow="0" w:firstColumn="1" w:lastColumn="0" w:oddVBand="0" w:evenVBand="0" w:oddHBand="0" w:evenHBand="0" w:firstRowFirstColumn="0" w:firstRowLastColumn="0" w:lastRowFirstColumn="0" w:lastRowLastColumn="0"/>
            <w:tcW w:w="3058" w:type="dxa"/>
            <w:shd w:val="clear" w:color="auto" w:fill="FFF2CC" w:themeFill="accent4" w:themeFillTint="33"/>
            <w:vAlign w:val="center"/>
          </w:tcPr>
          <w:p w14:paraId="490DF1B2" w14:textId="77777777" w:rsidR="00B83317" w:rsidRPr="00C54C4D" w:rsidRDefault="00B83317" w:rsidP="00634698">
            <w:pPr>
              <w:spacing w:line="276" w:lineRule="auto"/>
              <w:ind w:firstLine="0"/>
              <w:jc w:val="center"/>
              <w:rPr>
                <w:b w:val="0"/>
              </w:rPr>
            </w:pPr>
            <w:r w:rsidRPr="00C54C4D">
              <w:rPr>
                <w:b w:val="0"/>
              </w:rPr>
              <w:t>Comparison of verse sections</w:t>
            </w:r>
          </w:p>
        </w:tc>
        <w:tc>
          <w:tcPr>
            <w:tcW w:w="3202" w:type="dxa"/>
            <w:shd w:val="clear" w:color="auto" w:fill="FFF2CC" w:themeFill="accent4" w:themeFillTint="33"/>
            <w:vAlign w:val="center"/>
          </w:tcPr>
          <w:p w14:paraId="57392322" w14:textId="77777777" w:rsidR="00634698" w:rsidRDefault="00B83317" w:rsidP="00634698">
            <w:pPr>
              <w:spacing w:line="276" w:lineRule="auto"/>
              <w:ind w:firstLine="0"/>
              <w:jc w:val="center"/>
              <w:cnfStyle w:val="000000000000" w:firstRow="0" w:lastRow="0" w:firstColumn="0" w:lastColumn="0" w:oddVBand="0" w:evenVBand="0" w:oddHBand="0" w:evenHBand="0" w:firstRowFirstColumn="0" w:firstRowLastColumn="0" w:lastRowFirstColumn="0" w:lastRowLastColumn="0"/>
            </w:pPr>
            <w:r w:rsidRPr="0021550A">
              <w:t xml:space="preserve">Quire a to Quire K; </w:t>
            </w:r>
          </w:p>
          <w:p w14:paraId="36FE02F2" w14:textId="4605A9DD" w:rsidR="00B83317" w:rsidRPr="0021550A" w:rsidRDefault="00B83317" w:rsidP="00634698">
            <w:pPr>
              <w:spacing w:line="276" w:lineRule="auto"/>
              <w:ind w:firstLine="0"/>
              <w:jc w:val="center"/>
              <w:cnfStyle w:val="000000000000" w:firstRow="0" w:lastRow="0" w:firstColumn="0" w:lastColumn="0" w:oddVBand="0" w:evenVBand="0" w:oddHBand="0" w:evenHBand="0" w:firstRowFirstColumn="0" w:firstRowLastColumn="0" w:lastRowFirstColumn="0" w:lastRowLastColumn="0"/>
            </w:pPr>
            <w:r w:rsidRPr="0021550A">
              <w:t>Quire P to Quire S</w:t>
            </w:r>
          </w:p>
        </w:tc>
        <w:tc>
          <w:tcPr>
            <w:tcW w:w="1598" w:type="dxa"/>
            <w:shd w:val="clear" w:color="auto" w:fill="FFF2CC" w:themeFill="accent4" w:themeFillTint="33"/>
            <w:vAlign w:val="center"/>
          </w:tcPr>
          <w:p w14:paraId="49C3CA1E" w14:textId="77777777" w:rsidR="00B83317" w:rsidRPr="0021550A" w:rsidRDefault="00B83317" w:rsidP="00634698">
            <w:pPr>
              <w:spacing w:line="276" w:lineRule="auto"/>
              <w:ind w:firstLine="0"/>
              <w:jc w:val="center"/>
              <w:cnfStyle w:val="000000000000" w:firstRow="0" w:lastRow="0" w:firstColumn="0" w:lastColumn="0" w:oddVBand="0" w:evenVBand="0" w:oddHBand="0" w:evenHBand="0" w:firstRowFirstColumn="0" w:firstRowLastColumn="0" w:lastRowFirstColumn="0" w:lastRowLastColumn="0"/>
            </w:pPr>
            <w:r w:rsidRPr="0021550A">
              <w:t>0.92</w:t>
            </w:r>
          </w:p>
        </w:tc>
      </w:tr>
      <w:tr w:rsidR="00634698" w:rsidRPr="0021550A" w14:paraId="15DD479A" w14:textId="77777777" w:rsidTr="00634698">
        <w:tc>
          <w:tcPr>
            <w:cnfStyle w:val="001000000000" w:firstRow="0" w:lastRow="0" w:firstColumn="1" w:lastColumn="0" w:oddVBand="0" w:evenVBand="0" w:oddHBand="0" w:evenHBand="0" w:firstRowFirstColumn="0" w:firstRowLastColumn="0" w:lastRowFirstColumn="0" w:lastRowLastColumn="0"/>
            <w:tcW w:w="3058" w:type="dxa"/>
            <w:vAlign w:val="center"/>
          </w:tcPr>
          <w:p w14:paraId="2ED2284F" w14:textId="77777777" w:rsidR="00B83317" w:rsidRPr="00C54C4D" w:rsidRDefault="00B83317" w:rsidP="00634698">
            <w:pPr>
              <w:spacing w:line="276" w:lineRule="auto"/>
              <w:ind w:firstLine="0"/>
              <w:jc w:val="center"/>
              <w:rPr>
                <w:b w:val="0"/>
              </w:rPr>
            </w:pPr>
            <w:r w:rsidRPr="00C54C4D">
              <w:rPr>
                <w:b w:val="0"/>
              </w:rPr>
              <w:t>Comparison of prose sections</w:t>
            </w:r>
          </w:p>
        </w:tc>
        <w:tc>
          <w:tcPr>
            <w:tcW w:w="3202" w:type="dxa"/>
            <w:vAlign w:val="center"/>
          </w:tcPr>
          <w:p w14:paraId="7D89A361" w14:textId="77777777" w:rsidR="00634698" w:rsidRDefault="00B83317" w:rsidP="00634698">
            <w:pPr>
              <w:spacing w:line="276" w:lineRule="auto"/>
              <w:ind w:firstLine="0"/>
              <w:jc w:val="center"/>
              <w:cnfStyle w:val="000000000000" w:firstRow="0" w:lastRow="0" w:firstColumn="0" w:lastColumn="0" w:oddVBand="0" w:evenVBand="0" w:oddHBand="0" w:evenHBand="0" w:firstRowFirstColumn="0" w:firstRowLastColumn="0" w:lastRowFirstColumn="0" w:lastRowLastColumn="0"/>
            </w:pPr>
            <w:r w:rsidRPr="0021550A">
              <w:t xml:space="preserve">Quire L to Quire O; </w:t>
            </w:r>
          </w:p>
          <w:p w14:paraId="4F61358A" w14:textId="244DB906" w:rsidR="00B83317" w:rsidRPr="0021550A" w:rsidRDefault="00B83317" w:rsidP="00634698">
            <w:pPr>
              <w:spacing w:line="276" w:lineRule="auto"/>
              <w:ind w:firstLine="0"/>
              <w:jc w:val="center"/>
              <w:cnfStyle w:val="000000000000" w:firstRow="0" w:lastRow="0" w:firstColumn="0" w:lastColumn="0" w:oddVBand="0" w:evenVBand="0" w:oddHBand="0" w:evenHBand="0" w:firstRowFirstColumn="0" w:firstRowLastColumn="0" w:lastRowFirstColumn="0" w:lastRowLastColumn="0"/>
            </w:pPr>
            <w:r w:rsidRPr="0021550A">
              <w:t>Quire T to Quire aa</w:t>
            </w:r>
          </w:p>
        </w:tc>
        <w:tc>
          <w:tcPr>
            <w:tcW w:w="1598" w:type="dxa"/>
            <w:vAlign w:val="center"/>
          </w:tcPr>
          <w:p w14:paraId="5F4FDCFA" w14:textId="77777777" w:rsidR="00B83317" w:rsidRPr="0021550A" w:rsidRDefault="00B83317" w:rsidP="00634698">
            <w:pPr>
              <w:spacing w:line="276" w:lineRule="auto"/>
              <w:ind w:firstLine="0"/>
              <w:jc w:val="center"/>
              <w:cnfStyle w:val="000000000000" w:firstRow="0" w:lastRow="0" w:firstColumn="0" w:lastColumn="0" w:oddVBand="0" w:evenVBand="0" w:oddHBand="0" w:evenHBand="0" w:firstRowFirstColumn="0" w:firstRowLastColumn="0" w:lastRowFirstColumn="0" w:lastRowLastColumn="0"/>
            </w:pPr>
            <w:r w:rsidRPr="0021550A">
              <w:t>0.87</w:t>
            </w:r>
          </w:p>
        </w:tc>
      </w:tr>
      <w:tr w:rsidR="00634698" w:rsidRPr="0021550A" w14:paraId="06B5A78C" w14:textId="77777777" w:rsidTr="00634698">
        <w:tc>
          <w:tcPr>
            <w:cnfStyle w:val="001000000000" w:firstRow="0" w:lastRow="0" w:firstColumn="1" w:lastColumn="0" w:oddVBand="0" w:evenVBand="0" w:oddHBand="0" w:evenHBand="0" w:firstRowFirstColumn="0" w:firstRowLastColumn="0" w:lastRowFirstColumn="0" w:lastRowLastColumn="0"/>
            <w:tcW w:w="3058" w:type="dxa"/>
            <w:vAlign w:val="center"/>
          </w:tcPr>
          <w:p w14:paraId="65109E2F" w14:textId="77777777" w:rsidR="00B83317" w:rsidRPr="00C54C4D" w:rsidRDefault="00B83317" w:rsidP="00634698">
            <w:pPr>
              <w:spacing w:line="276" w:lineRule="auto"/>
              <w:ind w:firstLine="0"/>
              <w:jc w:val="center"/>
              <w:rPr>
                <w:b w:val="0"/>
              </w:rPr>
            </w:pPr>
            <w:r w:rsidRPr="00C54C4D">
              <w:rPr>
                <w:b w:val="0"/>
              </w:rPr>
              <w:t>Comparison of verse with prose</w:t>
            </w:r>
          </w:p>
        </w:tc>
        <w:tc>
          <w:tcPr>
            <w:tcW w:w="3202" w:type="dxa"/>
            <w:vAlign w:val="center"/>
          </w:tcPr>
          <w:p w14:paraId="6CAA41BB" w14:textId="77777777" w:rsidR="00634698" w:rsidRDefault="00B83317" w:rsidP="00634698">
            <w:pPr>
              <w:spacing w:line="276" w:lineRule="auto"/>
              <w:ind w:firstLine="0"/>
              <w:jc w:val="center"/>
              <w:cnfStyle w:val="000000000000" w:firstRow="0" w:lastRow="0" w:firstColumn="0" w:lastColumn="0" w:oddVBand="0" w:evenVBand="0" w:oddHBand="0" w:evenHBand="0" w:firstRowFirstColumn="0" w:firstRowLastColumn="0" w:lastRowFirstColumn="0" w:lastRowLastColumn="0"/>
            </w:pPr>
            <w:r w:rsidRPr="0021550A">
              <w:t xml:space="preserve">Quire L to Quire O; </w:t>
            </w:r>
          </w:p>
          <w:p w14:paraId="4991569A" w14:textId="5AA8986B" w:rsidR="00B83317" w:rsidRPr="0021550A" w:rsidRDefault="00B83317" w:rsidP="00634698">
            <w:pPr>
              <w:spacing w:line="276" w:lineRule="auto"/>
              <w:ind w:firstLine="0"/>
              <w:jc w:val="center"/>
              <w:cnfStyle w:val="000000000000" w:firstRow="0" w:lastRow="0" w:firstColumn="0" w:lastColumn="0" w:oddVBand="0" w:evenVBand="0" w:oddHBand="0" w:evenHBand="0" w:firstRowFirstColumn="0" w:firstRowLastColumn="0" w:lastRowFirstColumn="0" w:lastRowLastColumn="0"/>
            </w:pPr>
            <w:r w:rsidRPr="0021550A">
              <w:t>Quire P to Quire S</w:t>
            </w:r>
          </w:p>
        </w:tc>
        <w:tc>
          <w:tcPr>
            <w:tcW w:w="1598" w:type="dxa"/>
            <w:vAlign w:val="center"/>
          </w:tcPr>
          <w:p w14:paraId="67B43081" w14:textId="77777777" w:rsidR="00B83317" w:rsidRPr="0021550A" w:rsidRDefault="00B83317" w:rsidP="00634698">
            <w:pPr>
              <w:spacing w:line="276" w:lineRule="auto"/>
              <w:ind w:firstLine="0"/>
              <w:jc w:val="center"/>
              <w:cnfStyle w:val="000000000000" w:firstRow="0" w:lastRow="0" w:firstColumn="0" w:lastColumn="0" w:oddVBand="0" w:evenVBand="0" w:oddHBand="0" w:evenHBand="0" w:firstRowFirstColumn="0" w:firstRowLastColumn="0" w:lastRowFirstColumn="0" w:lastRowLastColumn="0"/>
            </w:pPr>
            <w:r w:rsidRPr="0021550A">
              <w:t>0.80</w:t>
            </w:r>
          </w:p>
        </w:tc>
      </w:tr>
    </w:tbl>
    <w:p w14:paraId="01E961CE" w14:textId="2F170E18" w:rsidR="00B83317" w:rsidRPr="0021550A" w:rsidRDefault="00453776" w:rsidP="000737CB">
      <w:pPr>
        <w:pStyle w:val="Caption"/>
      </w:pPr>
      <w:bookmarkStart w:id="226" w:name="_Ref492300526"/>
      <w:bookmarkStart w:id="227" w:name="_Toc499753492"/>
      <w:r>
        <w:t>Table 8.4:</w:t>
      </w:r>
      <w:bookmarkEnd w:id="226"/>
      <w:r w:rsidR="00B83317" w:rsidRPr="0021550A">
        <w:t xml:space="preserve">Similarity of sections of Caxton's </w:t>
      </w:r>
      <w:r w:rsidR="00B83317" w:rsidRPr="0021550A">
        <w:rPr>
          <w:i/>
        </w:rPr>
        <w:t>Canterbury Tales</w:t>
      </w:r>
      <w:r w:rsidR="00176CED">
        <w:t>, 1</w:t>
      </w:r>
      <w:r w:rsidR="00176CED" w:rsidRPr="00176CED">
        <w:rPr>
          <w:vertAlign w:val="superscript"/>
        </w:rPr>
        <w:t>st</w:t>
      </w:r>
      <w:r w:rsidR="00176CED">
        <w:t xml:space="preserve"> edn.</w:t>
      </w:r>
      <w:bookmarkEnd w:id="227"/>
    </w:p>
    <w:p w14:paraId="7159DB4C" w14:textId="77777777" w:rsidR="00B83317" w:rsidRPr="0021550A" w:rsidRDefault="00B83317" w:rsidP="000737CB"/>
    <w:p w14:paraId="1F3EED0C" w14:textId="01D58ECE" w:rsidR="00B83317" w:rsidRPr="0021550A" w:rsidRDefault="00E12429" w:rsidP="000737CB">
      <w:r>
        <w:fldChar w:fldCharType="begin"/>
      </w:r>
      <w:r>
        <w:instrText xml:space="preserve"> REF _Ref492300526 </w:instrText>
      </w:r>
      <w:r>
        <w:fldChar w:fldCharType="separate"/>
      </w:r>
      <w:r>
        <w:rPr>
          <w:noProof/>
        </w:rPr>
        <w:fldChar w:fldCharType="end"/>
      </w:r>
      <w:r w:rsidR="00B83317" w:rsidRPr="0021550A">
        <w:t xml:space="preserve"> </w:t>
      </w:r>
      <w:r w:rsidR="00D14E24">
        <w:t xml:space="preserve">Table 8.4 </w:t>
      </w:r>
      <w:r w:rsidR="00B83317" w:rsidRPr="0021550A">
        <w:t xml:space="preserve">shows the similarity scores for comparisons of different sections of Caxton’s first edition of the </w:t>
      </w:r>
      <w:r w:rsidR="00B83317" w:rsidRPr="0021550A">
        <w:rPr>
          <w:i/>
        </w:rPr>
        <w:t>Canterbury Tales</w:t>
      </w:r>
      <w:r w:rsidR="00B83317" w:rsidRPr="0021550A">
        <w:t>. The information we are most interested in is the similarity score for the comparison of</w:t>
      </w:r>
      <w:r w:rsidR="00B41305">
        <w:t xml:space="preserve"> the two</w:t>
      </w:r>
      <w:r w:rsidR="00B83317" w:rsidRPr="0021550A">
        <w:t xml:space="preserve"> verse sections, highlighted in yellow</w:t>
      </w:r>
      <w:r w:rsidR="00B41305">
        <w:t xml:space="preserve"> which Hellinga and</w:t>
      </w:r>
      <w:r w:rsidR="0097010A">
        <w:t xml:space="preserve"> Painter said were typeset by different compositors</w:t>
      </w:r>
      <w:r w:rsidR="00B83317" w:rsidRPr="0021550A">
        <w:t xml:space="preserve">. The similarity score between the spellings used in the two verse sections is 0.92, which is a particularly high similarity score. This score is in line with the similarity of texts that were typeset by one compositor and do not appear to have had a change in the copy text, presented in </w:t>
      </w:r>
      <w:r w:rsidR="00D14E24">
        <w:t>Table 8.5</w:t>
      </w:r>
      <w:r w:rsidR="00B83317" w:rsidRPr="0021550A">
        <w:t>.</w:t>
      </w:r>
    </w:p>
    <w:p w14:paraId="4C18A845" w14:textId="77777777" w:rsidR="00B83317" w:rsidRPr="0021550A" w:rsidRDefault="00B83317" w:rsidP="000737CB"/>
    <w:tbl>
      <w:tblPr>
        <w:tblStyle w:val="GridTable1Light1"/>
        <w:tblW w:w="4945" w:type="dxa"/>
        <w:tblInd w:w="-113" w:type="dxa"/>
        <w:tblLook w:val="04A0" w:firstRow="1" w:lastRow="0" w:firstColumn="1" w:lastColumn="0" w:noHBand="0" w:noVBand="1"/>
      </w:tblPr>
      <w:tblGrid>
        <w:gridCol w:w="2785"/>
        <w:gridCol w:w="2160"/>
      </w:tblGrid>
      <w:tr w:rsidR="00B83317" w:rsidRPr="0021550A" w14:paraId="31D9F18D" w14:textId="77777777" w:rsidTr="00C6534F">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785" w:type="dxa"/>
            <w:noWrap/>
            <w:vAlign w:val="bottom"/>
          </w:tcPr>
          <w:p w14:paraId="68FC40C5" w14:textId="77777777" w:rsidR="00B83317" w:rsidRPr="0021550A" w:rsidRDefault="00B83317" w:rsidP="00C54C4D">
            <w:pPr>
              <w:ind w:firstLine="0"/>
              <w:jc w:val="center"/>
            </w:pPr>
            <w:r w:rsidRPr="0021550A">
              <w:t>Text</w:t>
            </w:r>
          </w:p>
        </w:tc>
        <w:tc>
          <w:tcPr>
            <w:tcW w:w="2160" w:type="dxa"/>
            <w:noWrap/>
            <w:vAlign w:val="bottom"/>
          </w:tcPr>
          <w:p w14:paraId="304DC060" w14:textId="77777777" w:rsidR="00B83317" w:rsidRPr="0021550A" w:rsidRDefault="00B83317" w:rsidP="00C54C4D">
            <w:pPr>
              <w:ind w:firstLine="0"/>
              <w:jc w:val="center"/>
              <w:cnfStyle w:val="100000000000" w:firstRow="1" w:lastRow="0" w:firstColumn="0" w:lastColumn="0" w:oddVBand="0" w:evenVBand="0" w:oddHBand="0" w:evenHBand="0" w:firstRowFirstColumn="0" w:firstRowLastColumn="0" w:lastRowFirstColumn="0" w:lastRowLastColumn="0"/>
            </w:pPr>
            <w:r w:rsidRPr="0021550A">
              <w:t>Similarity score</w:t>
            </w:r>
          </w:p>
        </w:tc>
      </w:tr>
      <w:tr w:rsidR="00B83317" w:rsidRPr="0021550A" w14:paraId="104874F7" w14:textId="77777777" w:rsidTr="00C6534F">
        <w:trPr>
          <w:trHeight w:val="348"/>
        </w:trPr>
        <w:tc>
          <w:tcPr>
            <w:cnfStyle w:val="001000000000" w:firstRow="0" w:lastRow="0" w:firstColumn="1" w:lastColumn="0" w:oddVBand="0" w:evenVBand="0" w:oddHBand="0" w:evenHBand="0" w:firstRowFirstColumn="0" w:firstRowLastColumn="0" w:lastRowFirstColumn="0" w:lastRowLastColumn="0"/>
            <w:tcW w:w="2785" w:type="dxa"/>
            <w:noWrap/>
            <w:vAlign w:val="bottom"/>
            <w:hideMark/>
          </w:tcPr>
          <w:p w14:paraId="11147D6D" w14:textId="77777777" w:rsidR="00B83317" w:rsidRPr="00C54C4D" w:rsidRDefault="00B83317" w:rsidP="00C54C4D">
            <w:pPr>
              <w:ind w:firstLine="0"/>
              <w:jc w:val="center"/>
              <w:rPr>
                <w:b w:val="0"/>
              </w:rPr>
            </w:pPr>
            <w:r w:rsidRPr="00C54C4D">
              <w:rPr>
                <w:b w:val="0"/>
              </w:rPr>
              <w:t>Book of Good Manners</w:t>
            </w:r>
          </w:p>
        </w:tc>
        <w:tc>
          <w:tcPr>
            <w:tcW w:w="2160" w:type="dxa"/>
            <w:noWrap/>
            <w:vAlign w:val="bottom"/>
            <w:hideMark/>
          </w:tcPr>
          <w:p w14:paraId="5A1C71D9" w14:textId="77777777" w:rsidR="00B83317" w:rsidRPr="0021550A" w:rsidRDefault="00B83317" w:rsidP="00C54C4D">
            <w:pPr>
              <w:ind w:firstLine="0"/>
              <w:jc w:val="center"/>
              <w:cnfStyle w:val="000000000000" w:firstRow="0" w:lastRow="0" w:firstColumn="0" w:lastColumn="0" w:oddVBand="0" w:evenVBand="0" w:oddHBand="0" w:evenHBand="0" w:firstRowFirstColumn="0" w:firstRowLastColumn="0" w:lastRowFirstColumn="0" w:lastRowLastColumn="0"/>
            </w:pPr>
            <w:r w:rsidRPr="0021550A">
              <w:t>0.81</w:t>
            </w:r>
          </w:p>
        </w:tc>
      </w:tr>
      <w:tr w:rsidR="00B83317" w:rsidRPr="0021550A" w14:paraId="23708F1B" w14:textId="77777777" w:rsidTr="00C6534F">
        <w:trPr>
          <w:trHeight w:val="386"/>
        </w:trPr>
        <w:tc>
          <w:tcPr>
            <w:cnfStyle w:val="001000000000" w:firstRow="0" w:lastRow="0" w:firstColumn="1" w:lastColumn="0" w:oddVBand="0" w:evenVBand="0" w:oddHBand="0" w:evenHBand="0" w:firstRowFirstColumn="0" w:firstRowLastColumn="0" w:lastRowFirstColumn="0" w:lastRowLastColumn="0"/>
            <w:tcW w:w="2785" w:type="dxa"/>
            <w:noWrap/>
            <w:vAlign w:val="bottom"/>
            <w:hideMark/>
          </w:tcPr>
          <w:p w14:paraId="46BBE71F" w14:textId="77777777" w:rsidR="00B83317" w:rsidRPr="00C54C4D" w:rsidRDefault="00B83317" w:rsidP="00C54C4D">
            <w:pPr>
              <w:ind w:firstLine="0"/>
              <w:jc w:val="center"/>
              <w:rPr>
                <w:b w:val="0"/>
              </w:rPr>
            </w:pPr>
            <w:r w:rsidRPr="00C54C4D">
              <w:rPr>
                <w:b w:val="0"/>
              </w:rPr>
              <w:t>Game of Chess</w:t>
            </w:r>
          </w:p>
        </w:tc>
        <w:tc>
          <w:tcPr>
            <w:tcW w:w="2160" w:type="dxa"/>
            <w:noWrap/>
            <w:vAlign w:val="bottom"/>
            <w:hideMark/>
          </w:tcPr>
          <w:p w14:paraId="319E5D5D" w14:textId="77777777" w:rsidR="00B83317" w:rsidRPr="0021550A" w:rsidRDefault="00B83317" w:rsidP="00C54C4D">
            <w:pPr>
              <w:ind w:firstLine="0"/>
              <w:jc w:val="center"/>
              <w:cnfStyle w:val="000000000000" w:firstRow="0" w:lastRow="0" w:firstColumn="0" w:lastColumn="0" w:oddVBand="0" w:evenVBand="0" w:oddHBand="0" w:evenHBand="0" w:firstRowFirstColumn="0" w:firstRowLastColumn="0" w:lastRowFirstColumn="0" w:lastRowLastColumn="0"/>
            </w:pPr>
            <w:r w:rsidRPr="0021550A">
              <w:t>0.90</w:t>
            </w:r>
          </w:p>
        </w:tc>
      </w:tr>
      <w:tr w:rsidR="00B83317" w:rsidRPr="0021550A" w14:paraId="38CA5F32" w14:textId="77777777" w:rsidTr="00C6534F">
        <w:trPr>
          <w:trHeight w:val="404"/>
        </w:trPr>
        <w:tc>
          <w:tcPr>
            <w:cnfStyle w:val="001000000000" w:firstRow="0" w:lastRow="0" w:firstColumn="1" w:lastColumn="0" w:oddVBand="0" w:evenVBand="0" w:oddHBand="0" w:evenHBand="0" w:firstRowFirstColumn="0" w:firstRowLastColumn="0" w:lastRowFirstColumn="0" w:lastRowLastColumn="0"/>
            <w:tcW w:w="2785" w:type="dxa"/>
            <w:noWrap/>
            <w:vAlign w:val="bottom"/>
            <w:hideMark/>
          </w:tcPr>
          <w:p w14:paraId="302EBBE0" w14:textId="77777777" w:rsidR="00B83317" w:rsidRPr="00C54C4D" w:rsidRDefault="00B83317" w:rsidP="00C54C4D">
            <w:pPr>
              <w:ind w:firstLine="0"/>
              <w:jc w:val="center"/>
              <w:rPr>
                <w:b w:val="0"/>
              </w:rPr>
            </w:pPr>
            <w:r w:rsidRPr="00C54C4D">
              <w:rPr>
                <w:b w:val="0"/>
              </w:rPr>
              <w:t>Life of our Lady</w:t>
            </w:r>
          </w:p>
        </w:tc>
        <w:tc>
          <w:tcPr>
            <w:tcW w:w="2160" w:type="dxa"/>
            <w:noWrap/>
            <w:vAlign w:val="bottom"/>
            <w:hideMark/>
          </w:tcPr>
          <w:p w14:paraId="0BEA5BA4" w14:textId="77777777" w:rsidR="00B83317" w:rsidRPr="0021550A" w:rsidRDefault="00B83317" w:rsidP="00C54C4D">
            <w:pPr>
              <w:ind w:firstLine="0"/>
              <w:jc w:val="center"/>
              <w:cnfStyle w:val="000000000000" w:firstRow="0" w:lastRow="0" w:firstColumn="0" w:lastColumn="0" w:oddVBand="0" w:evenVBand="0" w:oddHBand="0" w:evenHBand="0" w:firstRowFirstColumn="0" w:firstRowLastColumn="0" w:lastRowFirstColumn="0" w:lastRowLastColumn="0"/>
            </w:pPr>
            <w:r w:rsidRPr="0021550A">
              <w:t>0.89</w:t>
            </w:r>
          </w:p>
        </w:tc>
      </w:tr>
      <w:tr w:rsidR="00B83317" w:rsidRPr="0021550A" w14:paraId="2D44129D" w14:textId="77777777" w:rsidTr="00C6534F">
        <w:trPr>
          <w:trHeight w:val="404"/>
        </w:trPr>
        <w:tc>
          <w:tcPr>
            <w:cnfStyle w:val="001000000000" w:firstRow="0" w:lastRow="0" w:firstColumn="1" w:lastColumn="0" w:oddVBand="0" w:evenVBand="0" w:oddHBand="0" w:evenHBand="0" w:firstRowFirstColumn="0" w:firstRowLastColumn="0" w:lastRowFirstColumn="0" w:lastRowLastColumn="0"/>
            <w:tcW w:w="2785" w:type="dxa"/>
            <w:noWrap/>
            <w:vAlign w:val="bottom"/>
            <w:hideMark/>
          </w:tcPr>
          <w:p w14:paraId="46B2D8FB" w14:textId="77777777" w:rsidR="00B83317" w:rsidRPr="00C54C4D" w:rsidRDefault="00B83317" w:rsidP="00C54C4D">
            <w:pPr>
              <w:ind w:firstLine="0"/>
              <w:jc w:val="center"/>
              <w:rPr>
                <w:b w:val="0"/>
              </w:rPr>
            </w:pPr>
            <w:r w:rsidRPr="00C54C4D">
              <w:rPr>
                <w:b w:val="0"/>
              </w:rPr>
              <w:t>Paris and Vienne</w:t>
            </w:r>
          </w:p>
        </w:tc>
        <w:tc>
          <w:tcPr>
            <w:tcW w:w="2160" w:type="dxa"/>
            <w:noWrap/>
            <w:vAlign w:val="bottom"/>
            <w:hideMark/>
          </w:tcPr>
          <w:p w14:paraId="563AEA87" w14:textId="77777777" w:rsidR="00B83317" w:rsidRPr="0021550A" w:rsidRDefault="00B83317" w:rsidP="00C54C4D">
            <w:pPr>
              <w:ind w:firstLine="0"/>
              <w:jc w:val="center"/>
              <w:cnfStyle w:val="000000000000" w:firstRow="0" w:lastRow="0" w:firstColumn="0" w:lastColumn="0" w:oddVBand="0" w:evenVBand="0" w:oddHBand="0" w:evenHBand="0" w:firstRowFirstColumn="0" w:firstRowLastColumn="0" w:lastRowFirstColumn="0" w:lastRowLastColumn="0"/>
            </w:pPr>
            <w:r w:rsidRPr="0021550A">
              <w:t>0.90</w:t>
            </w:r>
          </w:p>
        </w:tc>
      </w:tr>
      <w:tr w:rsidR="00B83317" w:rsidRPr="0021550A" w14:paraId="22AA6275" w14:textId="77777777" w:rsidTr="00C6534F">
        <w:trPr>
          <w:trHeight w:val="422"/>
        </w:trPr>
        <w:tc>
          <w:tcPr>
            <w:cnfStyle w:val="001000000000" w:firstRow="0" w:lastRow="0" w:firstColumn="1" w:lastColumn="0" w:oddVBand="0" w:evenVBand="0" w:oddHBand="0" w:evenHBand="0" w:firstRowFirstColumn="0" w:firstRowLastColumn="0" w:lastRowFirstColumn="0" w:lastRowLastColumn="0"/>
            <w:tcW w:w="2785" w:type="dxa"/>
            <w:noWrap/>
            <w:vAlign w:val="bottom"/>
            <w:hideMark/>
          </w:tcPr>
          <w:p w14:paraId="278AD526" w14:textId="77777777" w:rsidR="00B83317" w:rsidRPr="00C54C4D" w:rsidRDefault="00B83317" w:rsidP="00C54C4D">
            <w:pPr>
              <w:ind w:firstLine="0"/>
              <w:jc w:val="center"/>
              <w:rPr>
                <w:b w:val="0"/>
              </w:rPr>
            </w:pPr>
            <w:r w:rsidRPr="00C54C4D">
              <w:rPr>
                <w:b w:val="0"/>
              </w:rPr>
              <w:t>Reynard the Fox</w:t>
            </w:r>
          </w:p>
        </w:tc>
        <w:tc>
          <w:tcPr>
            <w:tcW w:w="2160" w:type="dxa"/>
            <w:noWrap/>
            <w:vAlign w:val="bottom"/>
            <w:hideMark/>
          </w:tcPr>
          <w:p w14:paraId="141FCA8E" w14:textId="77777777" w:rsidR="00B83317" w:rsidRPr="0021550A" w:rsidRDefault="00B83317" w:rsidP="00C54C4D">
            <w:pPr>
              <w:ind w:firstLine="0"/>
              <w:jc w:val="center"/>
              <w:cnfStyle w:val="000000000000" w:firstRow="0" w:lastRow="0" w:firstColumn="0" w:lastColumn="0" w:oddVBand="0" w:evenVBand="0" w:oddHBand="0" w:evenHBand="0" w:firstRowFirstColumn="0" w:firstRowLastColumn="0" w:lastRowFirstColumn="0" w:lastRowLastColumn="0"/>
            </w:pPr>
            <w:r w:rsidRPr="0021550A">
              <w:t>0.92</w:t>
            </w:r>
          </w:p>
        </w:tc>
      </w:tr>
    </w:tbl>
    <w:p w14:paraId="7D8FF72B" w14:textId="09D13F58" w:rsidR="00B83317" w:rsidRPr="0021550A" w:rsidRDefault="00453776" w:rsidP="000737CB">
      <w:pPr>
        <w:pStyle w:val="Caption"/>
      </w:pPr>
      <w:bookmarkStart w:id="228" w:name="_Toc499753493"/>
      <w:r>
        <w:t>Table 8.5:</w:t>
      </w:r>
      <w:r w:rsidR="00B83317" w:rsidRPr="0021550A">
        <w:t xml:space="preserve"> Mean similarity scores for texts that were typeset by one compositor</w:t>
      </w:r>
      <w:bookmarkEnd w:id="228"/>
    </w:p>
    <w:p w14:paraId="170A3691" w14:textId="77777777" w:rsidR="00B83317" w:rsidRPr="0021550A" w:rsidRDefault="00B83317" w:rsidP="000737CB"/>
    <w:p w14:paraId="6231C821" w14:textId="356D1985" w:rsidR="007C30A6" w:rsidRPr="007C30A6" w:rsidRDefault="0097010A" w:rsidP="000737CB">
      <w:r>
        <w:t xml:space="preserve">When we compare the two sections of verse in Caxton’s first edition of the </w:t>
      </w:r>
      <w:r>
        <w:rPr>
          <w:i/>
        </w:rPr>
        <w:t>Canterbury Tales</w:t>
      </w:r>
      <w:r>
        <w:t xml:space="preserve"> together, the similarity score is 0.87. </w:t>
      </w:r>
      <w:r w:rsidR="00F07289">
        <w:t>This score is far higher than the score of 0.77 when we compare</w:t>
      </w:r>
      <w:r w:rsidR="007C30A6">
        <w:t>d</w:t>
      </w:r>
      <w:r w:rsidR="00F07289">
        <w:t xml:space="preserve"> the spellings used by different compositors of </w:t>
      </w:r>
      <w:r w:rsidR="00F07289">
        <w:rPr>
          <w:i/>
        </w:rPr>
        <w:t>Troilus and Criseyde</w:t>
      </w:r>
      <w:r w:rsidR="00F07289">
        <w:t xml:space="preserve"> against one another. </w:t>
      </w:r>
      <w:r w:rsidR="008F4B75">
        <w:t>Instead</w:t>
      </w:r>
      <w:r w:rsidR="007C30A6">
        <w:t xml:space="preserve">, this score is far closer to </w:t>
      </w:r>
      <w:r>
        <w:t>the scores for other texts that were typeset by one compositor</w:t>
      </w:r>
      <w:r w:rsidRPr="0097010A">
        <w:t xml:space="preserve"> </w:t>
      </w:r>
      <w:r>
        <w:t xml:space="preserve">shown in </w:t>
      </w:r>
      <w:r w:rsidR="00D14E24">
        <w:t>Table 8.5</w:t>
      </w:r>
      <w:r>
        <w:t xml:space="preserve">. </w:t>
      </w:r>
      <w:r w:rsidR="00E566A6">
        <w:t xml:space="preserve">The score is slightly lower than the baseline, which may be because </w:t>
      </w:r>
      <w:r w:rsidR="00E566A6" w:rsidRPr="0021550A">
        <w:t>one of the sections of prose also includes a small amount of verse. Quire O marks the change from the prose back into verse, but the change occurs partway through the quire and so five of the quire’s eight leaves include verse. The addition of the verse may account for the slightly lower similarity score when prose is compared with prose, relative to the comparison of verse with verse.</w:t>
      </w:r>
      <w:r w:rsidR="00E566A6">
        <w:t xml:space="preserve"> </w:t>
      </w:r>
      <w:r w:rsidR="007C30A6">
        <w:t xml:space="preserve">As such, the evidence from the similarity scores suggests that in the </w:t>
      </w:r>
      <w:r w:rsidR="007C30A6">
        <w:rPr>
          <w:i/>
        </w:rPr>
        <w:t>Canterbury Tales</w:t>
      </w:r>
      <w:r w:rsidR="007C30A6">
        <w:t xml:space="preserve">, different orthographic idiolects are present in the prose and the verse rather than the distinction taking place on either side of Quire L as suggested by Hellinga </w:t>
      </w:r>
      <w:r w:rsidR="00972E15">
        <w:t>and</w:t>
      </w:r>
      <w:r w:rsidR="007C30A6">
        <w:t xml:space="preserve"> Painter.</w:t>
      </w:r>
    </w:p>
    <w:p w14:paraId="11452920" w14:textId="0090C2B7" w:rsidR="002E2EB3" w:rsidRDefault="007C30A6" w:rsidP="000737CB">
      <w:r>
        <w:t xml:space="preserve">It is not clear whether the difference in idiolects occurs within the layers of spellings that come from the compositor or the copy text. </w:t>
      </w:r>
      <w:r w:rsidR="002E2EB3">
        <w:t>If the change in idiolect occurs at the level of the compositor then t</w:t>
      </w:r>
      <w:r w:rsidR="00B83317" w:rsidRPr="0021550A">
        <w:t xml:space="preserve">he </w:t>
      </w:r>
      <w:r w:rsidR="002E2EB3">
        <w:t xml:space="preserve">division of copy </w:t>
      </w:r>
      <w:r w:rsidR="005178FD">
        <w:t xml:space="preserve">that is </w:t>
      </w:r>
      <w:r w:rsidR="002E2EB3">
        <w:t>suggested by</w:t>
      </w:r>
      <w:r w:rsidR="00B83317" w:rsidRPr="0021550A">
        <w:t xml:space="preserve"> Hellinga </w:t>
      </w:r>
      <w:r w:rsidR="00972E15">
        <w:t>and</w:t>
      </w:r>
      <w:r w:rsidR="00B83317" w:rsidRPr="0021550A">
        <w:t xml:space="preserve"> Painter does capture the complexity of the copying process that was undertaken by Caxton’s printing house in preparing the </w:t>
      </w:r>
      <w:r w:rsidR="00B83317" w:rsidRPr="0021550A">
        <w:rPr>
          <w:i/>
        </w:rPr>
        <w:t>Canterbury Tales</w:t>
      </w:r>
      <w:r w:rsidR="00B83317" w:rsidRPr="0021550A">
        <w:t xml:space="preserve">. </w:t>
      </w:r>
      <w:r w:rsidR="002E2EB3">
        <w:t xml:space="preserve">Instead, the change in idiolect may suggest that </w:t>
      </w:r>
      <w:r w:rsidR="002E2EB3" w:rsidRPr="0021550A">
        <w:t>copy was divided into verse and prose where one compositor typeset the prose and the other typeset the verse.</w:t>
      </w:r>
      <w:r w:rsidR="002E2EB3">
        <w:t xml:space="preserve"> Alternatively, if the change in idiolect takes place at the level of the copy text then </w:t>
      </w:r>
      <w:r w:rsidR="00B34AEC">
        <w:t xml:space="preserve">the text was typeset by one compositor. </w:t>
      </w:r>
    </w:p>
    <w:p w14:paraId="001B2B34" w14:textId="7B90ED04" w:rsidR="00B83317" w:rsidRPr="0021550A" w:rsidRDefault="00B83317" w:rsidP="000737CB">
      <w:r w:rsidRPr="0021550A">
        <w:t>Neither scenario is without its flaws. If the text were typeset by one compositor</w:t>
      </w:r>
      <w:r w:rsidR="00B34AEC">
        <w:t xml:space="preserve"> and a change takes place in the copy text</w:t>
      </w:r>
      <w:r w:rsidRPr="0021550A">
        <w:t>, then the blank page at the end of Quire K and before the start of Quire L goes unexplained</w:t>
      </w:r>
      <w:r w:rsidR="0002426A">
        <w:t>, though it is possible that the compositor had to break off to produce something with a financial turnaround to keep the printing house afloat financially</w:t>
      </w:r>
      <w:r w:rsidRPr="0021550A">
        <w:t xml:space="preserve">. However, if the text were typeset by two compositors then the juncture between prose and verse that occurs midway through Quire O would have been very difficult to achieve (in a text that already had an imperfect join between Quire K and Quire L). </w:t>
      </w:r>
      <w:r w:rsidR="00B34AEC">
        <w:t xml:space="preserve">Again, it is possible that the compositor typesetting the prose also typeset the beginning of the Monk’s Tale included in Quire O. </w:t>
      </w:r>
      <w:r w:rsidRPr="0021550A">
        <w:t xml:space="preserve">The evidence we have does not provide enough information to determine which of these two scenarios is the most likely. However, by using a combination of cluster analysis and similarity measurements on Caxton’s first edition of the </w:t>
      </w:r>
      <w:r w:rsidRPr="0021550A">
        <w:rPr>
          <w:i/>
        </w:rPr>
        <w:t>Canterbury Tales</w:t>
      </w:r>
      <w:r w:rsidRPr="0021550A">
        <w:t xml:space="preserve"> it is possible to show that the two sections of verse are so similar as to suggest that they were typeset by the same compositor</w:t>
      </w:r>
      <w:r w:rsidR="00B34AEC">
        <w:t>, and to demonstrate that divisions of copy may not have been as straightforward as originally thought</w:t>
      </w:r>
      <w:r w:rsidRPr="0021550A">
        <w:t xml:space="preserve">. </w:t>
      </w:r>
    </w:p>
    <w:p w14:paraId="70450595" w14:textId="77777777" w:rsidR="00634698" w:rsidRDefault="00634698" w:rsidP="00104CBE">
      <w:pPr>
        <w:ind w:firstLine="0"/>
      </w:pPr>
    </w:p>
    <w:p w14:paraId="4C8AA293" w14:textId="77777777" w:rsidR="005178FD" w:rsidRPr="0021550A" w:rsidRDefault="005178FD" w:rsidP="00104CBE">
      <w:pPr>
        <w:ind w:firstLine="0"/>
      </w:pPr>
    </w:p>
    <w:p w14:paraId="34857A22" w14:textId="12A3B93C" w:rsidR="00B83317" w:rsidRPr="00B34AEC" w:rsidRDefault="00B83317" w:rsidP="000737CB">
      <w:pPr>
        <w:pStyle w:val="Heading3"/>
        <w:rPr>
          <w:i/>
        </w:rPr>
      </w:pPr>
      <w:bookmarkStart w:id="229" w:name="_Ref497210748"/>
      <w:r w:rsidRPr="0021550A">
        <w:t xml:space="preserve">Change of compositor in the second issue of the </w:t>
      </w:r>
      <w:r w:rsidRPr="00B34AEC">
        <w:rPr>
          <w:i/>
        </w:rPr>
        <w:t>Golden Legend</w:t>
      </w:r>
      <w:bookmarkEnd w:id="229"/>
    </w:p>
    <w:p w14:paraId="7FAB47EF" w14:textId="3D5B8E7F" w:rsidR="00B83317" w:rsidRPr="0021550A" w:rsidRDefault="00B83317" w:rsidP="000737CB">
      <w:r w:rsidRPr="0021550A">
        <w:t xml:space="preserve">The previous chapter showed that the </w:t>
      </w:r>
      <w:r w:rsidRPr="0021550A">
        <w:rPr>
          <w:i/>
        </w:rPr>
        <w:t>Golden Legend</w:t>
      </w:r>
      <w:r w:rsidRPr="0021550A">
        <w:t xml:space="preserve"> can be divided into five clusters through cluster analysis. The transmission of the text is complex and there are several reasons that can cause a change in the spellings of the text. First, the </w:t>
      </w:r>
      <w:r w:rsidRPr="0021550A">
        <w:rPr>
          <w:i/>
        </w:rPr>
        <w:t>EEBO</w:t>
      </w:r>
      <w:r w:rsidRPr="0021550A">
        <w:t xml:space="preserve"> edition of the </w:t>
      </w:r>
      <w:r w:rsidRPr="0021550A">
        <w:rPr>
          <w:i/>
        </w:rPr>
        <w:t>Golden Legend</w:t>
      </w:r>
      <w:r w:rsidRPr="0021550A">
        <w:t xml:space="preserve"> is </w:t>
      </w:r>
      <w:r w:rsidR="0034477B">
        <w:t>from the second issue of the text, and so some quires are from the first imprint and some are reprinted</w:t>
      </w:r>
      <w:r w:rsidRPr="0021550A">
        <w:t xml:space="preserve">; Quire a to Quire t and Quire A to Quire F are from the first print run of the text, </w:t>
      </w:r>
      <w:r w:rsidR="0034477B">
        <w:t>and</w:t>
      </w:r>
      <w:r w:rsidRPr="0021550A">
        <w:t xml:space="preserve"> the other quires were reprinted several years later. While there are extant copies of the </w:t>
      </w:r>
      <w:r w:rsidRPr="0021550A">
        <w:rPr>
          <w:i/>
        </w:rPr>
        <w:t>Golden Legend</w:t>
      </w:r>
      <w:r w:rsidRPr="0021550A">
        <w:t xml:space="preserve"> comprised only of quires from the first imprint, there are no copies of the text that are made of quires from the second imprint alone. The change in the print run causes a change in the spellings that were used in the text, that is, the spellings in the first print run are not the same as those in the second print run</w:t>
      </w:r>
      <w:r w:rsidR="00F11165">
        <w:t xml:space="preserve"> because they were created by different people and thus contain different idiolects</w:t>
      </w:r>
      <w:r w:rsidRPr="0021550A">
        <w:t xml:space="preserve">. Additionally, there appears to be a change of compositors—potentially in both issues of the text—that has led to a change in the spellings used in the text, and possibly also changes at the level of the copy text which was translated by Caxton. </w:t>
      </w:r>
    </w:p>
    <w:p w14:paraId="68F39701" w14:textId="58DD2D77" w:rsidR="00B83317" w:rsidRPr="0021550A" w:rsidRDefault="00B83317" w:rsidP="000737CB">
      <w:r w:rsidRPr="0021550A">
        <w:t xml:space="preserve">This section focuses on the change in compositor that takes place in the second imprint of the text, and investigates </w:t>
      </w:r>
      <w:r>
        <w:t xml:space="preserve">Research Question </w:t>
      </w:r>
      <w:r w:rsidR="00D14E24">
        <w:t>F</w:t>
      </w:r>
      <w:r>
        <w:t xml:space="preserve">: </w:t>
      </w:r>
      <w:r w:rsidRPr="00A206DF">
        <w:t xml:space="preserve">Are the differences between Cluster 3a and 3b and Cluster 5 in the </w:t>
      </w:r>
      <w:r w:rsidRPr="00A206DF">
        <w:rPr>
          <w:i/>
        </w:rPr>
        <w:t>Golden Legend</w:t>
      </w:r>
      <w:r w:rsidRPr="00A206DF">
        <w:t xml:space="preserve"> caused by a change in compositor?</w:t>
      </w:r>
      <w:r>
        <w:t xml:space="preserve"> And Research Question </w:t>
      </w:r>
      <w:r w:rsidR="00D14E24">
        <w:t>G</w:t>
      </w:r>
      <w:r w:rsidRPr="00A206DF">
        <w:t>:</w:t>
      </w:r>
      <w:r>
        <w:t xml:space="preserve"> </w:t>
      </w:r>
      <w:r w:rsidRPr="00A206DF">
        <w:t>Are the quires in Cluster 3a and Cluster 3b typeset by the same compositor?</w:t>
      </w:r>
      <w:r w:rsidRPr="0021550A">
        <w:t xml:space="preserve"> In the second imprint, the text is divided into two clusters: Cluster 3 runs from Quire u to Quire ʔ and from Quire aa to Quire kk, and Cluster 5 runs from Quire G to Quire X</w:t>
      </w:r>
      <w:r w:rsidR="000E70DF">
        <w:t xml:space="preserve">. The distribution of clusters is shown in </w:t>
      </w:r>
      <w:r w:rsidR="00D14E24">
        <w:t>Figure 8.6</w:t>
      </w:r>
      <w:r w:rsidRPr="0021550A">
        <w:t xml:space="preserve">. </w:t>
      </w:r>
    </w:p>
    <w:p w14:paraId="63F4F2E1" w14:textId="77777777" w:rsidR="00B83317" w:rsidRPr="0021550A" w:rsidRDefault="00B83317" w:rsidP="000737CB"/>
    <w:p w14:paraId="471682B2" w14:textId="18B8A796" w:rsidR="00B83317" w:rsidRPr="0021550A" w:rsidRDefault="00B83317" w:rsidP="00C54C4D">
      <w:pPr>
        <w:ind w:firstLine="0"/>
      </w:pPr>
      <w:r w:rsidRPr="0021550A">
        <w:rPr>
          <w:noProof/>
          <w:lang w:eastAsia="en-GB"/>
        </w:rPr>
        <w:drawing>
          <wp:inline distT="0" distB="0" distL="0" distR="0" wp14:anchorId="08DF94C8" wp14:editId="4ACA0F91">
            <wp:extent cx="4954311" cy="1457137"/>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olden Legend imprint split rev.pdf"/>
                    <pic:cNvPicPr/>
                  </pic:nvPicPr>
                  <pic:blipFill rotWithShape="1">
                    <a:blip r:embed="rId78">
                      <a:extLst>
                        <a:ext uri="{28A0092B-C50C-407E-A947-70E740481C1C}">
                          <a14:useLocalDpi xmlns:a14="http://schemas.microsoft.com/office/drawing/2010/main"/>
                        </a:ext>
                      </a:extLst>
                    </a:blip>
                    <a:srcRect l="4176" t="5458" r="35282" b="62888"/>
                    <a:stretch/>
                  </pic:blipFill>
                  <pic:spPr bwMode="auto">
                    <a:xfrm>
                      <a:off x="0" y="0"/>
                      <a:ext cx="5121253" cy="1506237"/>
                    </a:xfrm>
                    <a:prstGeom prst="rect">
                      <a:avLst/>
                    </a:prstGeom>
                    <a:ln>
                      <a:noFill/>
                    </a:ln>
                    <a:extLst>
                      <a:ext uri="{53640926-AAD7-44D8-BBD7-CCE9431645EC}">
                        <a14:shadowObscured xmlns:a14="http://schemas.microsoft.com/office/drawing/2010/main"/>
                      </a:ext>
                    </a:extLst>
                  </pic:spPr>
                </pic:pic>
              </a:graphicData>
            </a:graphic>
          </wp:inline>
        </w:drawing>
      </w:r>
    </w:p>
    <w:p w14:paraId="45A0C227" w14:textId="34E6DE59" w:rsidR="00B83317" w:rsidRPr="0021550A" w:rsidRDefault="00453776" w:rsidP="000737CB">
      <w:pPr>
        <w:pStyle w:val="Caption"/>
      </w:pPr>
      <w:bookmarkStart w:id="230" w:name="_Toc499753561"/>
      <w:r>
        <w:t>Figure 8.6:</w:t>
      </w:r>
      <w:r w:rsidR="00B83317" w:rsidRPr="0021550A">
        <w:t xml:space="preserve"> </w:t>
      </w:r>
      <w:r w:rsidR="00B83317" w:rsidRPr="0021550A">
        <w:rPr>
          <w:i/>
        </w:rPr>
        <w:t>Golden Legend</w:t>
      </w:r>
      <w:r w:rsidR="00B83317" w:rsidRPr="0021550A">
        <w:t xml:space="preserve"> </w:t>
      </w:r>
      <w:r w:rsidR="00104CBE">
        <w:t xml:space="preserve">clusters </w:t>
      </w:r>
      <w:r w:rsidR="00634698">
        <w:t>divided by imprint</w:t>
      </w:r>
      <w:bookmarkEnd w:id="230"/>
    </w:p>
    <w:p w14:paraId="434523B1" w14:textId="77777777" w:rsidR="00B83317" w:rsidRPr="0021550A" w:rsidRDefault="00B83317" w:rsidP="000737CB"/>
    <w:p w14:paraId="4E7708C1" w14:textId="0EB94801" w:rsidR="00B83317" w:rsidRPr="0021550A" w:rsidRDefault="000E70DF" w:rsidP="000737CB">
      <w:r>
        <w:t xml:space="preserve">We </w:t>
      </w:r>
      <w:r w:rsidR="00B83317" w:rsidRPr="0021550A">
        <w:t xml:space="preserve">can find out about the composition of the </w:t>
      </w:r>
      <w:r>
        <w:t xml:space="preserve">quires of the </w:t>
      </w:r>
      <w:r>
        <w:rPr>
          <w:i/>
        </w:rPr>
        <w:t>Golden Legend</w:t>
      </w:r>
      <w:r w:rsidR="00B83317" w:rsidRPr="0021550A">
        <w:t xml:space="preserve"> by comparing sections of the text against each other. The comparison of Cluster 3a, Cluster 3b and Cluster 5 is presented in </w:t>
      </w:r>
      <w:r w:rsidR="00D14E24">
        <w:t>Table 8.7</w:t>
      </w:r>
      <w:r w:rsidR="00B83317" w:rsidRPr="0021550A">
        <w:t>.</w:t>
      </w:r>
    </w:p>
    <w:p w14:paraId="4797AA95" w14:textId="77777777" w:rsidR="00B83317" w:rsidRPr="0021550A" w:rsidRDefault="00B83317" w:rsidP="000737CB"/>
    <w:tbl>
      <w:tblPr>
        <w:tblStyle w:val="GridTable1Light1"/>
        <w:tblW w:w="0" w:type="auto"/>
        <w:tblLook w:val="04A0" w:firstRow="1" w:lastRow="0" w:firstColumn="1" w:lastColumn="0" w:noHBand="0" w:noVBand="1"/>
      </w:tblPr>
      <w:tblGrid>
        <w:gridCol w:w="3145"/>
        <w:gridCol w:w="1725"/>
      </w:tblGrid>
      <w:tr w:rsidR="00B83317" w:rsidRPr="0021550A" w14:paraId="77BC283D" w14:textId="77777777" w:rsidTr="00C653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vAlign w:val="center"/>
          </w:tcPr>
          <w:p w14:paraId="2077E122" w14:textId="77777777" w:rsidR="00B83317" w:rsidRPr="0021550A" w:rsidRDefault="00B83317" w:rsidP="00C54C4D">
            <w:pPr>
              <w:ind w:firstLine="0"/>
              <w:jc w:val="center"/>
            </w:pPr>
            <w:r w:rsidRPr="0021550A">
              <w:lastRenderedPageBreak/>
              <w:t>Comparison</w:t>
            </w:r>
          </w:p>
        </w:tc>
        <w:tc>
          <w:tcPr>
            <w:tcW w:w="1725" w:type="dxa"/>
            <w:vAlign w:val="center"/>
          </w:tcPr>
          <w:p w14:paraId="3204A860" w14:textId="77777777" w:rsidR="00B83317" w:rsidRPr="0021550A" w:rsidRDefault="00B83317" w:rsidP="00C54C4D">
            <w:pPr>
              <w:ind w:firstLine="0"/>
              <w:jc w:val="center"/>
              <w:cnfStyle w:val="100000000000" w:firstRow="1" w:lastRow="0" w:firstColumn="0" w:lastColumn="0" w:oddVBand="0" w:evenVBand="0" w:oddHBand="0" w:evenHBand="0" w:firstRowFirstColumn="0" w:firstRowLastColumn="0" w:lastRowFirstColumn="0" w:lastRowLastColumn="0"/>
            </w:pPr>
            <w:r w:rsidRPr="0021550A">
              <w:t>Similarity score</w:t>
            </w:r>
          </w:p>
        </w:tc>
      </w:tr>
      <w:tr w:rsidR="00B83317" w:rsidRPr="0021550A" w14:paraId="141D3DDE" w14:textId="77777777" w:rsidTr="00C6534F">
        <w:tc>
          <w:tcPr>
            <w:cnfStyle w:val="001000000000" w:firstRow="0" w:lastRow="0" w:firstColumn="1" w:lastColumn="0" w:oddVBand="0" w:evenVBand="0" w:oddHBand="0" w:evenHBand="0" w:firstRowFirstColumn="0" w:firstRowLastColumn="0" w:lastRowFirstColumn="0" w:lastRowLastColumn="0"/>
            <w:tcW w:w="3145" w:type="dxa"/>
            <w:shd w:val="clear" w:color="auto" w:fill="FFF2CC" w:themeFill="accent4" w:themeFillTint="33"/>
            <w:vAlign w:val="center"/>
          </w:tcPr>
          <w:p w14:paraId="0860A34D" w14:textId="77777777" w:rsidR="00B83317" w:rsidRPr="00C54C4D" w:rsidRDefault="00B83317" w:rsidP="00C54C4D">
            <w:pPr>
              <w:ind w:firstLine="0"/>
              <w:jc w:val="center"/>
              <w:rPr>
                <w:b w:val="0"/>
              </w:rPr>
            </w:pPr>
            <w:r w:rsidRPr="00C54C4D">
              <w:rPr>
                <w:b w:val="0"/>
              </w:rPr>
              <w:t>Cluster 3a and Cluster 3b</w:t>
            </w:r>
          </w:p>
        </w:tc>
        <w:tc>
          <w:tcPr>
            <w:tcW w:w="1725" w:type="dxa"/>
            <w:shd w:val="clear" w:color="auto" w:fill="FFF2CC" w:themeFill="accent4" w:themeFillTint="33"/>
            <w:vAlign w:val="center"/>
          </w:tcPr>
          <w:p w14:paraId="7E656D40" w14:textId="77777777" w:rsidR="00B83317" w:rsidRPr="0021550A" w:rsidRDefault="00B83317" w:rsidP="00C54C4D">
            <w:pPr>
              <w:ind w:firstLine="0"/>
              <w:jc w:val="center"/>
              <w:cnfStyle w:val="000000000000" w:firstRow="0" w:lastRow="0" w:firstColumn="0" w:lastColumn="0" w:oddVBand="0" w:evenVBand="0" w:oddHBand="0" w:evenHBand="0" w:firstRowFirstColumn="0" w:firstRowLastColumn="0" w:lastRowFirstColumn="0" w:lastRowLastColumn="0"/>
            </w:pPr>
            <w:r w:rsidRPr="0021550A">
              <w:t>0.96</w:t>
            </w:r>
          </w:p>
        </w:tc>
      </w:tr>
      <w:tr w:rsidR="00B83317" w:rsidRPr="0021550A" w14:paraId="131EB5F2" w14:textId="77777777" w:rsidTr="00C6534F">
        <w:trPr>
          <w:trHeight w:val="395"/>
        </w:trPr>
        <w:tc>
          <w:tcPr>
            <w:cnfStyle w:val="001000000000" w:firstRow="0" w:lastRow="0" w:firstColumn="1" w:lastColumn="0" w:oddVBand="0" w:evenVBand="0" w:oddHBand="0" w:evenHBand="0" w:firstRowFirstColumn="0" w:firstRowLastColumn="0" w:lastRowFirstColumn="0" w:lastRowLastColumn="0"/>
            <w:tcW w:w="3145" w:type="dxa"/>
            <w:vAlign w:val="center"/>
          </w:tcPr>
          <w:p w14:paraId="40DB2CD0" w14:textId="77777777" w:rsidR="00B83317" w:rsidRPr="00C54C4D" w:rsidRDefault="00B83317" w:rsidP="00C54C4D">
            <w:pPr>
              <w:ind w:firstLine="0"/>
              <w:jc w:val="center"/>
              <w:rPr>
                <w:b w:val="0"/>
              </w:rPr>
            </w:pPr>
            <w:r w:rsidRPr="00C54C4D">
              <w:rPr>
                <w:b w:val="0"/>
              </w:rPr>
              <w:t>Cluster 3a and Cluster 5</w:t>
            </w:r>
          </w:p>
        </w:tc>
        <w:tc>
          <w:tcPr>
            <w:tcW w:w="1725" w:type="dxa"/>
            <w:vAlign w:val="center"/>
          </w:tcPr>
          <w:p w14:paraId="33530620" w14:textId="77777777" w:rsidR="00B83317" w:rsidRPr="0021550A" w:rsidRDefault="00B83317" w:rsidP="00C54C4D">
            <w:pPr>
              <w:ind w:firstLine="0"/>
              <w:jc w:val="center"/>
              <w:cnfStyle w:val="000000000000" w:firstRow="0" w:lastRow="0" w:firstColumn="0" w:lastColumn="0" w:oddVBand="0" w:evenVBand="0" w:oddHBand="0" w:evenHBand="0" w:firstRowFirstColumn="0" w:firstRowLastColumn="0" w:lastRowFirstColumn="0" w:lastRowLastColumn="0"/>
            </w:pPr>
            <w:r w:rsidRPr="0021550A">
              <w:t>0.84</w:t>
            </w:r>
          </w:p>
        </w:tc>
      </w:tr>
      <w:tr w:rsidR="00B83317" w:rsidRPr="0021550A" w14:paraId="169DE50A" w14:textId="77777777" w:rsidTr="00C6534F">
        <w:tc>
          <w:tcPr>
            <w:cnfStyle w:val="001000000000" w:firstRow="0" w:lastRow="0" w:firstColumn="1" w:lastColumn="0" w:oddVBand="0" w:evenVBand="0" w:oddHBand="0" w:evenHBand="0" w:firstRowFirstColumn="0" w:firstRowLastColumn="0" w:lastRowFirstColumn="0" w:lastRowLastColumn="0"/>
            <w:tcW w:w="3145" w:type="dxa"/>
            <w:vAlign w:val="center"/>
          </w:tcPr>
          <w:p w14:paraId="1C36C0DC" w14:textId="77777777" w:rsidR="00B83317" w:rsidRPr="00C54C4D" w:rsidRDefault="00B83317" w:rsidP="00C54C4D">
            <w:pPr>
              <w:ind w:firstLine="0"/>
              <w:jc w:val="center"/>
              <w:rPr>
                <w:b w:val="0"/>
              </w:rPr>
            </w:pPr>
            <w:r w:rsidRPr="00C54C4D">
              <w:rPr>
                <w:b w:val="0"/>
              </w:rPr>
              <w:t>Cluster 3b and Cluster 5</w:t>
            </w:r>
          </w:p>
        </w:tc>
        <w:tc>
          <w:tcPr>
            <w:tcW w:w="1725" w:type="dxa"/>
            <w:vAlign w:val="center"/>
          </w:tcPr>
          <w:p w14:paraId="7B917762" w14:textId="77777777" w:rsidR="00B83317" w:rsidRPr="0021550A" w:rsidRDefault="00B83317" w:rsidP="00C54C4D">
            <w:pPr>
              <w:ind w:firstLine="0"/>
              <w:jc w:val="center"/>
              <w:cnfStyle w:val="000000000000" w:firstRow="0" w:lastRow="0" w:firstColumn="0" w:lastColumn="0" w:oddVBand="0" w:evenVBand="0" w:oddHBand="0" w:evenHBand="0" w:firstRowFirstColumn="0" w:firstRowLastColumn="0" w:lastRowFirstColumn="0" w:lastRowLastColumn="0"/>
            </w:pPr>
            <w:r w:rsidRPr="0021550A">
              <w:t>0.82</w:t>
            </w:r>
          </w:p>
        </w:tc>
      </w:tr>
    </w:tbl>
    <w:p w14:paraId="42685C9E" w14:textId="7573890E" w:rsidR="00B83317" w:rsidRPr="0021550A" w:rsidRDefault="00453776" w:rsidP="000737CB">
      <w:pPr>
        <w:pStyle w:val="Caption"/>
      </w:pPr>
      <w:bookmarkStart w:id="231" w:name="_Toc499753494"/>
      <w:r>
        <w:t>Table 8.7:</w:t>
      </w:r>
      <w:r w:rsidR="00B83317" w:rsidRPr="0021550A">
        <w:t xml:space="preserve"> Similarity comparison of sections of Caxton's </w:t>
      </w:r>
      <w:r w:rsidR="00B83317" w:rsidRPr="0021550A">
        <w:rPr>
          <w:i/>
        </w:rPr>
        <w:t>Golden Legend</w:t>
      </w:r>
      <w:bookmarkEnd w:id="231"/>
    </w:p>
    <w:p w14:paraId="38B5E4C7" w14:textId="77777777" w:rsidR="00B83317" w:rsidRPr="0021550A" w:rsidRDefault="00B83317" w:rsidP="000737CB"/>
    <w:p w14:paraId="351675CB" w14:textId="53E9064C" w:rsidR="00B83317" w:rsidRPr="0021550A" w:rsidRDefault="00E12429" w:rsidP="000737CB">
      <w:r>
        <w:fldChar w:fldCharType="begin"/>
      </w:r>
      <w:r>
        <w:instrText xml:space="preserve"> REF _Ref492307522 </w:instrText>
      </w:r>
      <w:r>
        <w:fldChar w:fldCharType="separate"/>
      </w:r>
      <w:r w:rsidR="00D14E24">
        <w:t>Table 8.7</w:t>
      </w:r>
      <w:r>
        <w:rPr>
          <w:noProof/>
        </w:rPr>
        <w:fldChar w:fldCharType="end"/>
      </w:r>
      <w:r w:rsidR="00B83317" w:rsidRPr="0021550A">
        <w:t xml:space="preserve"> shows the similarity scores of the clusters that form the second imprint of Caxton’s </w:t>
      </w:r>
      <w:r w:rsidR="00B83317" w:rsidRPr="0021550A">
        <w:rPr>
          <w:i/>
        </w:rPr>
        <w:t>Golden Legend</w:t>
      </w:r>
      <w:r w:rsidR="00B83317" w:rsidRPr="0021550A">
        <w:t xml:space="preserve">. </w:t>
      </w:r>
      <w:r w:rsidR="00214ECB">
        <w:t xml:space="preserve">With regard to </w:t>
      </w:r>
      <w:r w:rsidR="00D14E24">
        <w:t>Research Question F</w:t>
      </w:r>
      <w:r w:rsidR="00214ECB">
        <w:t>, t</w:t>
      </w:r>
      <w:r w:rsidR="00B83317" w:rsidRPr="0021550A">
        <w:t xml:space="preserve">he information we are most interested in is the similarity between Cluster 3a and Cluster 3b, highlighted in yellow. When we compare these two clusters, the similarity score is 0.96 which </w:t>
      </w:r>
      <w:r w:rsidR="006C42DC">
        <w:t xml:space="preserve">is a particularly high score. The baseline for texts typeset by one compositor is around 0.90, and the score for Cluster 3a and 3b of the </w:t>
      </w:r>
      <w:r w:rsidR="006C42DC">
        <w:rPr>
          <w:i/>
        </w:rPr>
        <w:t>Golden Legend</w:t>
      </w:r>
      <w:r w:rsidR="006C42DC">
        <w:t xml:space="preserve"> is well above the baseline. This high similarity score </w:t>
      </w:r>
      <w:r w:rsidR="00B83317" w:rsidRPr="0021550A">
        <w:t xml:space="preserve">suggests </w:t>
      </w:r>
      <w:r w:rsidR="000614DB">
        <w:t xml:space="preserve">therefore </w:t>
      </w:r>
      <w:r w:rsidR="00B83317" w:rsidRPr="0021550A">
        <w:t xml:space="preserve">that these two clusters were typeset by the same compositor, and that compositor used </w:t>
      </w:r>
      <w:r w:rsidR="006C42DC">
        <w:t>the same</w:t>
      </w:r>
      <w:r w:rsidR="00B83317" w:rsidRPr="0021550A">
        <w:t xml:space="preserve"> copy text to typeset both sections. In contrast, the similarity scores for the comparison between Cluster 5 and Cluster 3a, and Cluster 5 and Cluster 3b, are far lower</w:t>
      </w:r>
      <w:r w:rsidR="006C42DC">
        <w:t xml:space="preserve"> which suggests th</w:t>
      </w:r>
      <w:r w:rsidR="00DB33BE">
        <w:t xml:space="preserve">at different idiolects are present in Cluster 5 to the idiolects in Cluster 3a and 3b. It is not clear from the present evidence whether the difference in idiolects is due to a change in the individual working at the level of the compositor or the copy text. However, a change in the copy text is less likely because Clusters 3a and 3b and Cluster 5 are all reprints in the second issue of the text, so </w:t>
      </w:r>
      <w:r w:rsidR="000614DB">
        <w:t>we would expect that the compositor used</w:t>
      </w:r>
      <w:r w:rsidR="00DB33BE">
        <w:t xml:space="preserve"> the first issue of the text as the copy text in both cases. </w:t>
      </w:r>
    </w:p>
    <w:p w14:paraId="609B1048" w14:textId="69BF3EA7" w:rsidR="00B83317" w:rsidRPr="0021550A" w:rsidRDefault="00B83317" w:rsidP="00DB33BE">
      <w:r w:rsidRPr="0021550A">
        <w:t>The data from this study suppo</w:t>
      </w:r>
      <w:r w:rsidR="00DB33BE">
        <w:t xml:space="preserve">rts the argument I made in Section </w:t>
      </w:r>
      <w:r w:rsidR="00DB33BE">
        <w:fldChar w:fldCharType="begin"/>
      </w:r>
      <w:r w:rsidR="00DB33BE">
        <w:instrText xml:space="preserve"> REF _Ref492911846 \r </w:instrText>
      </w:r>
      <w:r w:rsidR="00DB33BE">
        <w:fldChar w:fldCharType="separate"/>
      </w:r>
      <w:r w:rsidR="00D11844">
        <w:t>7.5.1</w:t>
      </w:r>
      <w:r w:rsidR="00DB33BE">
        <w:fldChar w:fldCharType="end"/>
      </w:r>
      <w:r w:rsidR="00DB33BE">
        <w:t xml:space="preserve"> </w:t>
      </w:r>
      <w:r w:rsidRPr="0021550A">
        <w:t xml:space="preserve">that the same compositor set the type for Cluster 3a and 3b of the </w:t>
      </w:r>
      <w:r w:rsidRPr="0021550A">
        <w:rPr>
          <w:i/>
        </w:rPr>
        <w:t>Golden Legend</w:t>
      </w:r>
      <w:r w:rsidR="00D53E3A">
        <w:t>. The division of copy for composition</w:t>
      </w:r>
      <w:r w:rsidRPr="0021550A">
        <w:t xml:space="preserve"> at this point makes sense, because the division is almost equal in the number of quires for each compositor. </w:t>
      </w:r>
      <w:r w:rsidR="000614DB">
        <w:t xml:space="preserve">Furthermore the very high similarity score for the </w:t>
      </w:r>
      <w:r w:rsidR="00D53E3A">
        <w:t xml:space="preserve">two sections suggests that one compositor used one copy text to write both sections. </w:t>
      </w:r>
      <w:r w:rsidRPr="0021550A">
        <w:t xml:space="preserve">However, with the information we have at present it is not possible to say </w:t>
      </w:r>
      <w:r w:rsidR="00DB33BE">
        <w:t xml:space="preserve">whether the difference between the idiolects used in Cluster 5 and the idiolects in Cluster 3a and 3b takes place at the level of the compositor or the copy text. </w:t>
      </w:r>
      <w:r w:rsidRPr="0021550A">
        <w:t>I will retu</w:t>
      </w:r>
      <w:r w:rsidR="00DB33BE">
        <w:t xml:space="preserve">rn to this question in Section </w:t>
      </w:r>
      <w:r w:rsidR="007149A2">
        <w:fldChar w:fldCharType="begin"/>
      </w:r>
      <w:r w:rsidR="007149A2">
        <w:instrText xml:space="preserve"> REF _Ref497210811 \r </w:instrText>
      </w:r>
      <w:r w:rsidR="007149A2">
        <w:fldChar w:fldCharType="separate"/>
      </w:r>
      <w:r w:rsidR="00D11844">
        <w:t>9.5.2</w:t>
      </w:r>
      <w:r w:rsidR="007149A2">
        <w:fldChar w:fldCharType="end"/>
      </w:r>
      <w:r w:rsidR="007149A2">
        <w:t>.</w:t>
      </w:r>
    </w:p>
    <w:p w14:paraId="37CC7FAF" w14:textId="77777777" w:rsidR="00B83317" w:rsidRPr="0021550A" w:rsidRDefault="00B83317" w:rsidP="000737CB"/>
    <w:p w14:paraId="3B4B3B22" w14:textId="09142C76" w:rsidR="00B83317" w:rsidRPr="0021550A" w:rsidRDefault="00B83317" w:rsidP="000737CB">
      <w:pPr>
        <w:pStyle w:val="Heading3"/>
      </w:pPr>
      <w:bookmarkStart w:id="232" w:name="_Ref497212201"/>
      <w:r w:rsidRPr="0021550A">
        <w:t xml:space="preserve">Change of compositor in the </w:t>
      </w:r>
      <w:r w:rsidRPr="00BC52E0">
        <w:rPr>
          <w:i/>
        </w:rPr>
        <w:t>Polychronicon</w:t>
      </w:r>
      <w:bookmarkEnd w:id="232"/>
    </w:p>
    <w:p w14:paraId="50286A08" w14:textId="36DB7781" w:rsidR="00B83317" w:rsidRPr="0021550A" w:rsidRDefault="00B83317" w:rsidP="000737CB">
      <w:r w:rsidRPr="0021550A">
        <w:t>This sect</w:t>
      </w:r>
      <w:r w:rsidR="00270899">
        <w:t xml:space="preserve">ion explores Research Question </w:t>
      </w:r>
      <w:r w:rsidR="00D14E24">
        <w:t>L</w:t>
      </w:r>
      <w:r w:rsidRPr="0021550A">
        <w:t xml:space="preserve"> which asks whether there was a change in compositor in the </w:t>
      </w:r>
      <w:r w:rsidRPr="0021550A">
        <w:rPr>
          <w:i/>
        </w:rPr>
        <w:t>Polychronicon</w:t>
      </w:r>
      <w:r w:rsidRPr="0021550A">
        <w:t xml:space="preserve"> at the location suggested by Hellinga </w:t>
      </w:r>
      <w:r w:rsidR="00270899">
        <w:t>and</w:t>
      </w:r>
      <w:r w:rsidRPr="0021550A">
        <w:t xml:space="preserve"> Painter. The textual history of Caxton’s edition of the </w:t>
      </w:r>
      <w:r w:rsidRPr="0021550A">
        <w:rPr>
          <w:i/>
        </w:rPr>
        <w:t>Polychronicon</w:t>
      </w:r>
      <w:r w:rsidRPr="0021550A">
        <w:t xml:space="preserve"> is of particular </w:t>
      </w:r>
      <w:r w:rsidRPr="0021550A">
        <w:lastRenderedPageBreak/>
        <w:t xml:space="preserve">interest, because of the addition of the Liber Ultimus—an additional book added after the books of the </w:t>
      </w:r>
      <w:r w:rsidRPr="0021550A">
        <w:rPr>
          <w:i/>
        </w:rPr>
        <w:t>Polychronicon</w:t>
      </w:r>
      <w:r w:rsidRPr="0021550A">
        <w:t xml:space="preserve">. The language of Caxton’s </w:t>
      </w:r>
      <w:r w:rsidRPr="0021550A">
        <w:rPr>
          <w:i/>
        </w:rPr>
        <w:t>Polychronicon</w:t>
      </w:r>
      <w:r w:rsidRPr="0021550A">
        <w:t xml:space="preserve"> is also of interest; in his prologue to the text, Caxton states that he modernised the language of the text, and in doing so wrote the book out in its entirety. </w:t>
      </w:r>
    </w:p>
    <w:p w14:paraId="39789737" w14:textId="1C84704C" w:rsidR="00B83317" w:rsidRDefault="00B83317" w:rsidP="000737CB">
      <w:r w:rsidRPr="0021550A">
        <w:t xml:space="preserve">In </w:t>
      </w:r>
      <w:r w:rsidR="00360082">
        <w:t xml:space="preserve">Section </w:t>
      </w:r>
      <w:r w:rsidR="00360082">
        <w:fldChar w:fldCharType="begin"/>
      </w:r>
      <w:r w:rsidR="00360082">
        <w:instrText xml:space="preserve"> REF _Ref495322729 \r </w:instrText>
      </w:r>
      <w:r w:rsidR="00360082">
        <w:fldChar w:fldCharType="separate"/>
      </w:r>
      <w:r w:rsidR="00D11844">
        <w:t>7.5.2</w:t>
      </w:r>
      <w:r w:rsidR="00360082">
        <w:fldChar w:fldCharType="end"/>
      </w:r>
      <w:r w:rsidRPr="0021550A">
        <w:t xml:space="preserve">, cluster analysis showed that the text of the </w:t>
      </w:r>
      <w:r w:rsidRPr="0021550A">
        <w:rPr>
          <w:i/>
        </w:rPr>
        <w:t>Polychronicon</w:t>
      </w:r>
      <w:r w:rsidRPr="0021550A">
        <w:t xml:space="preserve"> can be </w:t>
      </w:r>
      <w:r w:rsidR="00270899">
        <w:t>grouped</w:t>
      </w:r>
      <w:r w:rsidRPr="0021550A">
        <w:t xml:space="preserve"> into six </w:t>
      </w:r>
      <w:r w:rsidR="00270899">
        <w:t>clusters</w:t>
      </w:r>
      <w:r w:rsidRPr="0021550A">
        <w:t>. The clusters map onto a change in the text where the text is divided into seven books (and followed by the additional Liber Ultimus), shown in</w:t>
      </w:r>
      <w:r w:rsidR="00E90557">
        <w:t xml:space="preserve"> </w:t>
      </w:r>
      <w:r w:rsidR="00D14E24">
        <w:t>Fgure 8.8</w:t>
      </w:r>
      <w:r w:rsidRPr="0021550A">
        <w:t>.</w:t>
      </w:r>
    </w:p>
    <w:p w14:paraId="1F1AC554" w14:textId="77777777" w:rsidR="00270899" w:rsidRDefault="00270899" w:rsidP="000737CB"/>
    <w:p w14:paraId="624DD871" w14:textId="2E47FDFD" w:rsidR="00B83317" w:rsidRPr="0021550A" w:rsidRDefault="00B83317" w:rsidP="00C54C4D">
      <w:pPr>
        <w:ind w:firstLine="0"/>
      </w:pPr>
      <w:r w:rsidRPr="0021550A">
        <w:rPr>
          <w:noProof/>
          <w:lang w:eastAsia="en-GB"/>
        </w:rPr>
        <w:drawing>
          <wp:inline distT="0" distB="0" distL="0" distR="0" wp14:anchorId="457EBC47" wp14:editId="2E202A95">
            <wp:extent cx="5024161" cy="1145249"/>
            <wp:effectExtent l="0" t="0" r="508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olychronicon k = 6 labelled.pdf"/>
                    <pic:cNvPicPr/>
                  </pic:nvPicPr>
                  <pic:blipFill rotWithShape="1">
                    <a:blip r:embed="rId84">
                      <a:extLst>
                        <a:ext uri="{28A0092B-C50C-407E-A947-70E740481C1C}">
                          <a14:useLocalDpi xmlns:a14="http://schemas.microsoft.com/office/drawing/2010/main"/>
                        </a:ext>
                      </a:extLst>
                    </a:blip>
                    <a:srcRect l="3145" t="38485" r="36384" b="37003"/>
                    <a:stretch/>
                  </pic:blipFill>
                  <pic:spPr bwMode="auto">
                    <a:xfrm>
                      <a:off x="0" y="0"/>
                      <a:ext cx="5057284" cy="1152799"/>
                    </a:xfrm>
                    <a:prstGeom prst="rect">
                      <a:avLst/>
                    </a:prstGeom>
                    <a:ln>
                      <a:noFill/>
                    </a:ln>
                    <a:extLst>
                      <a:ext uri="{53640926-AAD7-44D8-BBD7-CCE9431645EC}">
                        <a14:shadowObscured xmlns:a14="http://schemas.microsoft.com/office/drawing/2010/main"/>
                      </a:ext>
                    </a:extLst>
                  </pic:spPr>
                </pic:pic>
              </a:graphicData>
            </a:graphic>
          </wp:inline>
        </w:drawing>
      </w:r>
    </w:p>
    <w:p w14:paraId="5F75617B" w14:textId="71110069" w:rsidR="00B83317" w:rsidRPr="0021550A" w:rsidRDefault="00453776" w:rsidP="000737CB">
      <w:pPr>
        <w:pStyle w:val="Caption"/>
      </w:pPr>
      <w:bookmarkStart w:id="233" w:name="_Toc499753562"/>
      <w:r>
        <w:t>Figure 8.8:</w:t>
      </w:r>
      <w:r w:rsidR="00B83317" w:rsidRPr="0021550A">
        <w:t xml:space="preserve"> </w:t>
      </w:r>
      <w:r w:rsidR="00104CBE">
        <w:t xml:space="preserve">Clustering </w:t>
      </w:r>
      <w:r w:rsidR="00B83317" w:rsidRPr="0021550A">
        <w:t xml:space="preserve">the </w:t>
      </w:r>
      <w:r w:rsidR="00B83317" w:rsidRPr="0021550A">
        <w:rPr>
          <w:i/>
        </w:rPr>
        <w:t>Polychronicon</w:t>
      </w:r>
      <w:r w:rsidR="00634698">
        <w:t>,</w:t>
      </w:r>
      <w:r w:rsidR="00B83317" w:rsidRPr="0021550A">
        <w:t xml:space="preserve"> </w:t>
      </w:r>
      <w:r w:rsidR="00B83317" w:rsidRPr="0021550A">
        <w:rPr>
          <w:i/>
        </w:rPr>
        <w:t>k</w:t>
      </w:r>
      <w:r w:rsidR="00B83317" w:rsidRPr="0021550A">
        <w:t xml:space="preserve"> = 6</w:t>
      </w:r>
      <w:bookmarkEnd w:id="233"/>
    </w:p>
    <w:p w14:paraId="3529A43F" w14:textId="77777777" w:rsidR="00B83317" w:rsidRPr="0021550A" w:rsidRDefault="00B83317" w:rsidP="000737CB"/>
    <w:p w14:paraId="7DF161DF" w14:textId="02E7EBE7" w:rsidR="00886DF6" w:rsidRDefault="00B83317" w:rsidP="00886DF6">
      <w:r w:rsidRPr="0021550A">
        <w:t xml:space="preserve">While the text can be clustered into six clusters that map onto divisions made at the level of the copy text, there is no division that marks a change in the compositor. Hellinga </w:t>
      </w:r>
      <w:r w:rsidR="00270899">
        <w:t>and</w:t>
      </w:r>
      <w:r w:rsidRPr="0021550A">
        <w:t xml:space="preserve"> Painter </w:t>
      </w:r>
      <w:r w:rsidR="00E90557" w:rsidRPr="00E90557">
        <w:t>(2007:</w:t>
      </w:r>
      <w:r w:rsidR="00270899">
        <w:t xml:space="preserve"> </w:t>
      </w:r>
      <w:r w:rsidR="00E90557" w:rsidRPr="00E90557">
        <w:t>128)</w:t>
      </w:r>
      <w:r w:rsidR="00E90557">
        <w:t xml:space="preserve"> </w:t>
      </w:r>
      <w:r w:rsidRPr="0021550A">
        <w:t>state that a change in the compositor is likely to take place at the beginning of Quire 29 because of the addition of a bifolium</w:t>
      </w:r>
      <w:r w:rsidR="00E90557">
        <w:t>—a quire of only two pages—inserted between otherwise full-length quires</w:t>
      </w:r>
      <w:r w:rsidRPr="0021550A">
        <w:t xml:space="preserve"> after Quire 28, but the cluster analysis did not pick up a change in this location. The cluster analysis breaks down after </w:t>
      </w:r>
      <w:r w:rsidRPr="0021550A">
        <w:rPr>
          <w:i/>
        </w:rPr>
        <w:t>k</w:t>
      </w:r>
      <w:r w:rsidRPr="0021550A">
        <w:t xml:space="preserve"> = 6, and the resulting clusters are no longer coherent. However, we can still look at the difference between the </w:t>
      </w:r>
      <w:r w:rsidR="00270899">
        <w:t>spellings used</w:t>
      </w:r>
      <w:r w:rsidRPr="0021550A">
        <w:t xml:space="preserve"> within Cluster 3 on either side of the divide theorised by Hellinga </w:t>
      </w:r>
      <w:r w:rsidR="00270899">
        <w:t xml:space="preserve">and Painter, to find out whether different idiolects are used on either side of the divide. </w:t>
      </w:r>
    </w:p>
    <w:p w14:paraId="3EB18452" w14:textId="1A557692" w:rsidR="00060C50" w:rsidRDefault="00886DF6" w:rsidP="000737CB">
      <w:r>
        <w:t xml:space="preserve">It is important when assessing the similarity of spellings in an orthographically complex text that we minimise the complexity of the spellings as much as possible. In the case of the </w:t>
      </w:r>
      <w:r>
        <w:rPr>
          <w:i/>
        </w:rPr>
        <w:t>Polychronicon</w:t>
      </w:r>
      <w:r>
        <w:t xml:space="preserve">, which can be divided into six distinct sections based on the spellings in each, the section that Hellinga and Painter suggest was typeset by Compositor 1 includes quires in Cluster 1, Cluster 2, and Cluster 3 (in </w:t>
      </w:r>
      <w:r w:rsidR="00D14E24">
        <w:t>Fiture 8.8</w:t>
      </w:r>
      <w:r w:rsidR="00060C50">
        <w:t>)</w:t>
      </w:r>
      <w:r>
        <w:t xml:space="preserve">. The differences in spellings between these three clusters could cause the similarity scores to decline, and obscure any difference between the spellings used by Compositor 1 and Compositor 2. Instead, this section focuses on the spellings used in Cluster 3 only. </w:t>
      </w:r>
    </w:p>
    <w:p w14:paraId="14C1E842" w14:textId="3B2E2258" w:rsidR="00B83317" w:rsidRPr="0021550A" w:rsidRDefault="00B83317" w:rsidP="000737CB">
      <w:r w:rsidRPr="0021550A">
        <w:t xml:space="preserve">To investigate the similarity of spellings used by Compositor 1 and Compositor 2 of the </w:t>
      </w:r>
      <w:r w:rsidRPr="0021550A">
        <w:rPr>
          <w:i/>
        </w:rPr>
        <w:t>Polychronicon</w:t>
      </w:r>
      <w:r w:rsidRPr="0021550A">
        <w:t xml:space="preserve">, we can compare the spellings used within Cluster 3 where the copy text appears to have been stable. We can divide the cluster at the beginning of Quire 29 </w:t>
      </w:r>
      <w:r w:rsidRPr="0021550A">
        <w:lastRenderedPageBreak/>
        <w:t xml:space="preserve">where Hellinga </w:t>
      </w:r>
      <w:r w:rsidR="00060C50">
        <w:t>and</w:t>
      </w:r>
      <w:r w:rsidRPr="0021550A">
        <w:t xml:space="preserve"> Painter suggest that the change in compositors took place, and compare the similarity of the spellings used on either side of the divide to see whether the location is likely to mark a change in compositor. </w:t>
      </w:r>
    </w:p>
    <w:p w14:paraId="6DF7FA59" w14:textId="77777777" w:rsidR="00B83317" w:rsidRPr="0021550A" w:rsidRDefault="00B83317" w:rsidP="000737CB"/>
    <w:tbl>
      <w:tblPr>
        <w:tblStyle w:val="GridTable1Light1"/>
        <w:tblW w:w="0" w:type="auto"/>
        <w:tblLook w:val="04A0" w:firstRow="1" w:lastRow="0" w:firstColumn="1" w:lastColumn="0" w:noHBand="0" w:noVBand="1"/>
      </w:tblPr>
      <w:tblGrid>
        <w:gridCol w:w="3235"/>
        <w:gridCol w:w="2790"/>
        <w:gridCol w:w="1833"/>
      </w:tblGrid>
      <w:tr w:rsidR="00634698" w:rsidRPr="0021550A" w14:paraId="64EDD7C2" w14:textId="77777777" w:rsidTr="006346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5" w:type="dxa"/>
            <w:vAlign w:val="center"/>
          </w:tcPr>
          <w:p w14:paraId="5D4C2862" w14:textId="77777777" w:rsidR="00B83317" w:rsidRPr="0021550A" w:rsidRDefault="00B83317" w:rsidP="00634698">
            <w:pPr>
              <w:spacing w:line="276" w:lineRule="auto"/>
              <w:ind w:hanging="23"/>
              <w:jc w:val="center"/>
            </w:pPr>
            <w:r w:rsidRPr="0021550A">
              <w:t>Comparison</w:t>
            </w:r>
          </w:p>
        </w:tc>
        <w:tc>
          <w:tcPr>
            <w:tcW w:w="2790" w:type="dxa"/>
          </w:tcPr>
          <w:p w14:paraId="4DB621C6" w14:textId="77777777" w:rsidR="00B83317" w:rsidRPr="0021550A" w:rsidRDefault="00B83317" w:rsidP="00634698">
            <w:pPr>
              <w:spacing w:line="276" w:lineRule="auto"/>
              <w:ind w:hanging="23"/>
              <w:jc w:val="center"/>
              <w:cnfStyle w:val="100000000000" w:firstRow="1" w:lastRow="0" w:firstColumn="0" w:lastColumn="0" w:oddVBand="0" w:evenVBand="0" w:oddHBand="0" w:evenHBand="0" w:firstRowFirstColumn="0" w:firstRowLastColumn="0" w:lastRowFirstColumn="0" w:lastRowLastColumn="0"/>
            </w:pPr>
            <w:r w:rsidRPr="0021550A">
              <w:t>Quires under comparison</w:t>
            </w:r>
          </w:p>
        </w:tc>
        <w:tc>
          <w:tcPr>
            <w:tcW w:w="1833" w:type="dxa"/>
            <w:vAlign w:val="center"/>
          </w:tcPr>
          <w:p w14:paraId="5F3A9187" w14:textId="77777777" w:rsidR="00B83317" w:rsidRPr="0021550A" w:rsidRDefault="00B83317" w:rsidP="00634698">
            <w:pPr>
              <w:spacing w:line="276" w:lineRule="auto"/>
              <w:ind w:hanging="23"/>
              <w:jc w:val="center"/>
              <w:cnfStyle w:val="100000000000" w:firstRow="1" w:lastRow="0" w:firstColumn="0" w:lastColumn="0" w:oddVBand="0" w:evenVBand="0" w:oddHBand="0" w:evenHBand="0" w:firstRowFirstColumn="0" w:firstRowLastColumn="0" w:lastRowFirstColumn="0" w:lastRowLastColumn="0"/>
            </w:pPr>
            <w:r w:rsidRPr="0021550A">
              <w:t>Similarity score</w:t>
            </w:r>
          </w:p>
        </w:tc>
      </w:tr>
      <w:tr w:rsidR="00634698" w:rsidRPr="0021550A" w14:paraId="1C272DF4" w14:textId="77777777" w:rsidTr="00634698">
        <w:tc>
          <w:tcPr>
            <w:cnfStyle w:val="001000000000" w:firstRow="0" w:lastRow="0" w:firstColumn="1" w:lastColumn="0" w:oddVBand="0" w:evenVBand="0" w:oddHBand="0" w:evenHBand="0" w:firstRowFirstColumn="0" w:firstRowLastColumn="0" w:lastRowFirstColumn="0" w:lastRowLastColumn="0"/>
            <w:tcW w:w="3235" w:type="dxa"/>
            <w:shd w:val="clear" w:color="auto" w:fill="FFF2CC" w:themeFill="accent4" w:themeFillTint="33"/>
            <w:vAlign w:val="center"/>
          </w:tcPr>
          <w:p w14:paraId="137B2703" w14:textId="2451E4FA" w:rsidR="00B83317" w:rsidRPr="00C54C4D" w:rsidRDefault="00B83317" w:rsidP="00634698">
            <w:pPr>
              <w:spacing w:line="276" w:lineRule="auto"/>
              <w:ind w:hanging="23"/>
              <w:jc w:val="center"/>
              <w:rPr>
                <w:b w:val="0"/>
              </w:rPr>
            </w:pPr>
            <w:r w:rsidRPr="00C54C4D">
              <w:rPr>
                <w:b w:val="0"/>
              </w:rPr>
              <w:t>Change in compositor</w:t>
            </w:r>
            <w:r w:rsidR="003E3A4E">
              <w:rPr>
                <w:b w:val="0"/>
              </w:rPr>
              <w:t xml:space="preserve"> at Quire 29</w:t>
            </w:r>
          </w:p>
        </w:tc>
        <w:tc>
          <w:tcPr>
            <w:tcW w:w="2790" w:type="dxa"/>
            <w:shd w:val="clear" w:color="auto" w:fill="FFF2CC" w:themeFill="accent4" w:themeFillTint="33"/>
          </w:tcPr>
          <w:p w14:paraId="29DB02F1" w14:textId="77777777" w:rsidR="00634698" w:rsidRDefault="00B83317" w:rsidP="00634698">
            <w:pPr>
              <w:spacing w:line="276" w:lineRule="auto"/>
              <w:ind w:hanging="23"/>
              <w:jc w:val="center"/>
              <w:cnfStyle w:val="000000000000" w:firstRow="0" w:lastRow="0" w:firstColumn="0" w:lastColumn="0" w:oddVBand="0" w:evenVBand="0" w:oddHBand="0" w:evenHBand="0" w:firstRowFirstColumn="0" w:firstRowLastColumn="0" w:lastRowFirstColumn="0" w:lastRowLastColumn="0"/>
            </w:pPr>
            <w:r w:rsidRPr="0021550A">
              <w:t xml:space="preserve">Quire 24 to 28; </w:t>
            </w:r>
          </w:p>
          <w:p w14:paraId="76946964" w14:textId="520C9A3C" w:rsidR="00B83317" w:rsidRPr="0021550A" w:rsidRDefault="00B83317" w:rsidP="00634698">
            <w:pPr>
              <w:spacing w:line="276" w:lineRule="auto"/>
              <w:ind w:hanging="23"/>
              <w:jc w:val="center"/>
              <w:cnfStyle w:val="000000000000" w:firstRow="0" w:lastRow="0" w:firstColumn="0" w:lastColumn="0" w:oddVBand="0" w:evenVBand="0" w:oddHBand="0" w:evenHBand="0" w:firstRowFirstColumn="0" w:firstRowLastColumn="0" w:lastRowFirstColumn="0" w:lastRowLastColumn="0"/>
            </w:pPr>
            <w:r w:rsidRPr="0021550A">
              <w:t>Quire 29 to 35</w:t>
            </w:r>
          </w:p>
        </w:tc>
        <w:tc>
          <w:tcPr>
            <w:tcW w:w="1833" w:type="dxa"/>
            <w:shd w:val="clear" w:color="auto" w:fill="FFF2CC" w:themeFill="accent4" w:themeFillTint="33"/>
            <w:vAlign w:val="center"/>
          </w:tcPr>
          <w:p w14:paraId="369C1039" w14:textId="77777777" w:rsidR="00B83317" w:rsidRPr="0021550A" w:rsidRDefault="00B83317" w:rsidP="00634698">
            <w:pPr>
              <w:spacing w:line="276" w:lineRule="auto"/>
              <w:ind w:hanging="23"/>
              <w:jc w:val="center"/>
              <w:cnfStyle w:val="000000000000" w:firstRow="0" w:lastRow="0" w:firstColumn="0" w:lastColumn="0" w:oddVBand="0" w:evenVBand="0" w:oddHBand="0" w:evenHBand="0" w:firstRowFirstColumn="0" w:firstRowLastColumn="0" w:lastRowFirstColumn="0" w:lastRowLastColumn="0"/>
            </w:pPr>
            <w:r w:rsidRPr="0021550A">
              <w:t>0.94</w:t>
            </w:r>
          </w:p>
        </w:tc>
      </w:tr>
      <w:tr w:rsidR="00634698" w:rsidRPr="0021550A" w14:paraId="12B08087" w14:textId="77777777" w:rsidTr="00634698">
        <w:trPr>
          <w:trHeight w:val="395"/>
        </w:trPr>
        <w:tc>
          <w:tcPr>
            <w:cnfStyle w:val="001000000000" w:firstRow="0" w:lastRow="0" w:firstColumn="1" w:lastColumn="0" w:oddVBand="0" w:evenVBand="0" w:oddHBand="0" w:evenHBand="0" w:firstRowFirstColumn="0" w:firstRowLastColumn="0" w:lastRowFirstColumn="0" w:lastRowLastColumn="0"/>
            <w:tcW w:w="3235" w:type="dxa"/>
            <w:vAlign w:val="center"/>
          </w:tcPr>
          <w:p w14:paraId="261ABBEA" w14:textId="77777777" w:rsidR="00B83317" w:rsidRPr="00C54C4D" w:rsidRDefault="00B83317" w:rsidP="00634698">
            <w:pPr>
              <w:spacing w:line="276" w:lineRule="auto"/>
              <w:ind w:hanging="23"/>
              <w:jc w:val="center"/>
              <w:rPr>
                <w:b w:val="0"/>
              </w:rPr>
            </w:pPr>
            <w:r w:rsidRPr="00C54C4D">
              <w:rPr>
                <w:b w:val="0"/>
              </w:rPr>
              <w:t>Compare Book IV to Cluster 1</w:t>
            </w:r>
          </w:p>
        </w:tc>
        <w:tc>
          <w:tcPr>
            <w:tcW w:w="2790" w:type="dxa"/>
          </w:tcPr>
          <w:p w14:paraId="455203E6" w14:textId="77777777" w:rsidR="00634698" w:rsidRDefault="00B83317" w:rsidP="00634698">
            <w:pPr>
              <w:spacing w:line="276" w:lineRule="auto"/>
              <w:ind w:hanging="23"/>
              <w:jc w:val="center"/>
              <w:cnfStyle w:val="000000000000" w:firstRow="0" w:lastRow="0" w:firstColumn="0" w:lastColumn="0" w:oddVBand="0" w:evenVBand="0" w:oddHBand="0" w:evenHBand="0" w:firstRowFirstColumn="0" w:firstRowLastColumn="0" w:lastRowFirstColumn="0" w:lastRowLastColumn="0"/>
            </w:pPr>
            <w:r w:rsidRPr="0021550A">
              <w:t xml:space="preserve">Quire 24 to 28; </w:t>
            </w:r>
          </w:p>
          <w:p w14:paraId="6AA7C46A" w14:textId="766C6851" w:rsidR="00B83317" w:rsidRPr="0021550A" w:rsidRDefault="00B83317" w:rsidP="00634698">
            <w:pPr>
              <w:spacing w:line="276" w:lineRule="auto"/>
              <w:ind w:hanging="23"/>
              <w:jc w:val="center"/>
              <w:cnfStyle w:val="000000000000" w:firstRow="0" w:lastRow="0" w:firstColumn="0" w:lastColumn="0" w:oddVBand="0" w:evenVBand="0" w:oddHBand="0" w:evenHBand="0" w:firstRowFirstColumn="0" w:firstRowLastColumn="0" w:lastRowFirstColumn="0" w:lastRowLastColumn="0"/>
            </w:pPr>
            <w:r w:rsidRPr="0021550A">
              <w:t>Quire 1 to 19</w:t>
            </w:r>
          </w:p>
        </w:tc>
        <w:tc>
          <w:tcPr>
            <w:tcW w:w="1833" w:type="dxa"/>
            <w:vAlign w:val="center"/>
          </w:tcPr>
          <w:p w14:paraId="4127107E" w14:textId="77777777" w:rsidR="00B83317" w:rsidRPr="0021550A" w:rsidRDefault="00B83317" w:rsidP="00634698">
            <w:pPr>
              <w:spacing w:line="276" w:lineRule="auto"/>
              <w:ind w:hanging="23"/>
              <w:jc w:val="center"/>
              <w:cnfStyle w:val="000000000000" w:firstRow="0" w:lastRow="0" w:firstColumn="0" w:lastColumn="0" w:oddVBand="0" w:evenVBand="0" w:oddHBand="0" w:evenHBand="0" w:firstRowFirstColumn="0" w:firstRowLastColumn="0" w:lastRowFirstColumn="0" w:lastRowLastColumn="0"/>
            </w:pPr>
            <w:r w:rsidRPr="0021550A">
              <w:t>0.86</w:t>
            </w:r>
          </w:p>
        </w:tc>
      </w:tr>
      <w:tr w:rsidR="00634698" w:rsidRPr="0021550A" w14:paraId="0FC5F244" w14:textId="77777777" w:rsidTr="00634698">
        <w:tc>
          <w:tcPr>
            <w:cnfStyle w:val="001000000000" w:firstRow="0" w:lastRow="0" w:firstColumn="1" w:lastColumn="0" w:oddVBand="0" w:evenVBand="0" w:oddHBand="0" w:evenHBand="0" w:firstRowFirstColumn="0" w:firstRowLastColumn="0" w:lastRowFirstColumn="0" w:lastRowLastColumn="0"/>
            <w:tcW w:w="3235" w:type="dxa"/>
            <w:vAlign w:val="center"/>
          </w:tcPr>
          <w:p w14:paraId="183F6ADA" w14:textId="77777777" w:rsidR="00B83317" w:rsidRPr="00C54C4D" w:rsidRDefault="00B83317" w:rsidP="00634698">
            <w:pPr>
              <w:spacing w:line="276" w:lineRule="auto"/>
              <w:ind w:hanging="23"/>
              <w:jc w:val="center"/>
              <w:rPr>
                <w:b w:val="0"/>
              </w:rPr>
            </w:pPr>
            <w:r w:rsidRPr="00C54C4D">
              <w:rPr>
                <w:b w:val="0"/>
              </w:rPr>
              <w:t>Compare Book V to Cluster 6</w:t>
            </w:r>
          </w:p>
        </w:tc>
        <w:tc>
          <w:tcPr>
            <w:tcW w:w="2790" w:type="dxa"/>
          </w:tcPr>
          <w:p w14:paraId="1BCFBD3E" w14:textId="77777777" w:rsidR="00634698" w:rsidRDefault="00B83317" w:rsidP="00634698">
            <w:pPr>
              <w:spacing w:line="276" w:lineRule="auto"/>
              <w:ind w:hanging="23"/>
              <w:jc w:val="center"/>
              <w:cnfStyle w:val="000000000000" w:firstRow="0" w:lastRow="0" w:firstColumn="0" w:lastColumn="0" w:oddVBand="0" w:evenVBand="0" w:oddHBand="0" w:evenHBand="0" w:firstRowFirstColumn="0" w:firstRowLastColumn="0" w:lastRowFirstColumn="0" w:lastRowLastColumn="0"/>
            </w:pPr>
            <w:r w:rsidRPr="0021550A">
              <w:t xml:space="preserve">Quire 29 to 35; </w:t>
            </w:r>
          </w:p>
          <w:p w14:paraId="53F2DC53" w14:textId="0B9BBEAE" w:rsidR="00B83317" w:rsidRPr="0021550A" w:rsidRDefault="00B83317" w:rsidP="00634698">
            <w:pPr>
              <w:spacing w:line="276" w:lineRule="auto"/>
              <w:ind w:hanging="23"/>
              <w:jc w:val="center"/>
              <w:cnfStyle w:val="000000000000" w:firstRow="0" w:lastRow="0" w:firstColumn="0" w:lastColumn="0" w:oddVBand="0" w:evenVBand="0" w:oddHBand="0" w:evenHBand="0" w:firstRowFirstColumn="0" w:firstRowLastColumn="0" w:lastRowFirstColumn="0" w:lastRowLastColumn="0"/>
            </w:pPr>
            <w:r w:rsidRPr="0021550A">
              <w:t>Quire 50 to Quire 55</w:t>
            </w:r>
          </w:p>
        </w:tc>
        <w:tc>
          <w:tcPr>
            <w:tcW w:w="1833" w:type="dxa"/>
            <w:vAlign w:val="center"/>
          </w:tcPr>
          <w:p w14:paraId="26FB3FA9" w14:textId="77777777" w:rsidR="00B83317" w:rsidRPr="0021550A" w:rsidRDefault="00B83317" w:rsidP="00634698">
            <w:pPr>
              <w:spacing w:line="276" w:lineRule="auto"/>
              <w:ind w:hanging="23"/>
              <w:jc w:val="center"/>
              <w:cnfStyle w:val="000000000000" w:firstRow="0" w:lastRow="0" w:firstColumn="0" w:lastColumn="0" w:oddVBand="0" w:evenVBand="0" w:oddHBand="0" w:evenHBand="0" w:firstRowFirstColumn="0" w:firstRowLastColumn="0" w:lastRowFirstColumn="0" w:lastRowLastColumn="0"/>
            </w:pPr>
            <w:r w:rsidRPr="0021550A">
              <w:t>0.87</w:t>
            </w:r>
          </w:p>
        </w:tc>
      </w:tr>
    </w:tbl>
    <w:p w14:paraId="37EBD333" w14:textId="6E8D9F6C" w:rsidR="00B83317" w:rsidRPr="0021550A" w:rsidRDefault="00453776" w:rsidP="000737CB">
      <w:pPr>
        <w:pStyle w:val="Caption"/>
      </w:pPr>
      <w:bookmarkStart w:id="234" w:name="_Toc499753495"/>
      <w:r>
        <w:t>Table 8.9:</w:t>
      </w:r>
      <w:r w:rsidR="00B83317" w:rsidRPr="0021550A">
        <w:t xml:space="preserve"> </w:t>
      </w:r>
      <w:r w:rsidR="00176CED">
        <w:t>Similarity of spellings used by hypothesised different compositors of</w:t>
      </w:r>
      <w:r w:rsidR="00634698">
        <w:t xml:space="preserve"> </w:t>
      </w:r>
      <w:r w:rsidR="00634698">
        <w:rPr>
          <w:i/>
        </w:rPr>
        <w:t>Polychronicon</w:t>
      </w:r>
      <w:bookmarkEnd w:id="234"/>
    </w:p>
    <w:p w14:paraId="6D1223B7" w14:textId="77777777" w:rsidR="00B83317" w:rsidRPr="0021550A" w:rsidRDefault="00B83317" w:rsidP="000737CB"/>
    <w:p w14:paraId="6BF11BAA" w14:textId="2EA8384D" w:rsidR="00B83317" w:rsidRPr="0021550A" w:rsidRDefault="00D14E24" w:rsidP="000737CB">
      <w:r>
        <w:t>Table 8.9</w:t>
      </w:r>
      <w:r w:rsidR="00B83317" w:rsidRPr="0021550A">
        <w:t xml:space="preserve"> shows the similarity scores for comparisons between sections of the </w:t>
      </w:r>
      <w:r w:rsidR="00B83317" w:rsidRPr="0021550A">
        <w:rPr>
          <w:i/>
        </w:rPr>
        <w:t>Polychronicon</w:t>
      </w:r>
      <w:r w:rsidR="00B83317" w:rsidRPr="0021550A">
        <w:t xml:space="preserve">. Highlighted in yellow is the comparison of the quires of Cluster 3, divided at the point that Hellinga </w:t>
      </w:r>
      <w:r w:rsidR="00060C50">
        <w:t>and</w:t>
      </w:r>
      <w:r w:rsidR="00B83317" w:rsidRPr="0021550A">
        <w:t xml:space="preserve"> Painter suggest a change in compositors has taken place. The similarity score when we compare the two sections of Cluster 3 is 0.94. This score is in line with the scores for texts that were typeset by one compositor, and the similarity of the spellings used on either side of the divide suggests that a change in compositor has not taken place. In comparison, when we compare sections of Cluster 3 against other clusters in the </w:t>
      </w:r>
      <w:r w:rsidR="00B83317" w:rsidRPr="0021550A">
        <w:rPr>
          <w:i/>
        </w:rPr>
        <w:t>Polychronicon</w:t>
      </w:r>
      <w:r w:rsidR="00B83317" w:rsidRPr="0021550A">
        <w:t xml:space="preserve">, the similarity is far lower. The similarity measurements suggest that the location of change suggested by Hellinga </w:t>
      </w:r>
      <w:r w:rsidR="0071240C">
        <w:t>and</w:t>
      </w:r>
      <w:r w:rsidR="00B83317" w:rsidRPr="0021550A">
        <w:t xml:space="preserve"> Painter does not mark a change in compositors. </w:t>
      </w:r>
    </w:p>
    <w:p w14:paraId="1BBF3016" w14:textId="77777777" w:rsidR="00B83317" w:rsidRPr="0021550A" w:rsidRDefault="00B83317" w:rsidP="000737CB"/>
    <w:p w14:paraId="10A4820E" w14:textId="679A027E" w:rsidR="00B83317" w:rsidRPr="0021550A" w:rsidRDefault="00B83317" w:rsidP="000737CB">
      <w:pPr>
        <w:pStyle w:val="Heading2"/>
      </w:pPr>
      <w:bookmarkStart w:id="235" w:name="_Toc497899877"/>
      <w:r w:rsidRPr="0021550A">
        <w:t xml:space="preserve">Chapter </w:t>
      </w:r>
      <w:bookmarkEnd w:id="235"/>
      <w:r w:rsidR="00276ED3">
        <w:t>conclusions</w:t>
      </w:r>
    </w:p>
    <w:p w14:paraId="12EE7E9D" w14:textId="77777777" w:rsidR="00691333" w:rsidRDefault="00B83317" w:rsidP="00123BB3">
      <w:r w:rsidRPr="0021550A">
        <w:t xml:space="preserve">This chapter has </w:t>
      </w:r>
      <w:r w:rsidR="00276ED3">
        <w:t xml:space="preserve">applied similarity measurements to Caxton’s texts </w:t>
      </w:r>
      <w:r w:rsidRPr="0021550A">
        <w:t>to quantify the difference between the spellings used in one section of text against another section of the same text.</w:t>
      </w:r>
      <w:r w:rsidR="00123BB3">
        <w:t xml:space="preserve"> </w:t>
      </w:r>
      <w:r w:rsidR="00691333">
        <w:t xml:space="preserve">In doing so, I have </w:t>
      </w:r>
      <w:r w:rsidR="00123BB3" w:rsidRPr="0021550A">
        <w:t>shown that similarity measuring can be used in a multitude of ways when appl</w:t>
      </w:r>
      <w:r w:rsidR="00123BB3">
        <w:t>ied to historical spelling data, and that through the use of similarity testing it is possible to find out about the nature of fifteenth-century spelling variation.</w:t>
      </w:r>
      <w:r w:rsidR="00123BB3" w:rsidRPr="0021550A">
        <w:t xml:space="preserve"> </w:t>
      </w:r>
      <w:r w:rsidR="00123BB3">
        <w:t>The similarity testing has demonstrated that individuals involved in copying texts used variable spellings, that is, their idiolects often use more than one spelling to represent a word. However, the spellings that each compositor or scribe used, and the ratios in which they used each spelling remain stable throughout the work that they each undertook</w:t>
      </w:r>
      <w:r w:rsidR="00691333">
        <w:t xml:space="preserve"> (Section </w:t>
      </w:r>
      <w:r w:rsidR="00691333">
        <w:fldChar w:fldCharType="begin"/>
      </w:r>
      <w:r w:rsidR="00691333">
        <w:instrText xml:space="preserve"> REF _Ref498622569 \r </w:instrText>
      </w:r>
      <w:r w:rsidR="00691333">
        <w:fldChar w:fldCharType="separate"/>
      </w:r>
      <w:r w:rsidR="00D11844">
        <w:t>8.1</w:t>
      </w:r>
      <w:r w:rsidR="00691333">
        <w:fldChar w:fldCharType="end"/>
      </w:r>
      <w:r w:rsidR="00691333">
        <w:t>)</w:t>
      </w:r>
      <w:r w:rsidR="00123BB3">
        <w:t xml:space="preserve">. </w:t>
      </w:r>
      <w:r w:rsidR="00691333">
        <w:t xml:space="preserve">In Section </w:t>
      </w:r>
      <w:r w:rsidR="00691333">
        <w:fldChar w:fldCharType="begin"/>
      </w:r>
      <w:r w:rsidR="00691333">
        <w:instrText xml:space="preserve"> REF _Ref498622569 \r </w:instrText>
      </w:r>
      <w:r w:rsidR="00691333">
        <w:fldChar w:fldCharType="separate"/>
      </w:r>
      <w:r w:rsidR="00D11844">
        <w:t>8.1</w:t>
      </w:r>
      <w:r w:rsidR="00691333">
        <w:fldChar w:fldCharType="end"/>
      </w:r>
      <w:r w:rsidR="00691333">
        <w:t xml:space="preserve">, I showed that texts or sections of text that were typeset by one compositor (and using a copy text that did not contain more than one idiolect) have </w:t>
      </w:r>
      <w:r w:rsidR="00691333">
        <w:lastRenderedPageBreak/>
        <w:t xml:space="preserve">similarity scores of around 0.9. I then used this figure as a baseline measure when exploring other texts in this chapter. </w:t>
      </w:r>
    </w:p>
    <w:p w14:paraId="50BC5F35" w14:textId="627C1830" w:rsidR="00123BB3" w:rsidRDefault="00123BB3" w:rsidP="00123BB3">
      <w:r>
        <w:t xml:space="preserve">Furthermore, when we compare the spellings used by different people against each other, the idiolects are often quite different. In the </w:t>
      </w:r>
      <w:r>
        <w:rPr>
          <w:i/>
        </w:rPr>
        <w:t>Canterbury Tales</w:t>
      </w:r>
      <w:r>
        <w:t xml:space="preserve"> when it was possible to isolate the spellings of the compositor from the spellings that the compositor copied from the copy text, the similarity of spellings was 0.39</w:t>
      </w:r>
      <w:r w:rsidR="00691333">
        <w:t xml:space="preserve"> (Section </w:t>
      </w:r>
      <w:r w:rsidR="00691333">
        <w:fldChar w:fldCharType="begin"/>
      </w:r>
      <w:r w:rsidR="00691333">
        <w:instrText xml:space="preserve"> REF _Ref499624231 \r </w:instrText>
      </w:r>
      <w:r w:rsidR="00691333">
        <w:fldChar w:fldCharType="separate"/>
      </w:r>
      <w:r w:rsidR="00D11844">
        <w:t>8.2</w:t>
      </w:r>
      <w:r w:rsidR="00691333">
        <w:fldChar w:fldCharType="end"/>
      </w:r>
      <w:r w:rsidR="00691333">
        <w:t>)</w:t>
      </w:r>
      <w:r>
        <w:t xml:space="preserve">. However, where the copy text was included in the analysis, the comparison between compositors’ spellings is far higher; the possible change in compositor between Cluster 5 and Clusters 3a and 3b of the </w:t>
      </w:r>
      <w:r>
        <w:rPr>
          <w:i/>
        </w:rPr>
        <w:t>Golden Legend</w:t>
      </w:r>
      <w:r>
        <w:t xml:space="preserve"> has a mean score of 0.83</w:t>
      </w:r>
      <w:r w:rsidR="00691333">
        <w:t xml:space="preserve"> (Section </w:t>
      </w:r>
      <w:r w:rsidR="00691333">
        <w:fldChar w:fldCharType="begin"/>
      </w:r>
      <w:r w:rsidR="00691333">
        <w:instrText xml:space="preserve"> REF _Ref497210748 \r </w:instrText>
      </w:r>
      <w:r w:rsidR="00691333">
        <w:fldChar w:fldCharType="separate"/>
      </w:r>
      <w:r w:rsidR="00D11844">
        <w:t>8.3.2</w:t>
      </w:r>
      <w:r w:rsidR="00691333">
        <w:fldChar w:fldCharType="end"/>
      </w:r>
      <w:r w:rsidR="00691333">
        <w:t xml:space="preserve">). </w:t>
      </w:r>
    </w:p>
    <w:p w14:paraId="2102DF2E" w14:textId="7777C911" w:rsidR="00B83317" w:rsidRPr="0021550A" w:rsidRDefault="00B83317" w:rsidP="000737CB">
      <w:r w:rsidRPr="0021550A">
        <w:t xml:space="preserve"> </w:t>
      </w:r>
      <w:r w:rsidR="00691333">
        <w:t xml:space="preserve">In addition to extending our knowledge of the nature of spelling variation, this chapter also </w:t>
      </w:r>
      <w:r w:rsidRPr="0021550A">
        <w:t>returned to several of the research questions that were raised in the previous chapter:</w:t>
      </w:r>
    </w:p>
    <w:p w14:paraId="0638BCC2" w14:textId="0684A962" w:rsidR="00B83317" w:rsidRPr="0021550A" w:rsidRDefault="00453776" w:rsidP="00AF58D5">
      <w:pPr>
        <w:ind w:left="1260" w:hanging="540"/>
      </w:pPr>
      <w:r>
        <w:t>D</w:t>
      </w:r>
      <w:r w:rsidR="00AF58D5">
        <w:t>:</w:t>
      </w:r>
      <w:r w:rsidR="00AF58D5">
        <w:tab/>
      </w:r>
      <w:r w:rsidR="00B83317" w:rsidRPr="0021550A">
        <w:t xml:space="preserve">What is the source of the change in spelling variants in Caxton’s first edition of the </w:t>
      </w:r>
      <w:r w:rsidR="00B83317" w:rsidRPr="0021550A">
        <w:rPr>
          <w:i/>
        </w:rPr>
        <w:t>Canterbury Tales</w:t>
      </w:r>
      <w:r w:rsidR="00B83317" w:rsidRPr="0021550A">
        <w:t>?</w:t>
      </w:r>
    </w:p>
    <w:p w14:paraId="49AE182C" w14:textId="2B3AD216" w:rsidR="00B83317" w:rsidRPr="00E11434" w:rsidRDefault="00453776" w:rsidP="00AF58D5">
      <w:pPr>
        <w:ind w:left="1260" w:hanging="540"/>
      </w:pPr>
      <w:r>
        <w:t>F</w:t>
      </w:r>
      <w:r w:rsidR="00B83317" w:rsidRPr="00E11434">
        <w:t>:</w:t>
      </w:r>
      <w:r w:rsidR="00B83317" w:rsidRPr="00E11434">
        <w:tab/>
        <w:t xml:space="preserve">Are the differences between Cluster 3a and 3b and Cluster 5 in the </w:t>
      </w:r>
      <w:r w:rsidR="00B83317" w:rsidRPr="00E11434">
        <w:rPr>
          <w:i/>
        </w:rPr>
        <w:t>Golden Legend</w:t>
      </w:r>
      <w:r w:rsidR="00B83317" w:rsidRPr="00E11434">
        <w:t xml:space="preserve"> caused by a change in compositor? </w:t>
      </w:r>
    </w:p>
    <w:p w14:paraId="36E22494" w14:textId="5DB35EBC" w:rsidR="00B83317" w:rsidRPr="00E11434" w:rsidRDefault="00453776" w:rsidP="00AF58D5">
      <w:pPr>
        <w:ind w:left="1260" w:hanging="540"/>
      </w:pPr>
      <w:r>
        <w:t>G</w:t>
      </w:r>
      <w:r w:rsidR="00B83317" w:rsidRPr="00E11434">
        <w:t>:</w:t>
      </w:r>
      <w:r w:rsidR="00B83317" w:rsidRPr="00E11434">
        <w:tab/>
        <w:t>Are the quires in Cluster 3a and Cluster 3b typeset by the same compositor?</w:t>
      </w:r>
    </w:p>
    <w:p w14:paraId="1CA21E61" w14:textId="18078FF9" w:rsidR="00B83317" w:rsidRPr="0021550A" w:rsidRDefault="00453776" w:rsidP="00AF58D5">
      <w:pPr>
        <w:ind w:left="1260" w:hanging="540"/>
      </w:pPr>
      <w:r>
        <w:t>L</w:t>
      </w:r>
      <w:r w:rsidR="00B83317" w:rsidRPr="0021550A">
        <w:t xml:space="preserve">: Was there a change in compositor in the </w:t>
      </w:r>
      <w:r w:rsidR="00B83317" w:rsidRPr="0021550A">
        <w:rPr>
          <w:i/>
        </w:rPr>
        <w:t xml:space="preserve">Polychronicon </w:t>
      </w:r>
      <w:r w:rsidR="00B83317" w:rsidRPr="0021550A">
        <w:t xml:space="preserve">at the location suggested by Hellinga </w:t>
      </w:r>
      <w:r w:rsidR="00BC2828">
        <w:t>&amp;</w:t>
      </w:r>
      <w:r w:rsidR="00B83317" w:rsidRPr="0021550A">
        <w:t xml:space="preserve"> Painter?</w:t>
      </w:r>
    </w:p>
    <w:p w14:paraId="1A8279D4" w14:textId="77777777" w:rsidR="00691333" w:rsidRDefault="00691333" w:rsidP="000737CB">
      <w:r>
        <w:t xml:space="preserve">Through exploring these research questions, this chapter expands our knowledge of the way that compositors worked together in Caxton’s printing house. </w:t>
      </w:r>
      <w:r w:rsidR="00B83317" w:rsidRPr="0021550A">
        <w:t xml:space="preserve">By using the similarity measure on Caxton’s first edition of the </w:t>
      </w:r>
      <w:r w:rsidR="00B83317" w:rsidRPr="0021550A">
        <w:rPr>
          <w:i/>
        </w:rPr>
        <w:t>Canterbury Tales</w:t>
      </w:r>
      <w:r w:rsidR="00B83317" w:rsidRPr="0021550A">
        <w:t xml:space="preserve">, the </w:t>
      </w:r>
      <w:r w:rsidR="00B83317" w:rsidRPr="0021550A">
        <w:rPr>
          <w:i/>
        </w:rPr>
        <w:t>Golden Legend</w:t>
      </w:r>
      <w:r w:rsidR="00B83317" w:rsidRPr="0021550A">
        <w:t xml:space="preserve"> and the </w:t>
      </w:r>
      <w:r w:rsidR="00B83317" w:rsidRPr="0021550A">
        <w:rPr>
          <w:i/>
        </w:rPr>
        <w:t>Polychronicon</w:t>
      </w:r>
      <w:r w:rsidR="00B83317" w:rsidRPr="0021550A">
        <w:t xml:space="preserve"> it was possible to show that it was unlikely that a change in compositor occurred in any of these texts at the locations suggested by Hellinga </w:t>
      </w:r>
      <w:r w:rsidR="00214AFA">
        <w:t>and</w:t>
      </w:r>
      <w:r w:rsidR="00B83317" w:rsidRPr="0021550A">
        <w:t xml:space="preserve"> Painter. In the </w:t>
      </w:r>
      <w:r w:rsidR="00B83317" w:rsidRPr="0021550A">
        <w:rPr>
          <w:i/>
        </w:rPr>
        <w:t>Canterbury Tales</w:t>
      </w:r>
      <w:r w:rsidR="00214AFA">
        <w:t xml:space="preserve">, the straightforward division of the text suggested by Hellinga and Painter at Quire L is unlikely, because the spelling data suggests that the text was divided into prose and verse, either for composition or earlier, during the creation of the copy text. </w:t>
      </w:r>
      <w:r w:rsidR="00B83317" w:rsidRPr="0021550A">
        <w:t xml:space="preserve">In the </w:t>
      </w:r>
      <w:r w:rsidR="00B83317" w:rsidRPr="0021550A">
        <w:rPr>
          <w:i/>
        </w:rPr>
        <w:t>Golden Legend</w:t>
      </w:r>
      <w:r w:rsidR="00B83317" w:rsidRPr="0021550A">
        <w:t xml:space="preserve">, the high similarity score between the two halves of Cluster 3—from Quire u to Quire ʔ and from Quire aa to Quire kk—suggests that these two sections of text were typeset by the same compositor. </w:t>
      </w:r>
      <w:r w:rsidR="00F20BA9">
        <w:t>Finally, in</w:t>
      </w:r>
      <w:r w:rsidR="00B83317" w:rsidRPr="0021550A">
        <w:t xml:space="preserve"> the </w:t>
      </w:r>
      <w:r w:rsidR="00B83317" w:rsidRPr="0021550A">
        <w:rPr>
          <w:i/>
        </w:rPr>
        <w:t>Polychronicon</w:t>
      </w:r>
      <w:r w:rsidR="00B83317" w:rsidRPr="0021550A">
        <w:t xml:space="preserve">, Hellinga </w:t>
      </w:r>
      <w:r w:rsidR="00F20BA9">
        <w:t>and</w:t>
      </w:r>
      <w:r w:rsidR="00B83317" w:rsidRPr="0021550A">
        <w:t xml:space="preserve"> Painter suggested that a change in compositor took place at the beginning of Quire 29 because of the addition of a bifolium at the end of Quire 28, but a change in compositor is not detected by either the cluster analysis undertaken in </w:t>
      </w:r>
      <w:r w:rsidR="00F20BA9">
        <w:t xml:space="preserve">Section </w:t>
      </w:r>
      <w:r w:rsidR="00F20BA9">
        <w:fldChar w:fldCharType="begin"/>
      </w:r>
      <w:r w:rsidR="00F20BA9">
        <w:instrText xml:space="preserve"> REF _Ref495322729 \r </w:instrText>
      </w:r>
      <w:r w:rsidR="00F20BA9">
        <w:fldChar w:fldCharType="separate"/>
      </w:r>
      <w:r w:rsidR="00D11844">
        <w:t>7.5.2</w:t>
      </w:r>
      <w:r w:rsidR="00F20BA9">
        <w:fldChar w:fldCharType="end"/>
      </w:r>
      <w:r w:rsidR="00F20BA9">
        <w:t xml:space="preserve"> </w:t>
      </w:r>
      <w:r w:rsidR="00B83317" w:rsidRPr="0021550A">
        <w:t>or the similar</w:t>
      </w:r>
      <w:r w:rsidR="00F20BA9">
        <w:t xml:space="preserve">ity measurements undertaken in Section </w:t>
      </w:r>
      <w:r w:rsidR="00F20BA9">
        <w:fldChar w:fldCharType="begin"/>
      </w:r>
      <w:r w:rsidR="00F20BA9">
        <w:instrText xml:space="preserve"> REF _Ref497212201 \r </w:instrText>
      </w:r>
      <w:r w:rsidR="00F20BA9">
        <w:fldChar w:fldCharType="separate"/>
      </w:r>
      <w:r w:rsidR="00D11844">
        <w:t>8.3.3</w:t>
      </w:r>
      <w:r w:rsidR="00F20BA9">
        <w:fldChar w:fldCharType="end"/>
      </w:r>
      <w:r w:rsidR="00B83317" w:rsidRPr="0021550A">
        <w:t xml:space="preserve">. Instead, it does not appear that a change in compositors has taken place. </w:t>
      </w:r>
    </w:p>
    <w:p w14:paraId="77A737EF" w14:textId="6E6CDB25" w:rsidR="00E13B92" w:rsidRDefault="00B83317" w:rsidP="000737CB">
      <w:r w:rsidRPr="0021550A">
        <w:t xml:space="preserve">So far, the analysis in </w:t>
      </w:r>
      <w:r w:rsidR="00691333">
        <w:t>Section Three</w:t>
      </w:r>
      <w:r w:rsidRPr="0021550A">
        <w:t xml:space="preserve"> has focused on the spellings used within individual texts. The final chapter of analysis widens the analysis and makes use of both </w:t>
      </w:r>
      <w:r w:rsidRPr="0021550A">
        <w:lastRenderedPageBreak/>
        <w:t xml:space="preserve">the methods introduced so far—cluster analysis and similarity measurements—beyond the confines of individual texts and looks at the similarities in spellings used between whole texts. In doing so, Chapter </w:t>
      </w:r>
      <w:r w:rsidR="00691333">
        <w:t>9</w:t>
      </w:r>
      <w:r w:rsidRPr="0021550A">
        <w:t xml:space="preserve"> explores the extent to which Caxton’s own spellings can be located in the books that his printing house produced, and resolves the remaining research questions that have arisen during this thesis. </w:t>
      </w:r>
    </w:p>
    <w:p w14:paraId="6519C3DB" w14:textId="77777777" w:rsidR="00E13B92" w:rsidRDefault="00E13B92" w:rsidP="000737CB"/>
    <w:p w14:paraId="6E0B3B48" w14:textId="0A330EBC" w:rsidR="00E13B92" w:rsidRDefault="00E13B92" w:rsidP="000737CB">
      <w:r>
        <w:br w:type="page"/>
      </w:r>
    </w:p>
    <w:p w14:paraId="112F7798" w14:textId="3C8B5D02" w:rsidR="00A31419" w:rsidRPr="0021550A" w:rsidRDefault="00AF58D5" w:rsidP="00173DDA">
      <w:pPr>
        <w:pStyle w:val="Heading1"/>
      </w:pPr>
      <w:r>
        <w:lastRenderedPageBreak/>
        <w:t>Evidence of Caxton’s influence</w:t>
      </w:r>
      <w:r w:rsidR="00B3546F">
        <w:t xml:space="preserve"> </w:t>
      </w:r>
    </w:p>
    <w:p w14:paraId="5056A0BD" w14:textId="41F4FF78" w:rsidR="00A31419" w:rsidRPr="0021550A" w:rsidRDefault="00BD5D92" w:rsidP="000737CB">
      <w:r>
        <w:rPr>
          <w:color w:val="000000"/>
        </w:rPr>
        <w:t>By combining</w:t>
      </w:r>
      <w:r w:rsidR="00A31419" w:rsidRPr="0021550A">
        <w:rPr>
          <w:color w:val="000000"/>
        </w:rPr>
        <w:t xml:space="preserve"> the quantitative</w:t>
      </w:r>
      <w:r w:rsidR="00A43F55">
        <w:rPr>
          <w:color w:val="000000"/>
        </w:rPr>
        <w:t xml:space="preserve"> methods </w:t>
      </w:r>
      <w:r w:rsidR="003231D3">
        <w:rPr>
          <w:color w:val="000000"/>
        </w:rPr>
        <w:t>developed</w:t>
      </w:r>
      <w:r w:rsidR="00A43F55">
        <w:rPr>
          <w:color w:val="000000"/>
        </w:rPr>
        <w:t xml:space="preserve"> in </w:t>
      </w:r>
      <w:r w:rsidR="003231D3">
        <w:rPr>
          <w:color w:val="000000"/>
        </w:rPr>
        <w:t>Section Two</w:t>
      </w:r>
      <w:r>
        <w:rPr>
          <w:color w:val="000000"/>
        </w:rPr>
        <w:t>, this chapter investigates</w:t>
      </w:r>
      <w:r w:rsidR="00A31419" w:rsidRPr="0021550A">
        <w:rPr>
          <w:color w:val="000000"/>
        </w:rPr>
        <w:t xml:space="preserve"> the extent to which </w:t>
      </w:r>
      <w:r>
        <w:rPr>
          <w:color w:val="000000"/>
        </w:rPr>
        <w:t xml:space="preserve">William </w:t>
      </w:r>
      <w:r w:rsidR="007339A3">
        <w:rPr>
          <w:color w:val="000000"/>
        </w:rPr>
        <w:t xml:space="preserve">Caxton </w:t>
      </w:r>
      <w:r>
        <w:rPr>
          <w:color w:val="000000"/>
        </w:rPr>
        <w:t>was personally involved in the creation of</w:t>
      </w:r>
      <w:r w:rsidR="00A31419" w:rsidRPr="0021550A">
        <w:rPr>
          <w:color w:val="000000"/>
        </w:rPr>
        <w:t xml:space="preserve"> the texts that</w:t>
      </w:r>
      <w:r w:rsidR="00C07BCA">
        <w:rPr>
          <w:color w:val="000000"/>
        </w:rPr>
        <w:t xml:space="preserve"> came from his printing house</w:t>
      </w:r>
      <w:r>
        <w:rPr>
          <w:color w:val="000000"/>
        </w:rPr>
        <w:t xml:space="preserve">, and </w:t>
      </w:r>
      <w:r w:rsidR="00713070">
        <w:rPr>
          <w:color w:val="000000"/>
        </w:rPr>
        <w:t>explores Caxton’s approach to editing and translating</w:t>
      </w:r>
      <w:r w:rsidR="00C07BCA">
        <w:rPr>
          <w:color w:val="000000"/>
        </w:rPr>
        <w:t>.</w:t>
      </w:r>
      <w:r w:rsidR="00713070">
        <w:rPr>
          <w:color w:val="000000"/>
        </w:rPr>
        <w:t xml:space="preserve"> </w:t>
      </w:r>
      <w:r w:rsidR="003231D3">
        <w:t xml:space="preserve">The extent to which Caxton was personally involved in the production of the texts from his printing house is unknown. We would expect that </w:t>
      </w:r>
      <w:r w:rsidR="00A31419" w:rsidRPr="0021550A">
        <w:t xml:space="preserve">Caxton’s </w:t>
      </w:r>
      <w:r w:rsidR="00CD34F7">
        <w:t>orthographic idiolect is present in</w:t>
      </w:r>
      <w:r w:rsidR="00A31419" w:rsidRPr="0021550A">
        <w:t xml:space="preserve"> many of </w:t>
      </w:r>
      <w:r w:rsidR="00CD34F7">
        <w:t>his texts</w:t>
      </w:r>
      <w:r w:rsidR="00A31419" w:rsidRPr="0021550A">
        <w:t xml:space="preserve"> because he personally translated or wrote sections or the entirety of many of the texts produced by his printing house. In translating a text, Caxton also created a copy text that could be used in the printing house. Whether the master printer used Caxton’s handwritten edition for the copy text, or whether a further copy text was created from Caxton’s handwritten one, we would expect Caxton’s spellings to be retained in the text to some degree. Using </w:t>
      </w:r>
      <w:r w:rsidR="00CD34F7">
        <w:t xml:space="preserve">hierarchical </w:t>
      </w:r>
      <w:r w:rsidR="00A31419" w:rsidRPr="0021550A">
        <w:t xml:space="preserve">cluster analysis, this study shows that Caxton’s spellings can be found within the texts that Caxton translated and the prologues and epilogues that he wrote. By supplementing this research with </w:t>
      </w:r>
      <w:r w:rsidR="00CD34F7">
        <w:t>similarity testing</w:t>
      </w:r>
      <w:r w:rsidR="00A31419" w:rsidRPr="0021550A">
        <w:t xml:space="preserve">, this study also demonstrates how we can isolate the work of one compositor in Caxton’s printing house. </w:t>
      </w:r>
    </w:p>
    <w:p w14:paraId="4FEDB287" w14:textId="77777777" w:rsidR="008A28ED" w:rsidRDefault="00A31419" w:rsidP="000737CB">
      <w:r w:rsidRPr="0021550A">
        <w:t>The methods used in this chapter are those developed in earlier chapters, and reapplied onto the wider dataset. Previously this thesis focused on changes in spelling that take place withi</w:t>
      </w:r>
      <w:r w:rsidR="0092012D">
        <w:t>n individual texts. In Chapter 7</w:t>
      </w:r>
      <w:r w:rsidRPr="0021550A">
        <w:t xml:space="preserve">, I </w:t>
      </w:r>
      <w:r w:rsidR="00CD34F7">
        <w:t>used</w:t>
      </w:r>
      <w:r w:rsidRPr="0021550A">
        <w:t xml:space="preserve"> cluster analysis to group</w:t>
      </w:r>
      <w:r w:rsidR="0092012D">
        <w:t xml:space="preserve"> individual texts by</w:t>
      </w:r>
      <w:r w:rsidRPr="0021550A">
        <w:t xml:space="preserve"> quires based on the similarity of spellings within each quire. By clustering quires based on spelling, we can use cluster analysis to locate points in the text where a change in spellings takes place. Once we know where in the text the change in spellings occurs, we can then explore the text further to find out whether the change in spellings is likely to be caused by either a change in the copy text or a change</w:t>
      </w:r>
      <w:r w:rsidR="0092012D">
        <w:t xml:space="preserve"> in the compositor. In Chapter 8</w:t>
      </w:r>
      <w:r w:rsidRPr="0021550A">
        <w:t xml:space="preserve">, I </w:t>
      </w:r>
      <w:r w:rsidR="008A28ED">
        <w:t>used</w:t>
      </w:r>
      <w:r w:rsidR="0092012D">
        <w:t xml:space="preserve"> similarity testing</w:t>
      </w:r>
      <w:r w:rsidRPr="0021550A">
        <w:t xml:space="preserve"> to show the extent to which the spellings used in diffe</w:t>
      </w:r>
      <w:r w:rsidR="0092012D">
        <w:t>rent clusters of quires within individual</w:t>
      </w:r>
      <w:r w:rsidRPr="0021550A">
        <w:t xml:space="preserve"> text</w:t>
      </w:r>
      <w:r w:rsidR="0092012D">
        <w:t>s</w:t>
      </w:r>
      <w:r w:rsidRPr="0021550A">
        <w:t xml:space="preserve"> </w:t>
      </w:r>
      <w:r w:rsidR="008A28ED">
        <w:t xml:space="preserve">differ from one another. </w:t>
      </w:r>
    </w:p>
    <w:p w14:paraId="266165AD" w14:textId="171A814D" w:rsidR="00A31419" w:rsidRPr="0021550A" w:rsidRDefault="008A28ED" w:rsidP="000737CB">
      <w:r>
        <w:t>In the present chapter</w:t>
      </w:r>
      <w:r w:rsidR="00A31419" w:rsidRPr="0021550A">
        <w:t xml:space="preserve">, the focus shifts away from quires within a text and onto Caxton’s use of spellings over a dataset comprised of whole texts. The combination of the methods </w:t>
      </w:r>
      <w:r w:rsidR="0092012D">
        <w:t>developed in Section Two</w:t>
      </w:r>
      <w:r w:rsidR="00A31419" w:rsidRPr="0021550A">
        <w:t xml:space="preserve"> are ideal for this study, because cluster analysis can group whole texts together that make use of similar spellings, and the similarity measure is able to provide an indication of how similar the spellings </w:t>
      </w:r>
      <w:r>
        <w:t xml:space="preserve">are </w:t>
      </w:r>
      <w:r w:rsidR="00A31419" w:rsidRPr="0021550A">
        <w:t xml:space="preserve">in different texts. </w:t>
      </w:r>
      <w:r w:rsidR="0092012D">
        <w:t>When applied to whole texts</w:t>
      </w:r>
      <w:r w:rsidR="00A31419" w:rsidRPr="0021550A">
        <w:t xml:space="preserve">, the cluster analysis demonstrates which texts contain Caxton’s </w:t>
      </w:r>
      <w:r>
        <w:t>idiolect</w:t>
      </w:r>
      <w:r w:rsidR="00A31419" w:rsidRPr="0021550A">
        <w:t xml:space="preserve">, and the similarity measurements can show the extent to which these texts are similar to one another. In undertaking this research, these methods are used not only to </w:t>
      </w:r>
      <w:r w:rsidR="00A31419" w:rsidRPr="0021550A">
        <w:lastRenderedPageBreak/>
        <w:t xml:space="preserve">isolate </w:t>
      </w:r>
      <w:r>
        <w:t>texts that were edited or translated by Caxton</w:t>
      </w:r>
      <w:r w:rsidR="00A31419" w:rsidRPr="0021550A">
        <w:t>, but also to find out more about Caxton’s practices as an editor and a translator.</w:t>
      </w:r>
    </w:p>
    <w:p w14:paraId="7B80FE3A" w14:textId="26DA2E42" w:rsidR="00A31419" w:rsidRPr="0021550A" w:rsidRDefault="00AA761E" w:rsidP="000737CB">
      <w:r>
        <w:t xml:space="preserve">In addition to exploring the extent to which Caxton’s influence can be detected in the texts that his printing house produced, </w:t>
      </w:r>
      <w:r w:rsidR="00E11434">
        <w:t>nine</w:t>
      </w:r>
      <w:r w:rsidR="00A31419" w:rsidRPr="0021550A">
        <w:t xml:space="preserve"> research questions arose through the cluster analysis undertaken in Cha</w:t>
      </w:r>
      <w:r w:rsidR="00AF58D5">
        <w:t>pter 7. The studies in Chapter 8</w:t>
      </w:r>
      <w:r w:rsidR="00A31419" w:rsidRPr="0021550A">
        <w:t xml:space="preserve"> resolved </w:t>
      </w:r>
      <w:r w:rsidR="00C90766">
        <w:t xml:space="preserve">Research Questions </w:t>
      </w:r>
      <w:r w:rsidR="00453776">
        <w:t>D</w:t>
      </w:r>
      <w:r w:rsidR="00C90766">
        <w:t xml:space="preserve">, </w:t>
      </w:r>
      <w:r w:rsidR="00453776">
        <w:t>G</w:t>
      </w:r>
      <w:r w:rsidR="00C90766">
        <w:t xml:space="preserve">, and </w:t>
      </w:r>
      <w:r w:rsidR="00453776">
        <w:t>L</w:t>
      </w:r>
      <w:r w:rsidR="00A31419" w:rsidRPr="0021550A">
        <w:t xml:space="preserve">, and the work in this chapter aims to resolve the </w:t>
      </w:r>
      <w:r w:rsidR="00C90766">
        <w:t>six</w:t>
      </w:r>
      <w:r w:rsidR="00A31419" w:rsidRPr="0021550A">
        <w:t xml:space="preserve"> remaining questions:</w:t>
      </w:r>
    </w:p>
    <w:p w14:paraId="1EA5FAAF" w14:textId="1B2D6043" w:rsidR="00A31419" w:rsidRPr="0021550A" w:rsidRDefault="00453776" w:rsidP="00AF58D5">
      <w:pPr>
        <w:ind w:left="1260" w:hanging="540"/>
      </w:pPr>
      <w:r>
        <w:t>E</w:t>
      </w:r>
      <w:r w:rsidR="00AF58D5">
        <w:t>:</w:t>
      </w:r>
      <w:r w:rsidR="00AF58D5">
        <w:tab/>
      </w:r>
      <w:r w:rsidR="00A31419" w:rsidRPr="0021550A">
        <w:t xml:space="preserve">What is the source of the change in spelling variants in the </w:t>
      </w:r>
      <w:r w:rsidR="00A31419" w:rsidRPr="0021550A">
        <w:rPr>
          <w:i/>
        </w:rPr>
        <w:t>Book of Good Manners</w:t>
      </w:r>
      <w:r w:rsidR="00A31419" w:rsidRPr="0021550A">
        <w:t>?</w:t>
      </w:r>
    </w:p>
    <w:p w14:paraId="608ED454" w14:textId="36D2AC5A" w:rsidR="00A31419" w:rsidRPr="0021550A" w:rsidRDefault="00453776" w:rsidP="00AF58D5">
      <w:pPr>
        <w:ind w:left="1260" w:hanging="540"/>
      </w:pPr>
      <w:r>
        <w:t>F</w:t>
      </w:r>
      <w:r w:rsidR="00AF58D5">
        <w:t>:</w:t>
      </w:r>
      <w:r w:rsidR="00AF58D5">
        <w:tab/>
      </w:r>
      <w:r w:rsidR="00A31419" w:rsidRPr="0021550A">
        <w:t xml:space="preserve">Are the differences between Cluster 3a and 3b and Cluster 5 in the </w:t>
      </w:r>
      <w:r w:rsidR="00A31419" w:rsidRPr="0021550A">
        <w:rPr>
          <w:i/>
        </w:rPr>
        <w:t>Golden Legend</w:t>
      </w:r>
      <w:r w:rsidR="00A31419" w:rsidRPr="0021550A">
        <w:t xml:space="preserve"> caused by a change in compositor? </w:t>
      </w:r>
    </w:p>
    <w:p w14:paraId="455255EA" w14:textId="4B2AD382" w:rsidR="00C90766" w:rsidRPr="00C90766" w:rsidRDefault="00453776" w:rsidP="00C90766">
      <w:pPr>
        <w:ind w:left="1260" w:hanging="540"/>
        <w:rPr>
          <w:i/>
        </w:rPr>
      </w:pPr>
      <w:r>
        <w:t>H</w:t>
      </w:r>
      <w:r w:rsidR="00C90766" w:rsidRPr="00C90766">
        <w:t>:</w:t>
      </w:r>
      <w:r w:rsidR="00C90766" w:rsidRPr="00C90766">
        <w:tab/>
        <w:t xml:space="preserve">To what extent did Caxton copy sections of his edition of the </w:t>
      </w:r>
      <w:r w:rsidR="00C90766" w:rsidRPr="00C90766">
        <w:rPr>
          <w:i/>
        </w:rPr>
        <w:t>Golden Legend</w:t>
      </w:r>
      <w:r w:rsidR="00C90766" w:rsidRPr="00C90766">
        <w:t xml:space="preserve"> from the English </w:t>
      </w:r>
      <w:r w:rsidR="00C90766" w:rsidRPr="00C90766">
        <w:rPr>
          <w:i/>
        </w:rPr>
        <w:t>Gilte Legende?</w:t>
      </w:r>
    </w:p>
    <w:p w14:paraId="02B6BEAA" w14:textId="450101C3" w:rsidR="00C90766" w:rsidRPr="00C90766" w:rsidRDefault="00453776" w:rsidP="00C90766">
      <w:pPr>
        <w:ind w:left="1260" w:hanging="540"/>
      </w:pPr>
      <w:r>
        <w:t>I</w:t>
      </w:r>
      <w:r w:rsidR="00C90766" w:rsidRPr="00C90766">
        <w:t>:</w:t>
      </w:r>
      <w:r w:rsidR="00C90766" w:rsidRPr="00C90766">
        <w:tab/>
        <w:t xml:space="preserve">Are the differences between Cluster 1 and Cluster 2 in the </w:t>
      </w:r>
      <w:r w:rsidR="00C90766" w:rsidRPr="00C90766">
        <w:rPr>
          <w:i/>
        </w:rPr>
        <w:t>Golden Legend</w:t>
      </w:r>
      <w:r w:rsidR="00C90766" w:rsidRPr="00C90766">
        <w:t xml:space="preserve"> caused by Caxton’s editing practices?</w:t>
      </w:r>
    </w:p>
    <w:p w14:paraId="37BD2C44" w14:textId="52AD6005" w:rsidR="00C90766" w:rsidRPr="00C90766" w:rsidRDefault="00453776" w:rsidP="00C90766">
      <w:pPr>
        <w:ind w:left="1260" w:hanging="540"/>
      </w:pPr>
      <w:r>
        <w:t>J</w:t>
      </w:r>
      <w:r w:rsidR="00C90766" w:rsidRPr="00C90766">
        <w:t>:</w:t>
      </w:r>
      <w:r w:rsidR="00C90766" w:rsidRPr="00C90766">
        <w:tab/>
        <w:t xml:space="preserve">Was Caxton the author of the Liber Ultimus in the </w:t>
      </w:r>
      <w:r w:rsidR="00C90766" w:rsidRPr="00C90766">
        <w:rPr>
          <w:i/>
        </w:rPr>
        <w:t>Polychronicon</w:t>
      </w:r>
      <w:r w:rsidR="00C90766" w:rsidRPr="00C90766">
        <w:t xml:space="preserve">? </w:t>
      </w:r>
    </w:p>
    <w:p w14:paraId="6F58027F" w14:textId="604972E9" w:rsidR="00C90766" w:rsidRPr="00C90766" w:rsidRDefault="00453776" w:rsidP="00C90766">
      <w:pPr>
        <w:ind w:left="1260" w:hanging="540"/>
      </w:pPr>
      <w:r>
        <w:t>K</w:t>
      </w:r>
      <w:r w:rsidR="00C90766" w:rsidRPr="00C90766">
        <w:t>:</w:t>
      </w:r>
      <w:r w:rsidR="00C90766" w:rsidRPr="00C90766">
        <w:tab/>
        <w:t xml:space="preserve">Did Caxton write out the entirety of the </w:t>
      </w:r>
      <w:r w:rsidR="00C90766" w:rsidRPr="00C90766">
        <w:rPr>
          <w:i/>
        </w:rPr>
        <w:t>Polychronicon</w:t>
      </w:r>
      <w:r w:rsidR="00C90766" w:rsidRPr="00C90766">
        <w:t xml:space="preserve"> when preparing the text for printing?</w:t>
      </w:r>
    </w:p>
    <w:p w14:paraId="64FFA55D" w14:textId="0634AD3B" w:rsidR="00A31419" w:rsidRDefault="00A31419" w:rsidP="000737CB">
      <w:r w:rsidRPr="0021550A">
        <w:t xml:space="preserve">This chapter combines and applies the methods developed in </w:t>
      </w:r>
      <w:r w:rsidR="0060633C">
        <w:t>Section Two</w:t>
      </w:r>
      <w:r w:rsidRPr="0021550A">
        <w:t xml:space="preserve"> onto the wider dataset of Caxton’s texts. These methods were developed to analyse the internal structure of texts, and methodological </w:t>
      </w:r>
      <w:r w:rsidR="0060633C">
        <w:t>adjustments</w:t>
      </w:r>
      <w:r w:rsidRPr="0021550A">
        <w:t xml:space="preserve"> are required for these methods to be used to effectively cluster whole texts together. </w:t>
      </w:r>
      <w:r w:rsidR="0060633C">
        <w:t xml:space="preserve">Section </w:t>
      </w:r>
      <w:r w:rsidR="0060633C">
        <w:fldChar w:fldCharType="begin"/>
      </w:r>
      <w:r w:rsidR="0060633C">
        <w:instrText xml:space="preserve"> REF _Ref492570566 \r </w:instrText>
      </w:r>
      <w:r w:rsidR="0060633C">
        <w:fldChar w:fldCharType="separate"/>
      </w:r>
      <w:r w:rsidR="00D11844">
        <w:t>9.1</w:t>
      </w:r>
      <w:r w:rsidR="0060633C">
        <w:fldChar w:fldCharType="end"/>
      </w:r>
      <w:r w:rsidR="0060633C">
        <w:t xml:space="preserve"> begins by clustering the whole texts in the wider dataset of Caxton’s texts, and subsequent sections consider texts individually in order to resolve issues raised in previous chapters. Section </w:t>
      </w:r>
      <w:r w:rsidR="0060633C">
        <w:fldChar w:fldCharType="begin"/>
      </w:r>
      <w:r w:rsidR="0060633C">
        <w:instrText xml:space="preserve"> REF _Ref497397371 \r </w:instrText>
      </w:r>
      <w:r w:rsidR="0060633C">
        <w:fldChar w:fldCharType="separate"/>
      </w:r>
      <w:r w:rsidR="00D11844">
        <w:t>9.2</w:t>
      </w:r>
      <w:r w:rsidR="0060633C">
        <w:fldChar w:fldCharType="end"/>
      </w:r>
      <w:r w:rsidR="0060633C">
        <w:t xml:space="preserve"> addresses the </w:t>
      </w:r>
      <w:r w:rsidR="0060633C">
        <w:rPr>
          <w:i/>
        </w:rPr>
        <w:t>Book of Good Manners</w:t>
      </w:r>
      <w:r w:rsidR="0060633C">
        <w:t xml:space="preserve">, Section </w:t>
      </w:r>
      <w:r w:rsidR="0060633C">
        <w:fldChar w:fldCharType="begin"/>
      </w:r>
      <w:r w:rsidR="0060633C">
        <w:instrText xml:space="preserve"> REF _Ref492709736 \r </w:instrText>
      </w:r>
      <w:r w:rsidR="0060633C">
        <w:fldChar w:fldCharType="separate"/>
      </w:r>
      <w:r w:rsidR="00D11844">
        <w:t>9.3</w:t>
      </w:r>
      <w:r w:rsidR="0060633C">
        <w:fldChar w:fldCharType="end"/>
      </w:r>
      <w:r w:rsidR="0060633C">
        <w:t xml:space="preserve"> focuses on the </w:t>
      </w:r>
      <w:r w:rsidR="0060633C">
        <w:rPr>
          <w:i/>
        </w:rPr>
        <w:t>Polychronicon</w:t>
      </w:r>
      <w:r w:rsidR="0060633C">
        <w:t xml:space="preserve">, Section </w:t>
      </w:r>
      <w:r w:rsidR="0060633C">
        <w:fldChar w:fldCharType="begin"/>
      </w:r>
      <w:r w:rsidR="0060633C">
        <w:instrText xml:space="preserve"> REF _Ref492564875 \r </w:instrText>
      </w:r>
      <w:r w:rsidR="0060633C">
        <w:fldChar w:fldCharType="separate"/>
      </w:r>
      <w:r w:rsidR="00D11844">
        <w:t>9.4</w:t>
      </w:r>
      <w:r w:rsidR="0060633C">
        <w:fldChar w:fldCharType="end"/>
      </w:r>
      <w:r w:rsidR="0060633C">
        <w:t xml:space="preserve"> looks at the clustering of </w:t>
      </w:r>
      <w:r w:rsidR="0060633C">
        <w:rPr>
          <w:i/>
        </w:rPr>
        <w:t>Paris and Vienne</w:t>
      </w:r>
      <w:r w:rsidR="0060633C">
        <w:t xml:space="preserve">. Finally, this chapter draws together the remaining evidence to discuss the evidence of Caxton’s own intervention </w:t>
      </w:r>
      <w:r w:rsidR="00C90766">
        <w:t>and returns to</w:t>
      </w:r>
      <w:r w:rsidR="0060633C">
        <w:t xml:space="preserve"> the texts of the </w:t>
      </w:r>
      <w:r w:rsidR="0060633C">
        <w:rPr>
          <w:i/>
        </w:rPr>
        <w:t>Polychronicon</w:t>
      </w:r>
      <w:r w:rsidR="0060633C">
        <w:t xml:space="preserve"> and the </w:t>
      </w:r>
      <w:r w:rsidR="0060633C">
        <w:rPr>
          <w:i/>
        </w:rPr>
        <w:t>Golden Legend</w:t>
      </w:r>
      <w:r w:rsidR="0060633C">
        <w:t xml:space="preserve"> in Section </w:t>
      </w:r>
      <w:r w:rsidR="0060633C">
        <w:fldChar w:fldCharType="begin"/>
      </w:r>
      <w:r w:rsidR="0060633C">
        <w:instrText xml:space="preserve"> REF _Ref497225586 \r </w:instrText>
      </w:r>
      <w:r w:rsidR="0060633C">
        <w:fldChar w:fldCharType="separate"/>
      </w:r>
      <w:r w:rsidR="00D11844">
        <w:t>9.5</w:t>
      </w:r>
      <w:r w:rsidR="0060633C">
        <w:fldChar w:fldCharType="end"/>
      </w:r>
      <w:r w:rsidR="0060633C">
        <w:t xml:space="preserve">. </w:t>
      </w:r>
    </w:p>
    <w:p w14:paraId="1BE016F6" w14:textId="77777777" w:rsidR="00BB2E53" w:rsidRPr="0021550A" w:rsidRDefault="00BB2E53" w:rsidP="000737CB"/>
    <w:p w14:paraId="3E77BE5F" w14:textId="14F48BCB" w:rsidR="00A31419" w:rsidRPr="0021550A" w:rsidRDefault="00A31419" w:rsidP="000737CB">
      <w:pPr>
        <w:pStyle w:val="Heading2"/>
      </w:pPr>
      <w:bookmarkStart w:id="236" w:name="_Ref492570566"/>
      <w:bookmarkStart w:id="237" w:name="_Toc497899879"/>
      <w:r w:rsidRPr="0021550A">
        <w:t>Cluster analysis of the Caxton dataset</w:t>
      </w:r>
      <w:bookmarkEnd w:id="236"/>
      <w:bookmarkEnd w:id="237"/>
    </w:p>
    <w:p w14:paraId="12CF1755" w14:textId="2785E2B3" w:rsidR="00A31419" w:rsidRPr="0021550A" w:rsidRDefault="00A31419" w:rsidP="000737CB">
      <w:r w:rsidRPr="0021550A">
        <w:t xml:space="preserve">This section applies hierarchical clustering onto the Caxton dataset, to explore the links between the texts printed by Caxton. In doing so, this study </w:t>
      </w:r>
      <w:r w:rsidR="000A278E">
        <w:t>investigates whether</w:t>
      </w:r>
      <w:r w:rsidRPr="0021550A">
        <w:t xml:space="preserve"> there</w:t>
      </w:r>
      <w:r w:rsidR="000A278E">
        <w:t xml:space="preserve"> is</w:t>
      </w:r>
      <w:r w:rsidRPr="0021550A">
        <w:t xml:space="preserve"> any trace of Caxton’s own spellings in the books that he printed? Through clustering, this study demonstrates the relative similarity of Caxton’s texts to one another, based on the spelling variants used in each, and explores the extent to which Caxton’s own spelling variants remain in the texts that he printed. </w:t>
      </w:r>
    </w:p>
    <w:p w14:paraId="46B83A96" w14:textId="0D04A5A7" w:rsidR="00DF2A75" w:rsidRPr="00EC5C3E" w:rsidRDefault="00DF2A75" w:rsidP="00FA0E26">
      <w:pPr>
        <w:rPr>
          <w:iCs/>
        </w:rPr>
      </w:pPr>
      <w:r w:rsidRPr="0021550A">
        <w:lastRenderedPageBreak/>
        <w:t xml:space="preserve">The dataset </w:t>
      </w:r>
      <w:r w:rsidR="00FA0E26">
        <w:t xml:space="preserve">used in this chapter is made up of </w:t>
      </w:r>
      <w:r w:rsidRPr="0021550A">
        <w:t>texts that span the majority of Caxton’s printing</w:t>
      </w:r>
      <w:r>
        <w:t xml:space="preserve"> career</w:t>
      </w:r>
      <w:r w:rsidRPr="0021550A">
        <w:t xml:space="preserve">, beginning with the </w:t>
      </w:r>
      <w:r w:rsidRPr="0021550A">
        <w:rPr>
          <w:i/>
        </w:rPr>
        <w:t>Game of Chess</w:t>
      </w:r>
      <w:r w:rsidRPr="0021550A">
        <w:t xml:space="preserve"> in 1474 and ending with the </w:t>
      </w:r>
      <w:r w:rsidRPr="0021550A">
        <w:rPr>
          <w:i/>
        </w:rPr>
        <w:t>Golden Legend</w:t>
      </w:r>
      <w:r w:rsidRPr="0021550A">
        <w:t xml:space="preserve"> in 1487. The texts that were selected for analysis each fulfil one of two functions, the text has either produced unresolved questions in the previous chapters, which </w:t>
      </w:r>
      <w:r>
        <w:t xml:space="preserve">now </w:t>
      </w:r>
      <w:r w:rsidRPr="0021550A">
        <w:t xml:space="preserve">form one of the research questions for the present study, or the text forms part of the wider context for clustering and taking similarity measurements of the texts that are directly involved in exploring the research questions. This chapter makes use of all the texts that have been used in </w:t>
      </w:r>
      <w:r>
        <w:t>Chapter 7 and Chapter 8 along with</w:t>
      </w:r>
      <w:r w:rsidRPr="0021550A">
        <w:t xml:space="preserve"> several additional texts. Most of these texts are used as whole texts, but the</w:t>
      </w:r>
      <w:r>
        <w:t xml:space="preserve"> texts that are being investigated through the research questions from Chapter 7—the </w:t>
      </w:r>
      <w:r w:rsidRPr="0021550A">
        <w:rPr>
          <w:i/>
        </w:rPr>
        <w:t>Chronicles of England</w:t>
      </w:r>
      <w:r w:rsidRPr="0021550A">
        <w:rPr>
          <w:iCs/>
        </w:rPr>
        <w:t xml:space="preserve">, </w:t>
      </w:r>
      <w:r w:rsidRPr="0021550A">
        <w:rPr>
          <w:i/>
        </w:rPr>
        <w:t>Polychronicon</w:t>
      </w:r>
      <w:r w:rsidRPr="0021550A">
        <w:rPr>
          <w:iCs/>
        </w:rPr>
        <w:t xml:space="preserve">, </w:t>
      </w:r>
      <w:r w:rsidRPr="0021550A">
        <w:rPr>
          <w:i/>
        </w:rPr>
        <w:t>Book of Good Manners</w:t>
      </w:r>
      <w:r w:rsidRPr="0021550A">
        <w:rPr>
          <w:iCs/>
        </w:rPr>
        <w:t xml:space="preserve">, and the </w:t>
      </w:r>
      <w:r w:rsidRPr="0021550A">
        <w:rPr>
          <w:i/>
        </w:rPr>
        <w:t>Golden Legend</w:t>
      </w:r>
      <w:r>
        <w:rPr>
          <w:iCs/>
        </w:rPr>
        <w:t xml:space="preserve">—are </w:t>
      </w:r>
      <w:r w:rsidRPr="0021550A">
        <w:rPr>
          <w:iCs/>
        </w:rPr>
        <w:t xml:space="preserve">divided further into smaller constituent parts for closer analysis. The texts and subsets that are included in the analysis for this chapter and make up the Caxton dataset are provided in </w:t>
      </w:r>
      <w:r w:rsidRPr="0021550A">
        <w:rPr>
          <w:iCs/>
        </w:rPr>
        <w:fldChar w:fldCharType="begin"/>
      </w:r>
      <w:r w:rsidRPr="0021550A">
        <w:rPr>
          <w:iCs/>
        </w:rPr>
        <w:instrText xml:space="preserve"> REF _Ref490063093 </w:instrText>
      </w:r>
      <w:r w:rsidRPr="0021550A">
        <w:rPr>
          <w:iCs/>
        </w:rPr>
        <w:fldChar w:fldCharType="separate"/>
      </w:r>
      <w:r w:rsidR="00D11844" w:rsidRPr="0021550A">
        <w:t xml:space="preserve">Table </w:t>
      </w:r>
      <w:r w:rsidR="00D11844">
        <w:rPr>
          <w:noProof/>
        </w:rPr>
        <w:t>9</w:t>
      </w:r>
      <w:r w:rsidR="00D11844">
        <w:t>.</w:t>
      </w:r>
      <w:r w:rsidR="00D11844">
        <w:rPr>
          <w:noProof/>
        </w:rPr>
        <w:t>1</w:t>
      </w:r>
      <w:r w:rsidRPr="0021550A">
        <w:rPr>
          <w:iCs/>
        </w:rPr>
        <w:fldChar w:fldCharType="end"/>
      </w:r>
      <w:r w:rsidRPr="0021550A">
        <w:rPr>
          <w:iCs/>
        </w:rPr>
        <w:t>.</w:t>
      </w:r>
      <w:r>
        <w:rPr>
          <w:iCs/>
        </w:rPr>
        <w:t xml:space="preserve"> </w:t>
      </w:r>
      <w:r w:rsidRPr="0021550A">
        <w:t>Each of the texts that has been divided into smaller subsections links back to one of the research questions that guide</w:t>
      </w:r>
      <w:r>
        <w:t>s</w:t>
      </w:r>
      <w:r w:rsidRPr="0021550A">
        <w:t xml:space="preserve"> the explorations undertaken in this study. For these texts, the books are reduced into their composite sections that were created during the</w:t>
      </w:r>
      <w:r>
        <w:t xml:space="preserve"> clustering process in Chapter 7</w:t>
      </w:r>
      <w:r w:rsidRPr="0021550A">
        <w:t xml:space="preserve">. </w:t>
      </w:r>
    </w:p>
    <w:p w14:paraId="0E276A44" w14:textId="6CEE8419" w:rsidR="00DF2A75" w:rsidRDefault="00DF2A75">
      <w:pPr>
        <w:spacing w:line="240" w:lineRule="auto"/>
        <w:ind w:firstLine="0"/>
        <w:jc w:val="left"/>
      </w:pPr>
    </w:p>
    <w:tbl>
      <w:tblPr>
        <w:tblStyle w:val="GridTable1Light1"/>
        <w:tblW w:w="7915" w:type="dxa"/>
        <w:tblLook w:val="04A0" w:firstRow="1" w:lastRow="0" w:firstColumn="1" w:lastColumn="0" w:noHBand="0" w:noVBand="1"/>
      </w:tblPr>
      <w:tblGrid>
        <w:gridCol w:w="4538"/>
        <w:gridCol w:w="3377"/>
      </w:tblGrid>
      <w:tr w:rsidR="003D0B11" w:rsidRPr="0021550A" w14:paraId="63316492" w14:textId="77777777" w:rsidTr="003D0B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8" w:type="dxa"/>
          </w:tcPr>
          <w:p w14:paraId="0569A2B1" w14:textId="77777777" w:rsidR="00A31419" w:rsidRPr="0021550A" w:rsidRDefault="00A31419" w:rsidP="00955087">
            <w:pPr>
              <w:spacing w:line="276" w:lineRule="auto"/>
              <w:ind w:left="512" w:firstLine="28"/>
              <w:jc w:val="left"/>
            </w:pPr>
            <w:r w:rsidRPr="0021550A">
              <w:t>Text in the Caxton dataset</w:t>
            </w:r>
          </w:p>
        </w:tc>
        <w:tc>
          <w:tcPr>
            <w:tcW w:w="3377" w:type="dxa"/>
          </w:tcPr>
          <w:p w14:paraId="409304F1" w14:textId="77777777" w:rsidR="00A31419" w:rsidRPr="0021550A" w:rsidRDefault="00A31419" w:rsidP="00955087">
            <w:pPr>
              <w:spacing w:line="276" w:lineRule="auto"/>
              <w:ind w:left="512" w:firstLine="28"/>
              <w:jc w:val="left"/>
              <w:cnfStyle w:val="100000000000" w:firstRow="1" w:lastRow="0" w:firstColumn="0" w:lastColumn="0" w:oddVBand="0" w:evenVBand="0" w:oddHBand="0" w:evenHBand="0" w:firstRowFirstColumn="0" w:firstRowLastColumn="0" w:lastRowFirstColumn="0" w:lastRowLastColumn="0"/>
            </w:pPr>
            <w:r w:rsidRPr="0021550A">
              <w:t>Subsections of text</w:t>
            </w:r>
          </w:p>
        </w:tc>
      </w:tr>
      <w:tr w:rsidR="003D0B11" w:rsidRPr="0021550A" w14:paraId="6955F240" w14:textId="77777777" w:rsidTr="003D0B11">
        <w:tc>
          <w:tcPr>
            <w:cnfStyle w:val="001000000000" w:firstRow="0" w:lastRow="0" w:firstColumn="1" w:lastColumn="0" w:oddVBand="0" w:evenVBand="0" w:oddHBand="0" w:evenHBand="0" w:firstRowFirstColumn="0" w:firstRowLastColumn="0" w:lastRowFirstColumn="0" w:lastRowLastColumn="0"/>
            <w:tcW w:w="4538" w:type="dxa"/>
          </w:tcPr>
          <w:p w14:paraId="78EC18C4" w14:textId="7F3D82C6" w:rsidR="00A31419" w:rsidRPr="00F70660" w:rsidRDefault="00A31419" w:rsidP="00955087">
            <w:pPr>
              <w:spacing w:line="276" w:lineRule="auto"/>
              <w:ind w:left="512" w:firstLine="28"/>
              <w:jc w:val="left"/>
              <w:rPr>
                <w:b w:val="0"/>
              </w:rPr>
            </w:pPr>
            <w:r w:rsidRPr="00F70660">
              <w:rPr>
                <w:b w:val="0"/>
              </w:rPr>
              <w:t xml:space="preserve">Game of Chess </w:t>
            </w:r>
          </w:p>
        </w:tc>
        <w:tc>
          <w:tcPr>
            <w:tcW w:w="3377" w:type="dxa"/>
          </w:tcPr>
          <w:p w14:paraId="147F0E58" w14:textId="77777777" w:rsidR="00A31419" w:rsidRPr="0021550A" w:rsidRDefault="00A31419" w:rsidP="00955087">
            <w:pPr>
              <w:spacing w:line="276" w:lineRule="auto"/>
              <w:ind w:left="512" w:firstLine="28"/>
              <w:jc w:val="left"/>
              <w:cnfStyle w:val="000000000000" w:firstRow="0" w:lastRow="0" w:firstColumn="0" w:lastColumn="0" w:oddVBand="0" w:evenVBand="0" w:oddHBand="0" w:evenHBand="0" w:firstRowFirstColumn="0" w:firstRowLastColumn="0" w:lastRowFirstColumn="0" w:lastRowLastColumn="0"/>
            </w:pPr>
          </w:p>
        </w:tc>
      </w:tr>
      <w:tr w:rsidR="003D0B11" w:rsidRPr="0021550A" w14:paraId="4414175C" w14:textId="77777777" w:rsidTr="003D0B11">
        <w:tc>
          <w:tcPr>
            <w:cnfStyle w:val="001000000000" w:firstRow="0" w:lastRow="0" w:firstColumn="1" w:lastColumn="0" w:oddVBand="0" w:evenVBand="0" w:oddHBand="0" w:evenHBand="0" w:firstRowFirstColumn="0" w:firstRowLastColumn="0" w:lastRowFirstColumn="0" w:lastRowLastColumn="0"/>
            <w:tcW w:w="4538" w:type="dxa"/>
          </w:tcPr>
          <w:p w14:paraId="213B6881" w14:textId="40EF233B" w:rsidR="00A31419" w:rsidRPr="00F70660" w:rsidRDefault="00A31419" w:rsidP="00955087">
            <w:pPr>
              <w:spacing w:line="276" w:lineRule="auto"/>
              <w:ind w:left="512" w:firstLine="28"/>
              <w:jc w:val="left"/>
              <w:rPr>
                <w:b w:val="0"/>
              </w:rPr>
            </w:pPr>
            <w:r w:rsidRPr="00F70660">
              <w:rPr>
                <w:b w:val="0"/>
              </w:rPr>
              <w:t xml:space="preserve">Canterbury Tales </w:t>
            </w:r>
          </w:p>
        </w:tc>
        <w:tc>
          <w:tcPr>
            <w:tcW w:w="3377" w:type="dxa"/>
          </w:tcPr>
          <w:p w14:paraId="7F24DBE0" w14:textId="77777777" w:rsidR="00A31419" w:rsidRPr="0021550A" w:rsidRDefault="00A31419" w:rsidP="00955087">
            <w:pPr>
              <w:spacing w:line="276" w:lineRule="auto"/>
              <w:ind w:left="512" w:firstLine="28"/>
              <w:jc w:val="left"/>
              <w:cnfStyle w:val="000000000000" w:firstRow="0" w:lastRow="0" w:firstColumn="0" w:lastColumn="0" w:oddVBand="0" w:evenVBand="0" w:oddHBand="0" w:evenHBand="0" w:firstRowFirstColumn="0" w:firstRowLastColumn="0" w:lastRowFirstColumn="0" w:lastRowLastColumn="0"/>
            </w:pPr>
          </w:p>
        </w:tc>
      </w:tr>
      <w:tr w:rsidR="003D0B11" w:rsidRPr="0021550A" w14:paraId="1856F58E" w14:textId="77777777" w:rsidTr="003D0B11">
        <w:tc>
          <w:tcPr>
            <w:cnfStyle w:val="001000000000" w:firstRow="0" w:lastRow="0" w:firstColumn="1" w:lastColumn="0" w:oddVBand="0" w:evenVBand="0" w:oddHBand="0" w:evenHBand="0" w:firstRowFirstColumn="0" w:firstRowLastColumn="0" w:lastRowFirstColumn="0" w:lastRowLastColumn="0"/>
            <w:tcW w:w="4538" w:type="dxa"/>
          </w:tcPr>
          <w:p w14:paraId="51D10F58" w14:textId="6933DE81" w:rsidR="00A31419" w:rsidRPr="00F70660" w:rsidRDefault="00A31419" w:rsidP="00955087">
            <w:pPr>
              <w:spacing w:line="276" w:lineRule="auto"/>
              <w:ind w:left="512" w:firstLine="28"/>
              <w:jc w:val="left"/>
              <w:rPr>
                <w:b w:val="0"/>
              </w:rPr>
            </w:pPr>
            <w:r w:rsidRPr="00F70660">
              <w:rPr>
                <w:b w:val="0"/>
              </w:rPr>
              <w:t xml:space="preserve">Dicts and Sayings of the Philosophers </w:t>
            </w:r>
          </w:p>
        </w:tc>
        <w:tc>
          <w:tcPr>
            <w:tcW w:w="3377" w:type="dxa"/>
          </w:tcPr>
          <w:p w14:paraId="5C468486" w14:textId="77777777" w:rsidR="00A31419" w:rsidRPr="0021550A" w:rsidRDefault="00A31419" w:rsidP="00955087">
            <w:pPr>
              <w:spacing w:line="276" w:lineRule="auto"/>
              <w:ind w:left="512" w:firstLine="28"/>
              <w:jc w:val="left"/>
              <w:cnfStyle w:val="000000000000" w:firstRow="0" w:lastRow="0" w:firstColumn="0" w:lastColumn="0" w:oddVBand="0" w:evenVBand="0" w:oddHBand="0" w:evenHBand="0" w:firstRowFirstColumn="0" w:firstRowLastColumn="0" w:lastRowFirstColumn="0" w:lastRowLastColumn="0"/>
            </w:pPr>
          </w:p>
        </w:tc>
      </w:tr>
      <w:tr w:rsidR="003D0B11" w:rsidRPr="0021550A" w14:paraId="662E23B3" w14:textId="77777777" w:rsidTr="003D0B11">
        <w:tc>
          <w:tcPr>
            <w:cnfStyle w:val="001000000000" w:firstRow="0" w:lastRow="0" w:firstColumn="1" w:lastColumn="0" w:oddVBand="0" w:evenVBand="0" w:oddHBand="0" w:evenHBand="0" w:firstRowFirstColumn="0" w:firstRowLastColumn="0" w:lastRowFirstColumn="0" w:lastRowLastColumn="0"/>
            <w:tcW w:w="4538" w:type="dxa"/>
          </w:tcPr>
          <w:p w14:paraId="5B16F923" w14:textId="34A0F484" w:rsidR="00A31419" w:rsidRPr="00F70660" w:rsidRDefault="00A31419" w:rsidP="00955087">
            <w:pPr>
              <w:spacing w:line="276" w:lineRule="auto"/>
              <w:ind w:left="512" w:firstLine="28"/>
              <w:jc w:val="left"/>
              <w:rPr>
                <w:b w:val="0"/>
              </w:rPr>
            </w:pPr>
            <w:r w:rsidRPr="00F70660">
              <w:rPr>
                <w:b w:val="0"/>
              </w:rPr>
              <w:t xml:space="preserve">Boethius </w:t>
            </w:r>
          </w:p>
        </w:tc>
        <w:tc>
          <w:tcPr>
            <w:tcW w:w="3377" w:type="dxa"/>
          </w:tcPr>
          <w:p w14:paraId="1B60A888" w14:textId="77777777" w:rsidR="00A31419" w:rsidRPr="0021550A" w:rsidRDefault="00A31419" w:rsidP="00955087">
            <w:pPr>
              <w:spacing w:line="276" w:lineRule="auto"/>
              <w:ind w:left="512" w:firstLine="28"/>
              <w:jc w:val="left"/>
              <w:cnfStyle w:val="000000000000" w:firstRow="0" w:lastRow="0" w:firstColumn="0" w:lastColumn="0" w:oddVBand="0" w:evenVBand="0" w:oddHBand="0" w:evenHBand="0" w:firstRowFirstColumn="0" w:firstRowLastColumn="0" w:lastRowFirstColumn="0" w:lastRowLastColumn="0"/>
            </w:pPr>
          </w:p>
        </w:tc>
      </w:tr>
      <w:tr w:rsidR="003D0B11" w:rsidRPr="0021550A" w14:paraId="32055FC9" w14:textId="77777777" w:rsidTr="003D0B11">
        <w:tc>
          <w:tcPr>
            <w:cnfStyle w:val="001000000000" w:firstRow="0" w:lastRow="0" w:firstColumn="1" w:lastColumn="0" w:oddVBand="0" w:evenVBand="0" w:oddHBand="0" w:evenHBand="0" w:firstRowFirstColumn="0" w:firstRowLastColumn="0" w:lastRowFirstColumn="0" w:lastRowLastColumn="0"/>
            <w:tcW w:w="4538" w:type="dxa"/>
          </w:tcPr>
          <w:p w14:paraId="131C7002" w14:textId="0401A6C9" w:rsidR="00A31419" w:rsidRPr="00F70660" w:rsidRDefault="00A31419" w:rsidP="00955087">
            <w:pPr>
              <w:spacing w:line="276" w:lineRule="auto"/>
              <w:ind w:left="512" w:firstLine="28"/>
              <w:jc w:val="left"/>
              <w:rPr>
                <w:b w:val="0"/>
              </w:rPr>
            </w:pPr>
            <w:r w:rsidRPr="00F70660">
              <w:rPr>
                <w:b w:val="0"/>
              </w:rPr>
              <w:t xml:space="preserve">Chronicles of England </w:t>
            </w:r>
          </w:p>
        </w:tc>
        <w:tc>
          <w:tcPr>
            <w:tcW w:w="3377" w:type="dxa"/>
          </w:tcPr>
          <w:p w14:paraId="4501B85F" w14:textId="77777777" w:rsidR="00A31419" w:rsidRPr="0021550A" w:rsidRDefault="00A31419" w:rsidP="00955087">
            <w:pPr>
              <w:spacing w:line="276" w:lineRule="auto"/>
              <w:ind w:left="512" w:firstLine="28"/>
              <w:jc w:val="left"/>
              <w:cnfStyle w:val="000000000000" w:firstRow="0" w:lastRow="0" w:firstColumn="0" w:lastColumn="0" w:oddVBand="0" w:evenVBand="0" w:oddHBand="0" w:evenHBand="0" w:firstRowFirstColumn="0" w:firstRowLastColumn="0" w:lastRowFirstColumn="0" w:lastRowLastColumn="0"/>
            </w:pPr>
            <w:r w:rsidRPr="0021550A">
              <w:t>Text up to 1419</w:t>
            </w:r>
          </w:p>
          <w:p w14:paraId="6E0ADE77" w14:textId="77777777" w:rsidR="00A31419" w:rsidRPr="0021550A" w:rsidRDefault="00A31419" w:rsidP="00955087">
            <w:pPr>
              <w:spacing w:line="276" w:lineRule="auto"/>
              <w:ind w:left="512" w:firstLine="28"/>
              <w:jc w:val="left"/>
              <w:cnfStyle w:val="000000000000" w:firstRow="0" w:lastRow="0" w:firstColumn="0" w:lastColumn="0" w:oddVBand="0" w:evenVBand="0" w:oddHBand="0" w:evenHBand="0" w:firstRowFirstColumn="0" w:firstRowLastColumn="0" w:lastRowFirstColumn="0" w:lastRowLastColumn="0"/>
            </w:pPr>
            <w:r w:rsidRPr="0021550A">
              <w:t>1419 to 1461 continuation</w:t>
            </w:r>
          </w:p>
        </w:tc>
      </w:tr>
      <w:tr w:rsidR="003D0B11" w:rsidRPr="0021550A" w14:paraId="24C195BB" w14:textId="77777777" w:rsidTr="003D0B11">
        <w:tc>
          <w:tcPr>
            <w:cnfStyle w:val="001000000000" w:firstRow="0" w:lastRow="0" w:firstColumn="1" w:lastColumn="0" w:oddVBand="0" w:evenVBand="0" w:oddHBand="0" w:evenHBand="0" w:firstRowFirstColumn="0" w:firstRowLastColumn="0" w:lastRowFirstColumn="0" w:lastRowLastColumn="0"/>
            <w:tcW w:w="4538" w:type="dxa"/>
          </w:tcPr>
          <w:p w14:paraId="133872DF" w14:textId="55FF254B" w:rsidR="00A31419" w:rsidRPr="00F70660" w:rsidRDefault="00A31419" w:rsidP="00955087">
            <w:pPr>
              <w:spacing w:line="276" w:lineRule="auto"/>
              <w:ind w:left="512" w:firstLine="28"/>
              <w:jc w:val="left"/>
              <w:rPr>
                <w:b w:val="0"/>
              </w:rPr>
            </w:pPr>
            <w:r w:rsidRPr="00F70660">
              <w:rPr>
                <w:b w:val="0"/>
              </w:rPr>
              <w:t xml:space="preserve">Description of Britain </w:t>
            </w:r>
          </w:p>
        </w:tc>
        <w:tc>
          <w:tcPr>
            <w:tcW w:w="3377" w:type="dxa"/>
          </w:tcPr>
          <w:p w14:paraId="779B881C" w14:textId="77777777" w:rsidR="00A31419" w:rsidRPr="0021550A" w:rsidRDefault="00A31419" w:rsidP="00955087">
            <w:pPr>
              <w:spacing w:line="276" w:lineRule="auto"/>
              <w:ind w:left="512" w:firstLine="28"/>
              <w:jc w:val="left"/>
              <w:cnfStyle w:val="000000000000" w:firstRow="0" w:lastRow="0" w:firstColumn="0" w:lastColumn="0" w:oddVBand="0" w:evenVBand="0" w:oddHBand="0" w:evenHBand="0" w:firstRowFirstColumn="0" w:firstRowLastColumn="0" w:lastRowFirstColumn="0" w:lastRowLastColumn="0"/>
            </w:pPr>
          </w:p>
        </w:tc>
      </w:tr>
      <w:tr w:rsidR="003D0B11" w:rsidRPr="0021550A" w14:paraId="2D7B3CCC" w14:textId="77777777" w:rsidTr="003D0B11">
        <w:tc>
          <w:tcPr>
            <w:cnfStyle w:val="001000000000" w:firstRow="0" w:lastRow="0" w:firstColumn="1" w:lastColumn="0" w:oddVBand="0" w:evenVBand="0" w:oddHBand="0" w:evenHBand="0" w:firstRowFirstColumn="0" w:firstRowLastColumn="0" w:lastRowFirstColumn="0" w:lastRowLastColumn="0"/>
            <w:tcW w:w="4538" w:type="dxa"/>
          </w:tcPr>
          <w:p w14:paraId="3199EEA4" w14:textId="6A47209B" w:rsidR="00A31419" w:rsidRPr="00F70660" w:rsidRDefault="00A31419" w:rsidP="00955087">
            <w:pPr>
              <w:spacing w:line="276" w:lineRule="auto"/>
              <w:ind w:left="512" w:firstLine="28"/>
              <w:jc w:val="left"/>
              <w:rPr>
                <w:b w:val="0"/>
              </w:rPr>
            </w:pPr>
            <w:r w:rsidRPr="00F70660">
              <w:rPr>
                <w:b w:val="0"/>
              </w:rPr>
              <w:t xml:space="preserve">Reynard the Fox </w:t>
            </w:r>
          </w:p>
        </w:tc>
        <w:tc>
          <w:tcPr>
            <w:tcW w:w="3377" w:type="dxa"/>
          </w:tcPr>
          <w:p w14:paraId="7964DCE5" w14:textId="77777777" w:rsidR="00A31419" w:rsidRPr="0021550A" w:rsidRDefault="00A31419" w:rsidP="00955087">
            <w:pPr>
              <w:spacing w:line="276" w:lineRule="auto"/>
              <w:ind w:left="512" w:firstLine="28"/>
              <w:jc w:val="left"/>
              <w:cnfStyle w:val="000000000000" w:firstRow="0" w:lastRow="0" w:firstColumn="0" w:lastColumn="0" w:oddVBand="0" w:evenVBand="0" w:oddHBand="0" w:evenHBand="0" w:firstRowFirstColumn="0" w:firstRowLastColumn="0" w:lastRowFirstColumn="0" w:lastRowLastColumn="0"/>
            </w:pPr>
          </w:p>
        </w:tc>
      </w:tr>
      <w:tr w:rsidR="003D0B11" w:rsidRPr="0021550A" w14:paraId="7D106625" w14:textId="77777777" w:rsidTr="003D0B11">
        <w:tc>
          <w:tcPr>
            <w:cnfStyle w:val="001000000000" w:firstRow="0" w:lastRow="0" w:firstColumn="1" w:lastColumn="0" w:oddVBand="0" w:evenVBand="0" w:oddHBand="0" w:evenHBand="0" w:firstRowFirstColumn="0" w:firstRowLastColumn="0" w:lastRowFirstColumn="0" w:lastRowLastColumn="0"/>
            <w:tcW w:w="4538" w:type="dxa"/>
          </w:tcPr>
          <w:p w14:paraId="6BD81E78" w14:textId="0E3D95F2" w:rsidR="00A31419" w:rsidRPr="00F70660" w:rsidRDefault="00A31419" w:rsidP="00955087">
            <w:pPr>
              <w:spacing w:line="276" w:lineRule="auto"/>
              <w:ind w:left="512" w:firstLine="28"/>
              <w:jc w:val="left"/>
              <w:rPr>
                <w:b w:val="0"/>
              </w:rPr>
            </w:pPr>
            <w:r w:rsidRPr="00F70660">
              <w:rPr>
                <w:b w:val="0"/>
              </w:rPr>
              <w:t xml:space="preserve">Polychronicon </w:t>
            </w:r>
          </w:p>
        </w:tc>
        <w:tc>
          <w:tcPr>
            <w:tcW w:w="3377" w:type="dxa"/>
          </w:tcPr>
          <w:p w14:paraId="5D15E2EB" w14:textId="77777777" w:rsidR="00A31419" w:rsidRPr="0021550A" w:rsidRDefault="00A31419" w:rsidP="00955087">
            <w:pPr>
              <w:spacing w:line="276" w:lineRule="auto"/>
              <w:ind w:left="512" w:firstLine="28"/>
              <w:jc w:val="left"/>
              <w:cnfStyle w:val="000000000000" w:firstRow="0" w:lastRow="0" w:firstColumn="0" w:lastColumn="0" w:oddVBand="0" w:evenVBand="0" w:oddHBand="0" w:evenHBand="0" w:firstRowFirstColumn="0" w:firstRowLastColumn="0" w:lastRowFirstColumn="0" w:lastRowLastColumn="0"/>
            </w:pPr>
            <w:r w:rsidRPr="0021550A">
              <w:t>Books I to VII</w:t>
            </w:r>
          </w:p>
          <w:p w14:paraId="2BAF3EFE" w14:textId="77777777" w:rsidR="00A31419" w:rsidRPr="0021550A" w:rsidRDefault="00A31419" w:rsidP="00955087">
            <w:pPr>
              <w:spacing w:line="276" w:lineRule="auto"/>
              <w:ind w:left="512" w:firstLine="28"/>
              <w:jc w:val="left"/>
              <w:cnfStyle w:val="000000000000" w:firstRow="0" w:lastRow="0" w:firstColumn="0" w:lastColumn="0" w:oddVBand="0" w:evenVBand="0" w:oddHBand="0" w:evenHBand="0" w:firstRowFirstColumn="0" w:firstRowLastColumn="0" w:lastRowFirstColumn="0" w:lastRowLastColumn="0"/>
            </w:pPr>
            <w:r w:rsidRPr="0021550A">
              <w:t>Liber Ultimus</w:t>
            </w:r>
          </w:p>
        </w:tc>
      </w:tr>
      <w:tr w:rsidR="003D0B11" w:rsidRPr="0021550A" w14:paraId="2C5A4925" w14:textId="77777777" w:rsidTr="003D0B11">
        <w:tc>
          <w:tcPr>
            <w:cnfStyle w:val="001000000000" w:firstRow="0" w:lastRow="0" w:firstColumn="1" w:lastColumn="0" w:oddVBand="0" w:evenVBand="0" w:oddHBand="0" w:evenHBand="0" w:firstRowFirstColumn="0" w:firstRowLastColumn="0" w:lastRowFirstColumn="0" w:lastRowLastColumn="0"/>
            <w:tcW w:w="4538" w:type="dxa"/>
          </w:tcPr>
          <w:p w14:paraId="792B8B67" w14:textId="0E5BC083" w:rsidR="00A31419" w:rsidRPr="00F70660" w:rsidRDefault="00A31419" w:rsidP="00955087">
            <w:pPr>
              <w:spacing w:line="276" w:lineRule="auto"/>
              <w:ind w:left="512" w:firstLine="28"/>
              <w:jc w:val="left"/>
              <w:rPr>
                <w:b w:val="0"/>
              </w:rPr>
            </w:pPr>
            <w:r w:rsidRPr="00F70660">
              <w:rPr>
                <w:b w:val="0"/>
              </w:rPr>
              <w:t xml:space="preserve">Confessio Amantis </w:t>
            </w:r>
          </w:p>
        </w:tc>
        <w:tc>
          <w:tcPr>
            <w:tcW w:w="3377" w:type="dxa"/>
          </w:tcPr>
          <w:p w14:paraId="168FF943" w14:textId="77777777" w:rsidR="00A31419" w:rsidRPr="0021550A" w:rsidRDefault="00A31419" w:rsidP="00955087">
            <w:pPr>
              <w:spacing w:line="276" w:lineRule="auto"/>
              <w:ind w:left="512" w:firstLine="28"/>
              <w:jc w:val="left"/>
              <w:cnfStyle w:val="000000000000" w:firstRow="0" w:lastRow="0" w:firstColumn="0" w:lastColumn="0" w:oddVBand="0" w:evenVBand="0" w:oddHBand="0" w:evenHBand="0" w:firstRowFirstColumn="0" w:firstRowLastColumn="0" w:lastRowFirstColumn="0" w:lastRowLastColumn="0"/>
            </w:pPr>
          </w:p>
        </w:tc>
      </w:tr>
      <w:tr w:rsidR="003D0B11" w:rsidRPr="0021550A" w14:paraId="30BBDE1C" w14:textId="77777777" w:rsidTr="003D0B11">
        <w:tc>
          <w:tcPr>
            <w:cnfStyle w:val="001000000000" w:firstRow="0" w:lastRow="0" w:firstColumn="1" w:lastColumn="0" w:oddVBand="0" w:evenVBand="0" w:oddHBand="0" w:evenHBand="0" w:firstRowFirstColumn="0" w:firstRowLastColumn="0" w:lastRowFirstColumn="0" w:lastRowLastColumn="0"/>
            <w:tcW w:w="4538" w:type="dxa"/>
          </w:tcPr>
          <w:p w14:paraId="1EB4E710" w14:textId="525DE44F" w:rsidR="00A31419" w:rsidRPr="00F70660" w:rsidRDefault="00A31419" w:rsidP="00955087">
            <w:pPr>
              <w:spacing w:line="276" w:lineRule="auto"/>
              <w:ind w:left="512" w:firstLine="28"/>
              <w:jc w:val="left"/>
              <w:rPr>
                <w:b w:val="0"/>
              </w:rPr>
            </w:pPr>
            <w:r w:rsidRPr="00F70660">
              <w:rPr>
                <w:b w:val="0"/>
              </w:rPr>
              <w:t xml:space="preserve">Troilus and Criseyde </w:t>
            </w:r>
          </w:p>
        </w:tc>
        <w:tc>
          <w:tcPr>
            <w:tcW w:w="3377" w:type="dxa"/>
          </w:tcPr>
          <w:p w14:paraId="1D110364" w14:textId="77777777" w:rsidR="00A31419" w:rsidRPr="0021550A" w:rsidRDefault="00A31419" w:rsidP="00955087">
            <w:pPr>
              <w:spacing w:line="276" w:lineRule="auto"/>
              <w:ind w:left="512" w:firstLine="28"/>
              <w:jc w:val="left"/>
              <w:cnfStyle w:val="000000000000" w:firstRow="0" w:lastRow="0" w:firstColumn="0" w:lastColumn="0" w:oddVBand="0" w:evenVBand="0" w:oddHBand="0" w:evenHBand="0" w:firstRowFirstColumn="0" w:firstRowLastColumn="0" w:lastRowFirstColumn="0" w:lastRowLastColumn="0"/>
            </w:pPr>
          </w:p>
        </w:tc>
      </w:tr>
      <w:tr w:rsidR="003D0B11" w:rsidRPr="0021550A" w14:paraId="02A87CB0" w14:textId="77777777" w:rsidTr="003D0B11">
        <w:tc>
          <w:tcPr>
            <w:cnfStyle w:val="001000000000" w:firstRow="0" w:lastRow="0" w:firstColumn="1" w:lastColumn="0" w:oddVBand="0" w:evenVBand="0" w:oddHBand="0" w:evenHBand="0" w:firstRowFirstColumn="0" w:firstRowLastColumn="0" w:lastRowFirstColumn="0" w:lastRowLastColumn="0"/>
            <w:tcW w:w="4538" w:type="dxa"/>
          </w:tcPr>
          <w:p w14:paraId="3244964A" w14:textId="039AE22C" w:rsidR="00A31419" w:rsidRPr="00F70660" w:rsidRDefault="00A31419" w:rsidP="00955087">
            <w:pPr>
              <w:spacing w:line="276" w:lineRule="auto"/>
              <w:ind w:left="512" w:firstLine="28"/>
              <w:jc w:val="left"/>
              <w:rPr>
                <w:b w:val="0"/>
              </w:rPr>
            </w:pPr>
            <w:r w:rsidRPr="00F70660">
              <w:rPr>
                <w:b w:val="0"/>
              </w:rPr>
              <w:t xml:space="preserve">Life of our Lady </w:t>
            </w:r>
          </w:p>
        </w:tc>
        <w:tc>
          <w:tcPr>
            <w:tcW w:w="3377" w:type="dxa"/>
          </w:tcPr>
          <w:p w14:paraId="0C465E9E" w14:textId="77777777" w:rsidR="00A31419" w:rsidRPr="0021550A" w:rsidRDefault="00A31419" w:rsidP="00955087">
            <w:pPr>
              <w:spacing w:line="276" w:lineRule="auto"/>
              <w:ind w:left="512" w:firstLine="28"/>
              <w:jc w:val="left"/>
              <w:cnfStyle w:val="000000000000" w:firstRow="0" w:lastRow="0" w:firstColumn="0" w:lastColumn="0" w:oddVBand="0" w:evenVBand="0" w:oddHBand="0" w:evenHBand="0" w:firstRowFirstColumn="0" w:firstRowLastColumn="0" w:lastRowFirstColumn="0" w:lastRowLastColumn="0"/>
            </w:pPr>
          </w:p>
        </w:tc>
      </w:tr>
      <w:tr w:rsidR="003D0B11" w:rsidRPr="0021550A" w14:paraId="76EC5966" w14:textId="77777777" w:rsidTr="003D0B11">
        <w:tc>
          <w:tcPr>
            <w:cnfStyle w:val="001000000000" w:firstRow="0" w:lastRow="0" w:firstColumn="1" w:lastColumn="0" w:oddVBand="0" w:evenVBand="0" w:oddHBand="0" w:evenHBand="0" w:firstRowFirstColumn="0" w:firstRowLastColumn="0" w:lastRowFirstColumn="0" w:lastRowLastColumn="0"/>
            <w:tcW w:w="4538" w:type="dxa"/>
          </w:tcPr>
          <w:p w14:paraId="14C422A3" w14:textId="5FAB7040" w:rsidR="00A31419" w:rsidRPr="00F70660" w:rsidRDefault="00A31419" w:rsidP="00955087">
            <w:pPr>
              <w:tabs>
                <w:tab w:val="left" w:pos="3364"/>
              </w:tabs>
              <w:spacing w:line="276" w:lineRule="auto"/>
              <w:ind w:left="512" w:firstLine="28"/>
              <w:jc w:val="left"/>
              <w:rPr>
                <w:b w:val="0"/>
              </w:rPr>
            </w:pPr>
            <w:r w:rsidRPr="00F70660">
              <w:rPr>
                <w:b w:val="0"/>
              </w:rPr>
              <w:t xml:space="preserve">Paris and Vienne </w:t>
            </w:r>
          </w:p>
        </w:tc>
        <w:tc>
          <w:tcPr>
            <w:tcW w:w="3377" w:type="dxa"/>
          </w:tcPr>
          <w:p w14:paraId="4371919F" w14:textId="77777777" w:rsidR="00A31419" w:rsidRPr="0021550A" w:rsidRDefault="00A31419" w:rsidP="00955087">
            <w:pPr>
              <w:spacing w:line="276" w:lineRule="auto"/>
              <w:ind w:left="512" w:firstLine="28"/>
              <w:jc w:val="left"/>
              <w:cnfStyle w:val="000000000000" w:firstRow="0" w:lastRow="0" w:firstColumn="0" w:lastColumn="0" w:oddVBand="0" w:evenVBand="0" w:oddHBand="0" w:evenHBand="0" w:firstRowFirstColumn="0" w:firstRowLastColumn="0" w:lastRowFirstColumn="0" w:lastRowLastColumn="0"/>
            </w:pPr>
          </w:p>
        </w:tc>
      </w:tr>
      <w:tr w:rsidR="003D0B11" w:rsidRPr="0021550A" w14:paraId="527D9A73" w14:textId="77777777" w:rsidTr="003D0B11">
        <w:tc>
          <w:tcPr>
            <w:cnfStyle w:val="001000000000" w:firstRow="0" w:lastRow="0" w:firstColumn="1" w:lastColumn="0" w:oddVBand="0" w:evenVBand="0" w:oddHBand="0" w:evenHBand="0" w:firstRowFirstColumn="0" w:firstRowLastColumn="0" w:lastRowFirstColumn="0" w:lastRowLastColumn="0"/>
            <w:tcW w:w="4538" w:type="dxa"/>
          </w:tcPr>
          <w:p w14:paraId="642E99AF" w14:textId="2195654F" w:rsidR="00A31419" w:rsidRPr="00F70660" w:rsidRDefault="00A31419" w:rsidP="00955087">
            <w:pPr>
              <w:spacing w:line="276" w:lineRule="auto"/>
              <w:ind w:left="512" w:firstLine="28"/>
              <w:jc w:val="left"/>
              <w:rPr>
                <w:b w:val="0"/>
              </w:rPr>
            </w:pPr>
            <w:r w:rsidRPr="00F70660">
              <w:rPr>
                <w:b w:val="0"/>
              </w:rPr>
              <w:t xml:space="preserve">Book of Good Manners </w:t>
            </w:r>
          </w:p>
        </w:tc>
        <w:tc>
          <w:tcPr>
            <w:tcW w:w="3377" w:type="dxa"/>
          </w:tcPr>
          <w:p w14:paraId="6ACAC3AF" w14:textId="77777777" w:rsidR="00A31419" w:rsidRPr="0021550A" w:rsidRDefault="00A31419" w:rsidP="00955087">
            <w:pPr>
              <w:spacing w:line="276" w:lineRule="auto"/>
              <w:ind w:left="512" w:firstLine="28"/>
              <w:jc w:val="left"/>
              <w:cnfStyle w:val="000000000000" w:firstRow="0" w:lastRow="0" w:firstColumn="0" w:lastColumn="0" w:oddVBand="0" w:evenVBand="0" w:oddHBand="0" w:evenHBand="0" w:firstRowFirstColumn="0" w:firstRowLastColumn="0" w:lastRowFirstColumn="0" w:lastRowLastColumn="0"/>
            </w:pPr>
            <w:r w:rsidRPr="0021550A">
              <w:t>Cluster 1</w:t>
            </w:r>
          </w:p>
          <w:p w14:paraId="7FC20D1A" w14:textId="77777777" w:rsidR="00A31419" w:rsidRPr="0021550A" w:rsidRDefault="00A31419" w:rsidP="00955087">
            <w:pPr>
              <w:spacing w:line="276" w:lineRule="auto"/>
              <w:ind w:left="512" w:firstLine="28"/>
              <w:jc w:val="left"/>
              <w:cnfStyle w:val="000000000000" w:firstRow="0" w:lastRow="0" w:firstColumn="0" w:lastColumn="0" w:oddVBand="0" w:evenVBand="0" w:oddHBand="0" w:evenHBand="0" w:firstRowFirstColumn="0" w:firstRowLastColumn="0" w:lastRowFirstColumn="0" w:lastRowLastColumn="0"/>
            </w:pPr>
            <w:r w:rsidRPr="0021550A">
              <w:t>Cluster 2</w:t>
            </w:r>
          </w:p>
        </w:tc>
      </w:tr>
      <w:tr w:rsidR="003D0B11" w:rsidRPr="0021550A" w14:paraId="055B0312" w14:textId="77777777" w:rsidTr="003D0B11">
        <w:tc>
          <w:tcPr>
            <w:cnfStyle w:val="001000000000" w:firstRow="0" w:lastRow="0" w:firstColumn="1" w:lastColumn="0" w:oddVBand="0" w:evenVBand="0" w:oddHBand="0" w:evenHBand="0" w:firstRowFirstColumn="0" w:firstRowLastColumn="0" w:lastRowFirstColumn="0" w:lastRowLastColumn="0"/>
            <w:tcW w:w="4538" w:type="dxa"/>
          </w:tcPr>
          <w:p w14:paraId="379B1F4B" w14:textId="245B79D9" w:rsidR="00A31419" w:rsidRPr="00F70660" w:rsidRDefault="00A31419" w:rsidP="00955087">
            <w:pPr>
              <w:spacing w:line="276" w:lineRule="auto"/>
              <w:ind w:left="512" w:firstLine="28"/>
              <w:jc w:val="left"/>
              <w:rPr>
                <w:b w:val="0"/>
              </w:rPr>
            </w:pPr>
            <w:r w:rsidRPr="00F70660">
              <w:rPr>
                <w:b w:val="0"/>
              </w:rPr>
              <w:t xml:space="preserve">Golden Legend </w:t>
            </w:r>
          </w:p>
        </w:tc>
        <w:tc>
          <w:tcPr>
            <w:tcW w:w="3377" w:type="dxa"/>
          </w:tcPr>
          <w:p w14:paraId="550C6134" w14:textId="77777777" w:rsidR="00A31419" w:rsidRPr="0021550A" w:rsidRDefault="00A31419" w:rsidP="00955087">
            <w:pPr>
              <w:spacing w:line="276" w:lineRule="auto"/>
              <w:ind w:left="512" w:firstLine="28"/>
              <w:jc w:val="left"/>
              <w:cnfStyle w:val="000000000000" w:firstRow="0" w:lastRow="0" w:firstColumn="0" w:lastColumn="0" w:oddVBand="0" w:evenVBand="0" w:oddHBand="0" w:evenHBand="0" w:firstRowFirstColumn="0" w:firstRowLastColumn="0" w:lastRowFirstColumn="0" w:lastRowLastColumn="0"/>
            </w:pPr>
            <w:r w:rsidRPr="0021550A">
              <w:t>Cluster 1</w:t>
            </w:r>
          </w:p>
          <w:p w14:paraId="56F9E361" w14:textId="77777777" w:rsidR="00A31419" w:rsidRPr="0021550A" w:rsidRDefault="00A31419" w:rsidP="00955087">
            <w:pPr>
              <w:spacing w:line="276" w:lineRule="auto"/>
              <w:ind w:left="512" w:firstLine="28"/>
              <w:jc w:val="left"/>
              <w:cnfStyle w:val="000000000000" w:firstRow="0" w:lastRow="0" w:firstColumn="0" w:lastColumn="0" w:oddVBand="0" w:evenVBand="0" w:oddHBand="0" w:evenHBand="0" w:firstRowFirstColumn="0" w:firstRowLastColumn="0" w:lastRowFirstColumn="0" w:lastRowLastColumn="0"/>
            </w:pPr>
            <w:r w:rsidRPr="0021550A">
              <w:t>Cluster 2</w:t>
            </w:r>
          </w:p>
          <w:p w14:paraId="4B94D1C3" w14:textId="77777777" w:rsidR="00A31419" w:rsidRPr="0021550A" w:rsidRDefault="00A31419" w:rsidP="00955087">
            <w:pPr>
              <w:spacing w:line="276" w:lineRule="auto"/>
              <w:ind w:left="512" w:firstLine="28"/>
              <w:jc w:val="left"/>
              <w:cnfStyle w:val="000000000000" w:firstRow="0" w:lastRow="0" w:firstColumn="0" w:lastColumn="0" w:oddVBand="0" w:evenVBand="0" w:oddHBand="0" w:evenHBand="0" w:firstRowFirstColumn="0" w:firstRowLastColumn="0" w:lastRowFirstColumn="0" w:lastRowLastColumn="0"/>
            </w:pPr>
            <w:r w:rsidRPr="0021550A">
              <w:t>Cluster 3a</w:t>
            </w:r>
          </w:p>
          <w:p w14:paraId="273FF14B" w14:textId="77777777" w:rsidR="00A31419" w:rsidRPr="0021550A" w:rsidRDefault="00A31419" w:rsidP="00955087">
            <w:pPr>
              <w:spacing w:line="276" w:lineRule="auto"/>
              <w:ind w:left="512" w:firstLine="28"/>
              <w:jc w:val="left"/>
              <w:cnfStyle w:val="000000000000" w:firstRow="0" w:lastRow="0" w:firstColumn="0" w:lastColumn="0" w:oddVBand="0" w:evenVBand="0" w:oddHBand="0" w:evenHBand="0" w:firstRowFirstColumn="0" w:firstRowLastColumn="0" w:lastRowFirstColumn="0" w:lastRowLastColumn="0"/>
            </w:pPr>
            <w:r w:rsidRPr="0021550A">
              <w:t>Cluster 3b</w:t>
            </w:r>
          </w:p>
          <w:p w14:paraId="5B18A0B6" w14:textId="77777777" w:rsidR="00A31419" w:rsidRPr="0021550A" w:rsidRDefault="00A31419" w:rsidP="00955087">
            <w:pPr>
              <w:spacing w:line="276" w:lineRule="auto"/>
              <w:ind w:left="512" w:firstLine="28"/>
              <w:jc w:val="left"/>
              <w:cnfStyle w:val="000000000000" w:firstRow="0" w:lastRow="0" w:firstColumn="0" w:lastColumn="0" w:oddVBand="0" w:evenVBand="0" w:oddHBand="0" w:evenHBand="0" w:firstRowFirstColumn="0" w:firstRowLastColumn="0" w:lastRowFirstColumn="0" w:lastRowLastColumn="0"/>
            </w:pPr>
            <w:r w:rsidRPr="0021550A">
              <w:t>Cluster 4</w:t>
            </w:r>
          </w:p>
          <w:p w14:paraId="5ADA577B" w14:textId="77777777" w:rsidR="00A31419" w:rsidRPr="0021550A" w:rsidRDefault="00A31419" w:rsidP="00955087">
            <w:pPr>
              <w:spacing w:line="276" w:lineRule="auto"/>
              <w:ind w:left="512" w:firstLine="28"/>
              <w:jc w:val="left"/>
              <w:cnfStyle w:val="000000000000" w:firstRow="0" w:lastRow="0" w:firstColumn="0" w:lastColumn="0" w:oddVBand="0" w:evenVBand="0" w:oddHBand="0" w:evenHBand="0" w:firstRowFirstColumn="0" w:firstRowLastColumn="0" w:lastRowFirstColumn="0" w:lastRowLastColumn="0"/>
            </w:pPr>
            <w:r w:rsidRPr="0021550A">
              <w:t>Cluster 5</w:t>
            </w:r>
          </w:p>
        </w:tc>
      </w:tr>
    </w:tbl>
    <w:p w14:paraId="0F9186E9" w14:textId="493EB9B8" w:rsidR="00A31419" w:rsidRPr="0021550A" w:rsidRDefault="00453776" w:rsidP="000737CB">
      <w:pPr>
        <w:pStyle w:val="Caption"/>
      </w:pPr>
      <w:bookmarkStart w:id="238" w:name="_Ref490063067"/>
      <w:bookmarkStart w:id="239" w:name="_Toc499753496"/>
      <w:r>
        <w:t>Table 9.1:</w:t>
      </w:r>
      <w:r w:rsidR="00A31419" w:rsidRPr="0021550A">
        <w:t xml:space="preserve"> Texts and subsections of texts included in the dataset</w:t>
      </w:r>
      <w:bookmarkEnd w:id="238"/>
      <w:bookmarkEnd w:id="239"/>
    </w:p>
    <w:p w14:paraId="5A7397E7" w14:textId="77777777" w:rsidR="00EC5C3E" w:rsidRDefault="00EC5C3E" w:rsidP="00EC5C3E"/>
    <w:p w14:paraId="154EB77C" w14:textId="77777777" w:rsidR="00FA0E26" w:rsidRDefault="00FA0E26" w:rsidP="00FA0E26">
      <w:r>
        <w:lastRenderedPageBreak/>
        <w:t xml:space="preserve">This study is particularly interested in the texts that Caxton translated or edited, because Caxton’s orthographic idiolect should remain in the copy text used to create the printed edition. </w:t>
      </w:r>
      <w:r w:rsidRPr="0021550A">
        <w:t xml:space="preserve">Very few copy texts still exist or have been identified, so it is not possible to compare </w:t>
      </w:r>
      <w:r>
        <w:t xml:space="preserve">the </w:t>
      </w:r>
      <w:r w:rsidRPr="0021550A">
        <w:t xml:space="preserve">copy text with </w:t>
      </w:r>
      <w:r>
        <w:t xml:space="preserve">the corresponding </w:t>
      </w:r>
      <w:r w:rsidRPr="0021550A">
        <w:t>printed ed</w:t>
      </w:r>
      <w:r>
        <w:t>ition directly for most cases. However, w</w:t>
      </w:r>
      <w:r w:rsidRPr="0021550A">
        <w:t xml:space="preserve">hile the copy texts </w:t>
      </w:r>
      <w:r>
        <w:t>for most of Caxton’s texts are unidentified</w:t>
      </w:r>
      <w:r w:rsidRPr="0021550A">
        <w:t>, in some cases we have information about their creation. Caxton states in his prologues and epilogues that some of the texts he printed were those that he pers</w:t>
      </w:r>
      <w:r>
        <w:t xml:space="preserve">onally translated into English—thus creating a copy text—including </w:t>
      </w:r>
      <w:r w:rsidRPr="0021550A">
        <w:rPr>
          <w:i/>
          <w:iCs/>
        </w:rPr>
        <w:t>Reynard the Fox</w:t>
      </w:r>
      <w:r w:rsidRPr="0021550A">
        <w:t xml:space="preserve">, </w:t>
      </w:r>
      <w:r w:rsidRPr="0021550A">
        <w:rPr>
          <w:i/>
          <w:iCs/>
        </w:rPr>
        <w:t>Paris and Vienne</w:t>
      </w:r>
      <w:r w:rsidRPr="0021550A">
        <w:t xml:space="preserve">, </w:t>
      </w:r>
      <w:r w:rsidRPr="0021550A">
        <w:rPr>
          <w:i/>
          <w:iCs/>
        </w:rPr>
        <w:t>Game of Chess</w:t>
      </w:r>
      <w:r w:rsidRPr="0021550A">
        <w:t xml:space="preserve">, </w:t>
      </w:r>
      <w:r>
        <w:t xml:space="preserve">and </w:t>
      </w:r>
      <w:r w:rsidRPr="0021550A">
        <w:rPr>
          <w:i/>
          <w:iCs/>
        </w:rPr>
        <w:t>Book of Good Manners</w:t>
      </w:r>
      <w:r w:rsidRPr="0021550A">
        <w:t xml:space="preserve">. Caxton also implies that he translated part of the </w:t>
      </w:r>
      <w:r w:rsidRPr="0021550A">
        <w:rPr>
          <w:i/>
        </w:rPr>
        <w:t>Golden Legend</w:t>
      </w:r>
      <w:r w:rsidRPr="0021550A">
        <w:t xml:space="preserve">, because his edition of the text makes use of Latin, French, and English versions of the text, though Caxton does not specify which sections were copied from the English </w:t>
      </w:r>
      <w:r w:rsidRPr="0021550A">
        <w:rPr>
          <w:i/>
        </w:rPr>
        <w:t>Gilte Legende</w:t>
      </w:r>
      <w:r w:rsidRPr="0021550A">
        <w:t xml:space="preserve"> and which sections Caxton translated from French or Latin.</w:t>
      </w:r>
    </w:p>
    <w:p w14:paraId="250BF657" w14:textId="6F582C25" w:rsidR="00DF2A75" w:rsidRDefault="00FA0E26" w:rsidP="00FA0E26">
      <w:r>
        <w:t xml:space="preserve"> </w:t>
      </w:r>
      <w:r w:rsidR="00DF2A75">
        <w:t xml:space="preserve">For texts that Caxton translated, </w:t>
      </w:r>
      <w:r w:rsidR="00DF2A75" w:rsidRPr="0021550A">
        <w:t xml:space="preserve">the copy text that the compositors used when setting the type for these texts is either the translation that Caxton made or another handwritten copy that was made from Caxton’s original translation. In </w:t>
      </w:r>
      <w:r w:rsidR="00DF2A75">
        <w:t>either</w:t>
      </w:r>
      <w:r w:rsidR="00DF2A75" w:rsidRPr="0021550A">
        <w:t xml:space="preserve"> case, we would expect that these texts would contain a high proportion of Caxton</w:t>
      </w:r>
      <w:r w:rsidR="00DF2A75">
        <w:t>’s spellings from the copy text. As</w:t>
      </w:r>
      <w:r w:rsidR="00DF2A75" w:rsidRPr="0021550A">
        <w:t xml:space="preserve"> a </w:t>
      </w:r>
      <w:r w:rsidRPr="0021550A">
        <w:t>result,</w:t>
      </w:r>
      <w:r w:rsidR="00DF2A75" w:rsidRPr="0021550A">
        <w:t xml:space="preserve"> </w:t>
      </w:r>
      <w:r w:rsidR="00DF2A75">
        <w:t>we would expect these</w:t>
      </w:r>
      <w:r w:rsidR="00DF2A75" w:rsidRPr="0021550A">
        <w:t xml:space="preserve"> texts </w:t>
      </w:r>
      <w:r w:rsidR="00DF2A75">
        <w:t>to</w:t>
      </w:r>
      <w:r w:rsidR="00DF2A75" w:rsidRPr="0021550A">
        <w:t xml:space="preserve"> cluster together</w:t>
      </w:r>
      <w:r w:rsidR="00DF2A75">
        <w:t xml:space="preserve"> during cluster analysis and produce a high score under similarity testing</w:t>
      </w:r>
      <w:r>
        <w:t xml:space="preserve">, though differences in compositors may reduce these scores. </w:t>
      </w:r>
    </w:p>
    <w:p w14:paraId="0ECA983C" w14:textId="77777777" w:rsidR="003D0B11" w:rsidRPr="0021550A" w:rsidRDefault="003D0B11" w:rsidP="000737CB"/>
    <w:tbl>
      <w:tblPr>
        <w:tblStyle w:val="GridTable1Light"/>
        <w:tblW w:w="0" w:type="auto"/>
        <w:tblLook w:val="04A0" w:firstRow="1" w:lastRow="0" w:firstColumn="1" w:lastColumn="0" w:noHBand="0" w:noVBand="1"/>
      </w:tblPr>
      <w:tblGrid>
        <w:gridCol w:w="4225"/>
        <w:gridCol w:w="2723"/>
      </w:tblGrid>
      <w:tr w:rsidR="00A31419" w:rsidRPr="0021550A" w14:paraId="6088D4A8" w14:textId="77777777" w:rsidTr="00A31419">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225" w:type="dxa"/>
          </w:tcPr>
          <w:p w14:paraId="704E215B" w14:textId="77777777" w:rsidR="00A31419" w:rsidRPr="0021550A" w:rsidRDefault="00A31419" w:rsidP="00BB2E53">
            <w:pPr>
              <w:ind w:hanging="21"/>
            </w:pPr>
            <w:r w:rsidRPr="0021550A">
              <w:t>Text in the Caxton dataset</w:t>
            </w:r>
          </w:p>
        </w:tc>
        <w:tc>
          <w:tcPr>
            <w:tcW w:w="2723" w:type="dxa"/>
          </w:tcPr>
          <w:p w14:paraId="00629207" w14:textId="77777777" w:rsidR="00A31419" w:rsidRPr="0021550A" w:rsidRDefault="00A31419" w:rsidP="00BB2E53">
            <w:pPr>
              <w:ind w:hanging="21"/>
              <w:cnfStyle w:val="100000000000" w:firstRow="1" w:lastRow="0" w:firstColumn="0" w:lastColumn="0" w:oddVBand="0" w:evenVBand="0" w:oddHBand="0" w:evenHBand="0" w:firstRowFirstColumn="0" w:firstRowLastColumn="0" w:lastRowFirstColumn="0" w:lastRowLastColumn="0"/>
            </w:pPr>
            <w:r w:rsidRPr="0021550A">
              <w:t>Caxton claims translation</w:t>
            </w:r>
          </w:p>
        </w:tc>
      </w:tr>
      <w:tr w:rsidR="00A31419" w:rsidRPr="0021550A" w14:paraId="2B4879BD" w14:textId="77777777" w:rsidTr="00A31419">
        <w:trPr>
          <w:trHeight w:val="288"/>
        </w:trPr>
        <w:tc>
          <w:tcPr>
            <w:cnfStyle w:val="001000000000" w:firstRow="0" w:lastRow="0" w:firstColumn="1" w:lastColumn="0" w:oddVBand="0" w:evenVBand="0" w:oddHBand="0" w:evenHBand="0" w:firstRowFirstColumn="0" w:firstRowLastColumn="0" w:lastRowFirstColumn="0" w:lastRowLastColumn="0"/>
            <w:tcW w:w="4225" w:type="dxa"/>
          </w:tcPr>
          <w:p w14:paraId="7C53211F" w14:textId="6316263D" w:rsidR="00A31419" w:rsidRPr="00BB2E53" w:rsidRDefault="00A31419" w:rsidP="00D91674">
            <w:pPr>
              <w:ind w:hanging="21"/>
              <w:rPr>
                <w:b w:val="0"/>
              </w:rPr>
            </w:pPr>
            <w:r w:rsidRPr="00BB2E53">
              <w:rPr>
                <w:b w:val="0"/>
              </w:rPr>
              <w:t xml:space="preserve">Game of Chess </w:t>
            </w:r>
          </w:p>
        </w:tc>
        <w:tc>
          <w:tcPr>
            <w:tcW w:w="2723" w:type="dxa"/>
          </w:tcPr>
          <w:p w14:paraId="1C2AA6AA" w14:textId="77777777" w:rsidR="00A31419" w:rsidRPr="0021550A" w:rsidRDefault="00A31419" w:rsidP="00BB2E53">
            <w:pPr>
              <w:ind w:hanging="21"/>
              <w:cnfStyle w:val="000000000000" w:firstRow="0" w:lastRow="0" w:firstColumn="0" w:lastColumn="0" w:oddVBand="0" w:evenVBand="0" w:oddHBand="0" w:evenHBand="0" w:firstRowFirstColumn="0" w:firstRowLastColumn="0" w:lastRowFirstColumn="0" w:lastRowLastColumn="0"/>
            </w:pPr>
            <w:r w:rsidRPr="0021550A">
              <w:t>Yes</w:t>
            </w:r>
          </w:p>
        </w:tc>
      </w:tr>
      <w:tr w:rsidR="00A31419" w:rsidRPr="0021550A" w14:paraId="6F5C3FB7" w14:textId="77777777" w:rsidTr="00A31419">
        <w:trPr>
          <w:trHeight w:val="288"/>
        </w:trPr>
        <w:tc>
          <w:tcPr>
            <w:cnfStyle w:val="001000000000" w:firstRow="0" w:lastRow="0" w:firstColumn="1" w:lastColumn="0" w:oddVBand="0" w:evenVBand="0" w:oddHBand="0" w:evenHBand="0" w:firstRowFirstColumn="0" w:firstRowLastColumn="0" w:lastRowFirstColumn="0" w:lastRowLastColumn="0"/>
            <w:tcW w:w="4225" w:type="dxa"/>
          </w:tcPr>
          <w:p w14:paraId="1673010F" w14:textId="14943C4F" w:rsidR="00A31419" w:rsidRPr="00BB2E53" w:rsidRDefault="00A31419" w:rsidP="00D91674">
            <w:pPr>
              <w:ind w:hanging="21"/>
              <w:rPr>
                <w:b w:val="0"/>
              </w:rPr>
            </w:pPr>
            <w:r w:rsidRPr="00BB2E53">
              <w:rPr>
                <w:b w:val="0"/>
              </w:rPr>
              <w:t xml:space="preserve">Canterbury Tales </w:t>
            </w:r>
          </w:p>
        </w:tc>
        <w:tc>
          <w:tcPr>
            <w:tcW w:w="2723" w:type="dxa"/>
          </w:tcPr>
          <w:p w14:paraId="54FC552B" w14:textId="77777777" w:rsidR="00A31419" w:rsidRPr="0021550A" w:rsidRDefault="00A31419" w:rsidP="00BB2E53">
            <w:pPr>
              <w:ind w:hanging="21"/>
              <w:cnfStyle w:val="000000000000" w:firstRow="0" w:lastRow="0" w:firstColumn="0" w:lastColumn="0" w:oddVBand="0" w:evenVBand="0" w:oddHBand="0" w:evenHBand="0" w:firstRowFirstColumn="0" w:firstRowLastColumn="0" w:lastRowFirstColumn="0" w:lastRowLastColumn="0"/>
            </w:pPr>
          </w:p>
        </w:tc>
      </w:tr>
      <w:tr w:rsidR="00A31419" w:rsidRPr="0021550A" w14:paraId="0297ADE4" w14:textId="77777777" w:rsidTr="00A31419">
        <w:trPr>
          <w:trHeight w:val="288"/>
        </w:trPr>
        <w:tc>
          <w:tcPr>
            <w:cnfStyle w:val="001000000000" w:firstRow="0" w:lastRow="0" w:firstColumn="1" w:lastColumn="0" w:oddVBand="0" w:evenVBand="0" w:oddHBand="0" w:evenHBand="0" w:firstRowFirstColumn="0" w:firstRowLastColumn="0" w:lastRowFirstColumn="0" w:lastRowLastColumn="0"/>
            <w:tcW w:w="4225" w:type="dxa"/>
          </w:tcPr>
          <w:p w14:paraId="41053B4D" w14:textId="5E5B5345" w:rsidR="00A31419" w:rsidRPr="00BB2E53" w:rsidRDefault="00A31419" w:rsidP="00D91674">
            <w:pPr>
              <w:ind w:hanging="21"/>
              <w:rPr>
                <w:b w:val="0"/>
              </w:rPr>
            </w:pPr>
            <w:r w:rsidRPr="00BB2E53">
              <w:rPr>
                <w:b w:val="0"/>
              </w:rPr>
              <w:t xml:space="preserve">Dicts and Sayings of the Philosophers </w:t>
            </w:r>
          </w:p>
        </w:tc>
        <w:tc>
          <w:tcPr>
            <w:tcW w:w="2723" w:type="dxa"/>
          </w:tcPr>
          <w:p w14:paraId="00C0E180" w14:textId="77777777" w:rsidR="00A31419" w:rsidRPr="0021550A" w:rsidRDefault="00A31419" w:rsidP="00BB2E53">
            <w:pPr>
              <w:ind w:hanging="21"/>
              <w:cnfStyle w:val="000000000000" w:firstRow="0" w:lastRow="0" w:firstColumn="0" w:lastColumn="0" w:oddVBand="0" w:evenVBand="0" w:oddHBand="0" w:evenHBand="0" w:firstRowFirstColumn="0" w:firstRowLastColumn="0" w:lastRowFirstColumn="0" w:lastRowLastColumn="0"/>
            </w:pPr>
          </w:p>
        </w:tc>
      </w:tr>
      <w:tr w:rsidR="00A31419" w:rsidRPr="0021550A" w14:paraId="297023FB" w14:textId="77777777" w:rsidTr="00A31419">
        <w:trPr>
          <w:trHeight w:val="288"/>
        </w:trPr>
        <w:tc>
          <w:tcPr>
            <w:cnfStyle w:val="001000000000" w:firstRow="0" w:lastRow="0" w:firstColumn="1" w:lastColumn="0" w:oddVBand="0" w:evenVBand="0" w:oddHBand="0" w:evenHBand="0" w:firstRowFirstColumn="0" w:firstRowLastColumn="0" w:lastRowFirstColumn="0" w:lastRowLastColumn="0"/>
            <w:tcW w:w="4225" w:type="dxa"/>
          </w:tcPr>
          <w:p w14:paraId="0FF6B4C3" w14:textId="0C049B31" w:rsidR="00A31419" w:rsidRPr="00BB2E53" w:rsidRDefault="00A31419" w:rsidP="00D91674">
            <w:pPr>
              <w:ind w:hanging="21"/>
              <w:rPr>
                <w:b w:val="0"/>
              </w:rPr>
            </w:pPr>
            <w:r w:rsidRPr="00BB2E53">
              <w:rPr>
                <w:b w:val="0"/>
              </w:rPr>
              <w:t xml:space="preserve">Boethius </w:t>
            </w:r>
          </w:p>
        </w:tc>
        <w:tc>
          <w:tcPr>
            <w:tcW w:w="2723" w:type="dxa"/>
          </w:tcPr>
          <w:p w14:paraId="06814CE8" w14:textId="77777777" w:rsidR="00A31419" w:rsidRPr="0021550A" w:rsidRDefault="00A31419" w:rsidP="00BB2E53">
            <w:pPr>
              <w:ind w:hanging="21"/>
              <w:cnfStyle w:val="000000000000" w:firstRow="0" w:lastRow="0" w:firstColumn="0" w:lastColumn="0" w:oddVBand="0" w:evenVBand="0" w:oddHBand="0" w:evenHBand="0" w:firstRowFirstColumn="0" w:firstRowLastColumn="0" w:lastRowFirstColumn="0" w:lastRowLastColumn="0"/>
            </w:pPr>
          </w:p>
        </w:tc>
      </w:tr>
      <w:tr w:rsidR="00A31419" w:rsidRPr="0021550A" w14:paraId="1FBD0241" w14:textId="77777777" w:rsidTr="00A31419">
        <w:trPr>
          <w:trHeight w:val="288"/>
        </w:trPr>
        <w:tc>
          <w:tcPr>
            <w:cnfStyle w:val="001000000000" w:firstRow="0" w:lastRow="0" w:firstColumn="1" w:lastColumn="0" w:oddVBand="0" w:evenVBand="0" w:oddHBand="0" w:evenHBand="0" w:firstRowFirstColumn="0" w:firstRowLastColumn="0" w:lastRowFirstColumn="0" w:lastRowLastColumn="0"/>
            <w:tcW w:w="4225" w:type="dxa"/>
          </w:tcPr>
          <w:p w14:paraId="4E211F26" w14:textId="032C825B" w:rsidR="00A31419" w:rsidRPr="00BB2E53" w:rsidRDefault="00A31419" w:rsidP="00D91674">
            <w:pPr>
              <w:ind w:hanging="21"/>
              <w:rPr>
                <w:b w:val="0"/>
              </w:rPr>
            </w:pPr>
            <w:r w:rsidRPr="00BB2E53">
              <w:rPr>
                <w:b w:val="0"/>
              </w:rPr>
              <w:t xml:space="preserve">Chronicles of England </w:t>
            </w:r>
          </w:p>
        </w:tc>
        <w:tc>
          <w:tcPr>
            <w:tcW w:w="2723" w:type="dxa"/>
          </w:tcPr>
          <w:p w14:paraId="67B4D785" w14:textId="77777777" w:rsidR="00A31419" w:rsidRPr="0021550A" w:rsidRDefault="00A31419" w:rsidP="00BB2E53">
            <w:pPr>
              <w:ind w:hanging="21"/>
              <w:cnfStyle w:val="000000000000" w:firstRow="0" w:lastRow="0" w:firstColumn="0" w:lastColumn="0" w:oddVBand="0" w:evenVBand="0" w:oddHBand="0" w:evenHBand="0" w:firstRowFirstColumn="0" w:firstRowLastColumn="0" w:lastRowFirstColumn="0" w:lastRowLastColumn="0"/>
            </w:pPr>
          </w:p>
        </w:tc>
      </w:tr>
      <w:tr w:rsidR="00A31419" w:rsidRPr="0021550A" w14:paraId="7902EF87" w14:textId="77777777" w:rsidTr="00A31419">
        <w:trPr>
          <w:trHeight w:val="288"/>
        </w:trPr>
        <w:tc>
          <w:tcPr>
            <w:cnfStyle w:val="001000000000" w:firstRow="0" w:lastRow="0" w:firstColumn="1" w:lastColumn="0" w:oddVBand="0" w:evenVBand="0" w:oddHBand="0" w:evenHBand="0" w:firstRowFirstColumn="0" w:firstRowLastColumn="0" w:lastRowFirstColumn="0" w:lastRowLastColumn="0"/>
            <w:tcW w:w="4225" w:type="dxa"/>
          </w:tcPr>
          <w:p w14:paraId="310C3189" w14:textId="37DB3B14" w:rsidR="00A31419" w:rsidRPr="00BB2E53" w:rsidRDefault="00A31419" w:rsidP="00D91674">
            <w:pPr>
              <w:ind w:hanging="21"/>
              <w:rPr>
                <w:b w:val="0"/>
              </w:rPr>
            </w:pPr>
            <w:r w:rsidRPr="00BB2E53">
              <w:rPr>
                <w:b w:val="0"/>
              </w:rPr>
              <w:t xml:space="preserve">Description of Britain </w:t>
            </w:r>
          </w:p>
        </w:tc>
        <w:tc>
          <w:tcPr>
            <w:tcW w:w="2723" w:type="dxa"/>
          </w:tcPr>
          <w:p w14:paraId="3BD517E8" w14:textId="77777777" w:rsidR="00A31419" w:rsidRPr="0021550A" w:rsidRDefault="00A31419" w:rsidP="00BB2E53">
            <w:pPr>
              <w:ind w:hanging="21"/>
              <w:cnfStyle w:val="000000000000" w:firstRow="0" w:lastRow="0" w:firstColumn="0" w:lastColumn="0" w:oddVBand="0" w:evenVBand="0" w:oddHBand="0" w:evenHBand="0" w:firstRowFirstColumn="0" w:firstRowLastColumn="0" w:lastRowFirstColumn="0" w:lastRowLastColumn="0"/>
            </w:pPr>
          </w:p>
        </w:tc>
      </w:tr>
      <w:tr w:rsidR="00A31419" w:rsidRPr="0021550A" w14:paraId="2846F6FF" w14:textId="77777777" w:rsidTr="00A31419">
        <w:trPr>
          <w:trHeight w:val="288"/>
        </w:trPr>
        <w:tc>
          <w:tcPr>
            <w:cnfStyle w:val="001000000000" w:firstRow="0" w:lastRow="0" w:firstColumn="1" w:lastColumn="0" w:oddVBand="0" w:evenVBand="0" w:oddHBand="0" w:evenHBand="0" w:firstRowFirstColumn="0" w:firstRowLastColumn="0" w:lastRowFirstColumn="0" w:lastRowLastColumn="0"/>
            <w:tcW w:w="4225" w:type="dxa"/>
          </w:tcPr>
          <w:p w14:paraId="00ABFC7E" w14:textId="7A923087" w:rsidR="00A31419" w:rsidRPr="00BB2E53" w:rsidRDefault="00A31419" w:rsidP="00D91674">
            <w:pPr>
              <w:ind w:hanging="21"/>
              <w:rPr>
                <w:b w:val="0"/>
              </w:rPr>
            </w:pPr>
            <w:r w:rsidRPr="00BB2E53">
              <w:rPr>
                <w:b w:val="0"/>
              </w:rPr>
              <w:t xml:space="preserve">Reynard the Fox </w:t>
            </w:r>
          </w:p>
        </w:tc>
        <w:tc>
          <w:tcPr>
            <w:tcW w:w="2723" w:type="dxa"/>
          </w:tcPr>
          <w:p w14:paraId="6102175B" w14:textId="77777777" w:rsidR="00A31419" w:rsidRPr="0021550A" w:rsidRDefault="00A31419" w:rsidP="00BB2E53">
            <w:pPr>
              <w:ind w:hanging="21"/>
              <w:cnfStyle w:val="000000000000" w:firstRow="0" w:lastRow="0" w:firstColumn="0" w:lastColumn="0" w:oddVBand="0" w:evenVBand="0" w:oddHBand="0" w:evenHBand="0" w:firstRowFirstColumn="0" w:firstRowLastColumn="0" w:lastRowFirstColumn="0" w:lastRowLastColumn="0"/>
            </w:pPr>
            <w:r w:rsidRPr="0021550A">
              <w:t>Yes</w:t>
            </w:r>
          </w:p>
        </w:tc>
      </w:tr>
      <w:tr w:rsidR="00A31419" w:rsidRPr="0021550A" w14:paraId="73987082" w14:textId="77777777" w:rsidTr="00A31419">
        <w:trPr>
          <w:trHeight w:val="288"/>
        </w:trPr>
        <w:tc>
          <w:tcPr>
            <w:cnfStyle w:val="001000000000" w:firstRow="0" w:lastRow="0" w:firstColumn="1" w:lastColumn="0" w:oddVBand="0" w:evenVBand="0" w:oddHBand="0" w:evenHBand="0" w:firstRowFirstColumn="0" w:firstRowLastColumn="0" w:lastRowFirstColumn="0" w:lastRowLastColumn="0"/>
            <w:tcW w:w="4225" w:type="dxa"/>
          </w:tcPr>
          <w:p w14:paraId="457E5A05" w14:textId="274BEBAD" w:rsidR="00A31419" w:rsidRPr="00BB2E53" w:rsidRDefault="00A31419" w:rsidP="00D91674">
            <w:pPr>
              <w:ind w:hanging="21"/>
              <w:rPr>
                <w:b w:val="0"/>
              </w:rPr>
            </w:pPr>
            <w:r w:rsidRPr="00BB2E53">
              <w:rPr>
                <w:b w:val="0"/>
              </w:rPr>
              <w:t xml:space="preserve">Polychronicon </w:t>
            </w:r>
          </w:p>
        </w:tc>
        <w:tc>
          <w:tcPr>
            <w:tcW w:w="2723" w:type="dxa"/>
          </w:tcPr>
          <w:p w14:paraId="1B50534D" w14:textId="77777777" w:rsidR="00A31419" w:rsidRPr="0021550A" w:rsidRDefault="00A31419" w:rsidP="00BB2E53">
            <w:pPr>
              <w:ind w:hanging="21"/>
              <w:cnfStyle w:val="000000000000" w:firstRow="0" w:lastRow="0" w:firstColumn="0" w:lastColumn="0" w:oddVBand="0" w:evenVBand="0" w:oddHBand="0" w:evenHBand="0" w:firstRowFirstColumn="0" w:firstRowLastColumn="0" w:lastRowFirstColumn="0" w:lastRowLastColumn="0"/>
            </w:pPr>
          </w:p>
        </w:tc>
      </w:tr>
      <w:tr w:rsidR="00A31419" w:rsidRPr="0021550A" w14:paraId="686B5A5C" w14:textId="77777777" w:rsidTr="00A31419">
        <w:trPr>
          <w:trHeight w:val="288"/>
        </w:trPr>
        <w:tc>
          <w:tcPr>
            <w:cnfStyle w:val="001000000000" w:firstRow="0" w:lastRow="0" w:firstColumn="1" w:lastColumn="0" w:oddVBand="0" w:evenVBand="0" w:oddHBand="0" w:evenHBand="0" w:firstRowFirstColumn="0" w:firstRowLastColumn="0" w:lastRowFirstColumn="0" w:lastRowLastColumn="0"/>
            <w:tcW w:w="4225" w:type="dxa"/>
          </w:tcPr>
          <w:p w14:paraId="3A212CA1" w14:textId="6886D7AB" w:rsidR="00A31419" w:rsidRPr="00BB2E53" w:rsidRDefault="00A31419" w:rsidP="00D91674">
            <w:pPr>
              <w:ind w:hanging="21"/>
              <w:rPr>
                <w:b w:val="0"/>
              </w:rPr>
            </w:pPr>
            <w:r w:rsidRPr="00BB2E53">
              <w:rPr>
                <w:b w:val="0"/>
              </w:rPr>
              <w:t xml:space="preserve">Confessio Amantis </w:t>
            </w:r>
          </w:p>
        </w:tc>
        <w:tc>
          <w:tcPr>
            <w:tcW w:w="2723" w:type="dxa"/>
          </w:tcPr>
          <w:p w14:paraId="25B9EAA4" w14:textId="77777777" w:rsidR="00A31419" w:rsidRPr="0021550A" w:rsidRDefault="00A31419" w:rsidP="00BB2E53">
            <w:pPr>
              <w:ind w:hanging="21"/>
              <w:cnfStyle w:val="000000000000" w:firstRow="0" w:lastRow="0" w:firstColumn="0" w:lastColumn="0" w:oddVBand="0" w:evenVBand="0" w:oddHBand="0" w:evenHBand="0" w:firstRowFirstColumn="0" w:firstRowLastColumn="0" w:lastRowFirstColumn="0" w:lastRowLastColumn="0"/>
            </w:pPr>
          </w:p>
        </w:tc>
      </w:tr>
      <w:tr w:rsidR="00A31419" w:rsidRPr="0021550A" w14:paraId="09BEF7B7" w14:textId="77777777" w:rsidTr="00A31419">
        <w:trPr>
          <w:trHeight w:val="288"/>
        </w:trPr>
        <w:tc>
          <w:tcPr>
            <w:cnfStyle w:val="001000000000" w:firstRow="0" w:lastRow="0" w:firstColumn="1" w:lastColumn="0" w:oddVBand="0" w:evenVBand="0" w:oddHBand="0" w:evenHBand="0" w:firstRowFirstColumn="0" w:firstRowLastColumn="0" w:lastRowFirstColumn="0" w:lastRowLastColumn="0"/>
            <w:tcW w:w="4225" w:type="dxa"/>
          </w:tcPr>
          <w:p w14:paraId="797671E1" w14:textId="55750DB1" w:rsidR="00A31419" w:rsidRPr="00BB2E53" w:rsidRDefault="00A31419" w:rsidP="00D91674">
            <w:pPr>
              <w:ind w:hanging="21"/>
              <w:rPr>
                <w:b w:val="0"/>
              </w:rPr>
            </w:pPr>
            <w:r w:rsidRPr="00BB2E53">
              <w:rPr>
                <w:b w:val="0"/>
              </w:rPr>
              <w:t xml:space="preserve">Troilus and Criseyde </w:t>
            </w:r>
          </w:p>
        </w:tc>
        <w:tc>
          <w:tcPr>
            <w:tcW w:w="2723" w:type="dxa"/>
          </w:tcPr>
          <w:p w14:paraId="4FFBCB9C" w14:textId="77777777" w:rsidR="00A31419" w:rsidRPr="0021550A" w:rsidRDefault="00A31419" w:rsidP="00BB2E53">
            <w:pPr>
              <w:ind w:hanging="21"/>
              <w:cnfStyle w:val="000000000000" w:firstRow="0" w:lastRow="0" w:firstColumn="0" w:lastColumn="0" w:oddVBand="0" w:evenVBand="0" w:oddHBand="0" w:evenHBand="0" w:firstRowFirstColumn="0" w:firstRowLastColumn="0" w:lastRowFirstColumn="0" w:lastRowLastColumn="0"/>
            </w:pPr>
          </w:p>
        </w:tc>
      </w:tr>
      <w:tr w:rsidR="00A31419" w:rsidRPr="0021550A" w14:paraId="35A7EE5E" w14:textId="77777777" w:rsidTr="00A31419">
        <w:trPr>
          <w:trHeight w:val="288"/>
        </w:trPr>
        <w:tc>
          <w:tcPr>
            <w:cnfStyle w:val="001000000000" w:firstRow="0" w:lastRow="0" w:firstColumn="1" w:lastColumn="0" w:oddVBand="0" w:evenVBand="0" w:oddHBand="0" w:evenHBand="0" w:firstRowFirstColumn="0" w:firstRowLastColumn="0" w:lastRowFirstColumn="0" w:lastRowLastColumn="0"/>
            <w:tcW w:w="4225" w:type="dxa"/>
          </w:tcPr>
          <w:p w14:paraId="7E31EB5D" w14:textId="09713EC1" w:rsidR="00A31419" w:rsidRPr="00BB2E53" w:rsidRDefault="00A31419" w:rsidP="00D91674">
            <w:pPr>
              <w:ind w:hanging="21"/>
              <w:rPr>
                <w:b w:val="0"/>
              </w:rPr>
            </w:pPr>
            <w:r w:rsidRPr="00BB2E53">
              <w:rPr>
                <w:b w:val="0"/>
              </w:rPr>
              <w:t xml:space="preserve">Life of our Lady </w:t>
            </w:r>
          </w:p>
        </w:tc>
        <w:tc>
          <w:tcPr>
            <w:tcW w:w="2723" w:type="dxa"/>
          </w:tcPr>
          <w:p w14:paraId="5C1F3E5A" w14:textId="77777777" w:rsidR="00A31419" w:rsidRPr="0021550A" w:rsidRDefault="00A31419" w:rsidP="00BB2E53">
            <w:pPr>
              <w:ind w:hanging="21"/>
              <w:cnfStyle w:val="000000000000" w:firstRow="0" w:lastRow="0" w:firstColumn="0" w:lastColumn="0" w:oddVBand="0" w:evenVBand="0" w:oddHBand="0" w:evenHBand="0" w:firstRowFirstColumn="0" w:firstRowLastColumn="0" w:lastRowFirstColumn="0" w:lastRowLastColumn="0"/>
            </w:pPr>
          </w:p>
        </w:tc>
      </w:tr>
      <w:tr w:rsidR="00A31419" w:rsidRPr="0021550A" w14:paraId="489D2289" w14:textId="77777777" w:rsidTr="00A31419">
        <w:trPr>
          <w:trHeight w:val="288"/>
        </w:trPr>
        <w:tc>
          <w:tcPr>
            <w:cnfStyle w:val="001000000000" w:firstRow="0" w:lastRow="0" w:firstColumn="1" w:lastColumn="0" w:oddVBand="0" w:evenVBand="0" w:oddHBand="0" w:evenHBand="0" w:firstRowFirstColumn="0" w:firstRowLastColumn="0" w:lastRowFirstColumn="0" w:lastRowLastColumn="0"/>
            <w:tcW w:w="4225" w:type="dxa"/>
          </w:tcPr>
          <w:p w14:paraId="067066AA" w14:textId="5C68B43E" w:rsidR="00A31419" w:rsidRPr="00BB2E53" w:rsidRDefault="00A31419" w:rsidP="00D91674">
            <w:pPr>
              <w:ind w:hanging="21"/>
              <w:rPr>
                <w:b w:val="0"/>
              </w:rPr>
            </w:pPr>
            <w:r w:rsidRPr="00BB2E53">
              <w:rPr>
                <w:b w:val="0"/>
              </w:rPr>
              <w:t xml:space="preserve">Paris and Vienne </w:t>
            </w:r>
          </w:p>
        </w:tc>
        <w:tc>
          <w:tcPr>
            <w:tcW w:w="2723" w:type="dxa"/>
          </w:tcPr>
          <w:p w14:paraId="211F4B6C" w14:textId="77777777" w:rsidR="00A31419" w:rsidRPr="0021550A" w:rsidRDefault="00A31419" w:rsidP="00BB2E53">
            <w:pPr>
              <w:ind w:hanging="21"/>
              <w:cnfStyle w:val="000000000000" w:firstRow="0" w:lastRow="0" w:firstColumn="0" w:lastColumn="0" w:oddVBand="0" w:evenVBand="0" w:oddHBand="0" w:evenHBand="0" w:firstRowFirstColumn="0" w:firstRowLastColumn="0" w:lastRowFirstColumn="0" w:lastRowLastColumn="0"/>
            </w:pPr>
            <w:r w:rsidRPr="0021550A">
              <w:t>Yes</w:t>
            </w:r>
          </w:p>
        </w:tc>
      </w:tr>
      <w:tr w:rsidR="00A31419" w:rsidRPr="0021550A" w14:paraId="78DE8662" w14:textId="77777777" w:rsidTr="00A31419">
        <w:trPr>
          <w:trHeight w:val="288"/>
        </w:trPr>
        <w:tc>
          <w:tcPr>
            <w:cnfStyle w:val="001000000000" w:firstRow="0" w:lastRow="0" w:firstColumn="1" w:lastColumn="0" w:oddVBand="0" w:evenVBand="0" w:oddHBand="0" w:evenHBand="0" w:firstRowFirstColumn="0" w:firstRowLastColumn="0" w:lastRowFirstColumn="0" w:lastRowLastColumn="0"/>
            <w:tcW w:w="4225" w:type="dxa"/>
          </w:tcPr>
          <w:p w14:paraId="4F42B35E" w14:textId="35B1228F" w:rsidR="00A31419" w:rsidRPr="00BB2E53" w:rsidRDefault="00A31419" w:rsidP="00D91674">
            <w:pPr>
              <w:ind w:hanging="21"/>
              <w:rPr>
                <w:b w:val="0"/>
              </w:rPr>
            </w:pPr>
            <w:r w:rsidRPr="00BB2E53">
              <w:rPr>
                <w:b w:val="0"/>
              </w:rPr>
              <w:t xml:space="preserve">Book of Good Manners </w:t>
            </w:r>
          </w:p>
        </w:tc>
        <w:tc>
          <w:tcPr>
            <w:tcW w:w="2723" w:type="dxa"/>
          </w:tcPr>
          <w:p w14:paraId="4CE7EF92" w14:textId="77777777" w:rsidR="00A31419" w:rsidRPr="0021550A" w:rsidRDefault="00A31419" w:rsidP="00BB2E53">
            <w:pPr>
              <w:ind w:hanging="21"/>
              <w:cnfStyle w:val="000000000000" w:firstRow="0" w:lastRow="0" w:firstColumn="0" w:lastColumn="0" w:oddVBand="0" w:evenVBand="0" w:oddHBand="0" w:evenHBand="0" w:firstRowFirstColumn="0" w:firstRowLastColumn="0" w:lastRowFirstColumn="0" w:lastRowLastColumn="0"/>
            </w:pPr>
            <w:r w:rsidRPr="0021550A">
              <w:t>Yes</w:t>
            </w:r>
          </w:p>
        </w:tc>
      </w:tr>
      <w:tr w:rsidR="00A31419" w:rsidRPr="0021550A" w14:paraId="44073476" w14:textId="77777777" w:rsidTr="00A31419">
        <w:trPr>
          <w:trHeight w:val="288"/>
        </w:trPr>
        <w:tc>
          <w:tcPr>
            <w:cnfStyle w:val="001000000000" w:firstRow="0" w:lastRow="0" w:firstColumn="1" w:lastColumn="0" w:oddVBand="0" w:evenVBand="0" w:oddHBand="0" w:evenHBand="0" w:firstRowFirstColumn="0" w:firstRowLastColumn="0" w:lastRowFirstColumn="0" w:lastRowLastColumn="0"/>
            <w:tcW w:w="4225" w:type="dxa"/>
          </w:tcPr>
          <w:p w14:paraId="0BD64F59" w14:textId="3B339A9F" w:rsidR="00A31419" w:rsidRPr="00BB2E53" w:rsidRDefault="00A31419" w:rsidP="00D91674">
            <w:pPr>
              <w:ind w:hanging="21"/>
              <w:rPr>
                <w:b w:val="0"/>
              </w:rPr>
            </w:pPr>
            <w:r w:rsidRPr="00BB2E53">
              <w:rPr>
                <w:b w:val="0"/>
              </w:rPr>
              <w:t xml:space="preserve">Golden Legend </w:t>
            </w:r>
          </w:p>
        </w:tc>
        <w:tc>
          <w:tcPr>
            <w:tcW w:w="2723" w:type="dxa"/>
          </w:tcPr>
          <w:p w14:paraId="37AEB29E" w14:textId="4E7D625E" w:rsidR="00A31419" w:rsidRPr="0021550A" w:rsidRDefault="00D91674" w:rsidP="00BB2E53">
            <w:pPr>
              <w:ind w:hanging="21"/>
              <w:cnfStyle w:val="000000000000" w:firstRow="0" w:lastRow="0" w:firstColumn="0" w:lastColumn="0" w:oddVBand="0" w:evenVBand="0" w:oddHBand="0" w:evenHBand="0" w:firstRowFirstColumn="0" w:firstRowLastColumn="0" w:lastRowFirstColumn="0" w:lastRowLastColumn="0"/>
            </w:pPr>
            <w:r>
              <w:t>Partially</w:t>
            </w:r>
          </w:p>
        </w:tc>
      </w:tr>
    </w:tbl>
    <w:p w14:paraId="63745D45" w14:textId="026FAF3B" w:rsidR="00A31419" w:rsidRPr="0021550A" w:rsidRDefault="00453776" w:rsidP="000737CB">
      <w:pPr>
        <w:pStyle w:val="Caption"/>
      </w:pPr>
      <w:bookmarkStart w:id="240" w:name="_Toc499753497"/>
      <w:r>
        <w:t>Table 9.2:</w:t>
      </w:r>
      <w:r w:rsidR="00A31419" w:rsidRPr="0021550A">
        <w:t xml:space="preserve"> Whole texts included in the Caxton dataset</w:t>
      </w:r>
      <w:bookmarkEnd w:id="240"/>
    </w:p>
    <w:p w14:paraId="131DB4B8" w14:textId="77777777" w:rsidR="00FA0E26" w:rsidRPr="0021550A" w:rsidRDefault="00FA0E26" w:rsidP="00FA0E26">
      <w:r w:rsidRPr="0021550A">
        <w:lastRenderedPageBreak/>
        <w:t>This section ai</w:t>
      </w:r>
      <w:r>
        <w:t>ms to find out</w:t>
      </w:r>
      <w:r w:rsidRPr="0021550A">
        <w:t xml:space="preserve"> whether it is possible to identify </w:t>
      </w:r>
      <w:r>
        <w:t>sections of text (or whole texts) that were translated or heavily edited by Caxton on the basis of orthographic variation</w:t>
      </w:r>
      <w:r w:rsidRPr="0021550A">
        <w:t xml:space="preserve">. For this section, the data that forms the input for the hierarchical clustering are the ratios of spelling variants used within whole texts printed by Caxton, listed in </w:t>
      </w:r>
      <w:r>
        <w:fldChar w:fldCharType="begin"/>
      </w:r>
      <w:r>
        <w:instrText xml:space="preserve"> REF _Ref489954185 </w:instrText>
      </w:r>
      <w:r>
        <w:fldChar w:fldCharType="separate"/>
      </w:r>
      <w:r w:rsidR="00D11844" w:rsidRPr="0021550A">
        <w:t xml:space="preserve">Table </w:t>
      </w:r>
      <w:r w:rsidR="00D11844">
        <w:rPr>
          <w:noProof/>
        </w:rPr>
        <w:t>9</w:t>
      </w:r>
      <w:r w:rsidR="00D11844">
        <w:t>.</w:t>
      </w:r>
      <w:r w:rsidR="00D11844">
        <w:rPr>
          <w:noProof/>
        </w:rPr>
        <w:t>2</w:t>
      </w:r>
      <w:r>
        <w:rPr>
          <w:noProof/>
        </w:rPr>
        <w:fldChar w:fldCharType="end"/>
      </w:r>
      <w:r w:rsidRPr="0021550A">
        <w:t xml:space="preserve">. </w:t>
      </w:r>
    </w:p>
    <w:p w14:paraId="47E15283" w14:textId="75D9053D" w:rsidR="00A31419" w:rsidRDefault="00FA0E26" w:rsidP="00FA0E26">
      <w:r w:rsidRPr="0021550A">
        <w:t xml:space="preserve"> </w:t>
      </w:r>
      <w:r>
        <w:t xml:space="preserve">Unlike the cluster analysis undertaken in Chapter 7, this chapter makes use of hierarchical cluster analysis. </w:t>
      </w:r>
      <w:r w:rsidR="00A31419" w:rsidRPr="0021550A">
        <w:t xml:space="preserve">The output from hierarchical clustering is a dendrogram, </w:t>
      </w:r>
      <w:r w:rsidR="00D91674">
        <w:t xml:space="preserve">a tree-diagram that </w:t>
      </w:r>
      <w:r w:rsidR="00A31419" w:rsidRPr="0021550A">
        <w:t>which groups texts together into progressively larger subsets of similar texts.</w:t>
      </w:r>
      <w:r>
        <w:t xml:space="preserve"> The dendrogram maps out the relationships between the objects undergoing clustering (in this case, Caxton’s texts), and shows which texts are most similar to one another</w:t>
      </w:r>
      <w:r w:rsidR="000631D9">
        <w:t xml:space="preserve"> based on the spellings used in the text. </w:t>
      </w:r>
      <w:r w:rsidR="00A31419" w:rsidRPr="0021550A">
        <w:t xml:space="preserve">The cluster analysis groups </w:t>
      </w:r>
      <w:r w:rsidR="00D91674">
        <w:t>orthographically similar texts together</w:t>
      </w:r>
      <w:r w:rsidR="00A31419" w:rsidRPr="0021550A">
        <w:t xml:space="preserve">, and the dendrogram showing the links between Caxton’s texts is presented below in </w:t>
      </w:r>
      <w:r w:rsidR="003C073C">
        <w:t>Figure 9.3</w:t>
      </w:r>
      <w:r w:rsidR="00A31419" w:rsidRPr="0021550A">
        <w:t>.</w:t>
      </w:r>
    </w:p>
    <w:p w14:paraId="2A27395F" w14:textId="77777777" w:rsidR="00A31419" w:rsidRPr="0021550A" w:rsidRDefault="00A31419" w:rsidP="000737CB"/>
    <w:p w14:paraId="3DD0AA75" w14:textId="03F87E86" w:rsidR="00A31419" w:rsidRPr="0021550A" w:rsidRDefault="00A31419" w:rsidP="00BB2E53">
      <w:pPr>
        <w:ind w:firstLine="0"/>
      </w:pPr>
      <w:r w:rsidRPr="0021550A">
        <w:rPr>
          <w:noProof/>
          <w:lang w:eastAsia="en-GB"/>
        </w:rPr>
        <w:drawing>
          <wp:inline distT="0" distB="0" distL="0" distR="0" wp14:anchorId="53B60A06" wp14:editId="581CDDB8">
            <wp:extent cx="4985385" cy="2991687"/>
            <wp:effectExtent l="0" t="0" r="0" b="571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ll texts dendrogram four clusters.pdf"/>
                    <pic:cNvPicPr/>
                  </pic:nvPicPr>
                  <pic:blipFill rotWithShape="1">
                    <a:blip r:embed="rId85">
                      <a:extLst>
                        <a:ext uri="{28A0092B-C50C-407E-A947-70E740481C1C}">
                          <a14:useLocalDpi xmlns:a14="http://schemas.microsoft.com/office/drawing/2010/main"/>
                        </a:ext>
                      </a:extLst>
                    </a:blip>
                    <a:srcRect t="1747" r="7897"/>
                    <a:stretch/>
                  </pic:blipFill>
                  <pic:spPr bwMode="auto">
                    <a:xfrm>
                      <a:off x="0" y="0"/>
                      <a:ext cx="5021552" cy="3013390"/>
                    </a:xfrm>
                    <a:prstGeom prst="rect">
                      <a:avLst/>
                    </a:prstGeom>
                    <a:ln>
                      <a:noFill/>
                    </a:ln>
                    <a:extLst>
                      <a:ext uri="{53640926-AAD7-44D8-BBD7-CCE9431645EC}">
                        <a14:shadowObscured xmlns:a14="http://schemas.microsoft.com/office/drawing/2010/main"/>
                      </a:ext>
                    </a:extLst>
                  </pic:spPr>
                </pic:pic>
              </a:graphicData>
            </a:graphic>
          </wp:inline>
        </w:drawing>
      </w:r>
    </w:p>
    <w:p w14:paraId="09282625" w14:textId="37F77053" w:rsidR="00A31419" w:rsidRPr="0021550A" w:rsidRDefault="00453776" w:rsidP="000737CB">
      <w:pPr>
        <w:pStyle w:val="Caption"/>
      </w:pPr>
      <w:bookmarkStart w:id="241" w:name="_Toc499753563"/>
      <w:r>
        <w:t>Figure 9.3:</w:t>
      </w:r>
      <w:r w:rsidR="00A31419" w:rsidRPr="0021550A">
        <w:t xml:space="preserve"> Hierarchical clustering of Caxton's texts into four clusters</w:t>
      </w:r>
      <w:bookmarkEnd w:id="241"/>
    </w:p>
    <w:p w14:paraId="644C1289" w14:textId="77777777" w:rsidR="00A31419" w:rsidRPr="0021550A" w:rsidRDefault="00A31419" w:rsidP="000737CB"/>
    <w:p w14:paraId="556FFB58" w14:textId="75B67C79" w:rsidR="00A31419" w:rsidRPr="0021550A" w:rsidRDefault="003C073C" w:rsidP="000737CB">
      <w:r>
        <w:t>Figure 9.3</w:t>
      </w:r>
      <w:r w:rsidR="00A31419" w:rsidRPr="0021550A">
        <w:t xml:space="preserve"> shows the hierarchical clustering of Caxton’s texts, grouped </w:t>
      </w:r>
      <w:r w:rsidR="000631D9">
        <w:t>by</w:t>
      </w:r>
      <w:r w:rsidR="00A31419" w:rsidRPr="0021550A">
        <w:t xml:space="preserve"> the similarity of their spellings. Hierarchical clustering provides a comprehensive set of clusters, beginning from the first cluster of two texts, those with the lowest height on the dendrogram—the cluster of the </w:t>
      </w:r>
      <w:r w:rsidR="00A31419" w:rsidRPr="0021550A">
        <w:rPr>
          <w:i/>
        </w:rPr>
        <w:t>Book of Good Manners</w:t>
      </w:r>
      <w:r w:rsidR="00A31419" w:rsidRPr="0021550A">
        <w:t xml:space="preserve"> and the </w:t>
      </w:r>
      <w:r w:rsidR="00A31419" w:rsidRPr="0021550A">
        <w:rPr>
          <w:i/>
        </w:rPr>
        <w:t>Golden Legend</w:t>
      </w:r>
      <w:r w:rsidR="00A31419" w:rsidRPr="0021550A">
        <w:t xml:space="preserve">. Because the join between the </w:t>
      </w:r>
      <w:r w:rsidR="00A31419" w:rsidRPr="0021550A">
        <w:rPr>
          <w:i/>
        </w:rPr>
        <w:t xml:space="preserve">Book of Good </w:t>
      </w:r>
      <w:r w:rsidR="00A31419" w:rsidRPr="0021550A">
        <w:t xml:space="preserve">Manners and the </w:t>
      </w:r>
      <w:r w:rsidR="00A31419" w:rsidRPr="0021550A">
        <w:rPr>
          <w:i/>
        </w:rPr>
        <w:t xml:space="preserve">Golden Legend </w:t>
      </w:r>
      <w:r w:rsidR="00A31419" w:rsidRPr="0021550A">
        <w:t xml:space="preserve">is lowest on the dendrogram, the spellings used in these two texts are the most similar to one another than any of the other texts in the dataset. </w:t>
      </w:r>
    </w:p>
    <w:p w14:paraId="53D64103" w14:textId="74D21CEC" w:rsidR="000631D9" w:rsidRDefault="000631D9" w:rsidP="000737CB">
      <w:r w:rsidRPr="0021550A">
        <w:lastRenderedPageBreak/>
        <w:t xml:space="preserve">One of the difficulties that arises from hierarchical clustering is determining how many meaningful clusters are in the data, and how many clusters is the most optimal solution. The lengths of branches that connect the clusters to one another is the main way that we can determine the candidates for the most optimal clusters. </w:t>
      </w:r>
      <w:r w:rsidR="00A31419" w:rsidRPr="0021550A">
        <w:t xml:space="preserve">In </w:t>
      </w:r>
      <w:r w:rsidR="003C073C">
        <w:t>Figure 9.3</w:t>
      </w:r>
      <w:r w:rsidR="00A31419" w:rsidRPr="0021550A">
        <w:t xml:space="preserve">, I </w:t>
      </w:r>
      <w:r w:rsidR="00D91674">
        <w:t>added an outline around</w:t>
      </w:r>
      <w:r w:rsidR="00A31419" w:rsidRPr="0021550A">
        <w:t xml:space="preserve"> four clusters. The cluster on the far right that contains the </w:t>
      </w:r>
      <w:r w:rsidR="00A31419" w:rsidRPr="0021550A">
        <w:rPr>
          <w:i/>
        </w:rPr>
        <w:t>Book of Good Manners</w:t>
      </w:r>
      <w:r w:rsidR="00A31419" w:rsidRPr="0021550A">
        <w:t xml:space="preserve"> and the </w:t>
      </w:r>
      <w:r w:rsidR="00A31419" w:rsidRPr="0021550A">
        <w:rPr>
          <w:i/>
        </w:rPr>
        <w:t>Golden Legend</w:t>
      </w:r>
      <w:r w:rsidR="00A31419" w:rsidRPr="0021550A">
        <w:t xml:space="preserve"> expands successively to include </w:t>
      </w:r>
      <w:r w:rsidR="00A31419" w:rsidRPr="0021550A">
        <w:rPr>
          <w:i/>
        </w:rPr>
        <w:t>Reynard the Fox</w:t>
      </w:r>
      <w:r w:rsidR="00A31419" w:rsidRPr="0021550A">
        <w:t xml:space="preserve">, </w:t>
      </w:r>
      <w:r w:rsidR="00A31419" w:rsidRPr="0021550A">
        <w:rPr>
          <w:i/>
        </w:rPr>
        <w:t>Game of Chess</w:t>
      </w:r>
      <w:r w:rsidR="00A31419" w:rsidRPr="0021550A">
        <w:t xml:space="preserve">, and </w:t>
      </w:r>
      <w:r w:rsidR="00A31419" w:rsidRPr="0021550A">
        <w:rPr>
          <w:i/>
        </w:rPr>
        <w:t>Paris and Vienne</w:t>
      </w:r>
      <w:r w:rsidR="00A31419" w:rsidRPr="0021550A">
        <w:t xml:space="preserve">. </w:t>
      </w:r>
    </w:p>
    <w:p w14:paraId="440A362F" w14:textId="6545CD28" w:rsidR="00A31419" w:rsidRPr="0021550A" w:rsidRDefault="00A31419" w:rsidP="000737CB">
      <w:r w:rsidRPr="0021550A">
        <w:t xml:space="preserve">The height at which a text joins a cluster shows how similar the text is to the rest of the cluster. </w:t>
      </w:r>
      <w:r w:rsidRPr="0021550A">
        <w:rPr>
          <w:i/>
        </w:rPr>
        <w:t>Paris and Vienne</w:t>
      </w:r>
      <w:r w:rsidRPr="0021550A">
        <w:t xml:space="preserve"> joins the rightmost cluster at a greater height than the other texts, which shows that the spellings in </w:t>
      </w:r>
      <w:r w:rsidRPr="0021550A">
        <w:rPr>
          <w:i/>
        </w:rPr>
        <w:t>Paris and Vienne</w:t>
      </w:r>
      <w:r w:rsidRPr="0021550A">
        <w:t xml:space="preserve"> are less similar to </w:t>
      </w:r>
      <w:r w:rsidR="00D91674">
        <w:t>the texts</w:t>
      </w:r>
      <w:r w:rsidRPr="0021550A">
        <w:t xml:space="preserve"> in the rest of the cluster than the spellings used in </w:t>
      </w:r>
      <w:r w:rsidRPr="0021550A">
        <w:rPr>
          <w:i/>
        </w:rPr>
        <w:t>Reynard the Fox</w:t>
      </w:r>
      <w:r w:rsidRPr="0021550A">
        <w:t xml:space="preserve">. The heights at which the dendrogram divides also gives us an idea of how different clusters of texts are to one another. For example, in </w:t>
      </w:r>
      <w:r w:rsidR="003C073C">
        <w:t>Figure 9.3</w:t>
      </w:r>
      <w:r w:rsidRPr="0021550A">
        <w:t xml:space="preserve"> four of the longest uninterrupted branches lead to the four clusters that I have marked out. Because these branches are relatively long, it suggests that the clusters at the ends of them are quite different to one another. We can look at the branching of the dendrogram to determine which clusters are more or less similar to one another. Of the four clusters in </w:t>
      </w:r>
      <w:r w:rsidR="003C073C">
        <w:t>Figure 9.3</w:t>
      </w:r>
      <w:r w:rsidRPr="0021550A">
        <w:t xml:space="preserve">, the cluster on the far right is most similar to the mid-right cluster, which contains </w:t>
      </w:r>
      <w:r w:rsidRPr="0021550A">
        <w:rPr>
          <w:i/>
        </w:rPr>
        <w:t>Life of our Lady</w:t>
      </w:r>
      <w:r w:rsidRPr="0021550A">
        <w:t xml:space="preserve"> and the </w:t>
      </w:r>
      <w:r w:rsidRPr="0021550A">
        <w:rPr>
          <w:i/>
        </w:rPr>
        <w:t>Confessio Amantis</w:t>
      </w:r>
      <w:r w:rsidRPr="0021550A">
        <w:t xml:space="preserve">, amongst others. We can tell that this cluster is more similar to the cluster on the far right than the clusters on the left, because these two clusters come from the same parent branch higher up on the dendrogram. </w:t>
      </w:r>
    </w:p>
    <w:p w14:paraId="4882BDD0" w14:textId="24C1D80E" w:rsidR="000631D9" w:rsidRDefault="000631D9" w:rsidP="000631D9">
      <w:r w:rsidRPr="0021550A">
        <w:t xml:space="preserve">In </w:t>
      </w:r>
      <w:r w:rsidR="003C073C">
        <w:t>Fgure 9.3</w:t>
      </w:r>
      <w:r w:rsidRPr="0021550A">
        <w:t xml:space="preserve"> I marked out four clusters that arise from the data, but the dendrogram also has long branches when the data is grouped into two clusters, shown in </w:t>
      </w:r>
      <w:r w:rsidR="003C073C">
        <w:t>Figure 9.4</w:t>
      </w:r>
      <w:r w:rsidRPr="0021550A">
        <w:t>.</w:t>
      </w:r>
      <w:r>
        <w:t xml:space="preserve"> </w:t>
      </w:r>
      <w:r w:rsidRPr="0021550A">
        <w:t xml:space="preserve">The clustering in </w:t>
      </w:r>
      <w:r w:rsidR="003C073C">
        <w:t>Figure 9.4</w:t>
      </w:r>
      <w:r w:rsidRPr="0021550A">
        <w:t xml:space="preserve"> shows the contents of each cluster when the output of the hierarchical clustering is divided into two groups. The hierarchical cluster analysis provides a dendrogram of the objects that are input into the algorithm, but the algorithm does not state what the optimal number of clusters is as part of the output. </w:t>
      </w:r>
      <w:r>
        <w:t>As such, i</w:t>
      </w:r>
      <w:r w:rsidRPr="0021550A">
        <w:t>t is not immediately clear whether the output is best considered in two clusters or in four</w:t>
      </w:r>
      <w:r>
        <w:t xml:space="preserve">, and the decision about the overall number of clusters in the data must be made by the researcher. </w:t>
      </w:r>
      <w:r w:rsidRPr="0021550A">
        <w:t xml:space="preserve">The uncertainty over the number of clusters is unlike </w:t>
      </w:r>
      <w:r w:rsidRPr="0021550A">
        <w:rPr>
          <w:i/>
        </w:rPr>
        <w:t>k</w:t>
      </w:r>
      <w:r w:rsidRPr="0021550A">
        <w:t>-means clustering which was use</w:t>
      </w:r>
      <w:r>
        <w:t>d to cluster quires in Chapter 7</w:t>
      </w:r>
      <w:r w:rsidRPr="0021550A">
        <w:t xml:space="preserve">; </w:t>
      </w:r>
      <w:r w:rsidRPr="0021550A">
        <w:rPr>
          <w:i/>
        </w:rPr>
        <w:t>k</w:t>
      </w:r>
      <w:r w:rsidRPr="0021550A">
        <w:t xml:space="preserve">-means clustering requires that the number of clusters (the value of </w:t>
      </w:r>
      <w:r w:rsidRPr="0021550A">
        <w:rPr>
          <w:i/>
        </w:rPr>
        <w:t>k</w:t>
      </w:r>
      <w:r w:rsidRPr="0021550A">
        <w:t xml:space="preserve">) is part of the input into the algorithm. </w:t>
      </w:r>
    </w:p>
    <w:p w14:paraId="03103028" w14:textId="5AB8A94F" w:rsidR="000631D9" w:rsidRPr="0021550A" w:rsidRDefault="000631D9" w:rsidP="000631D9">
      <w:r>
        <w:t>When using</w:t>
      </w:r>
      <w:r w:rsidRPr="0021550A">
        <w:t xml:space="preserve"> hierarchical cluster analysis, a balance must be struck when determining the size of the clusters. The clusters should be large enough to make a meaningful generalisation of the clusters of data (i.e. clusters comprised of one text are unlikely to be meaningful when answering research questions) but small enough that the similarity within the objects in the cluster is high enough to hold the group together as a </w:t>
      </w:r>
      <w:r w:rsidRPr="0021550A">
        <w:lastRenderedPageBreak/>
        <w:t xml:space="preserve">cluster. To determine whether the hierarchical clustering of Caxton’s data is more appropriate in two or four clusters, it is important to </w:t>
      </w:r>
      <w:r>
        <w:t xml:space="preserve">return to the texts to </w:t>
      </w:r>
      <w:r w:rsidRPr="0021550A">
        <w:t>look for the similarities that link the texts within each cluster.</w:t>
      </w:r>
    </w:p>
    <w:p w14:paraId="6777CE07" w14:textId="26C2324B" w:rsidR="000631D9" w:rsidRPr="0021550A" w:rsidRDefault="000631D9" w:rsidP="000631D9"/>
    <w:p w14:paraId="39F0188C" w14:textId="5DE7FD11" w:rsidR="00A31419" w:rsidRPr="0021550A" w:rsidRDefault="00A31419" w:rsidP="00BB2E53">
      <w:pPr>
        <w:ind w:firstLine="0"/>
      </w:pPr>
      <w:r w:rsidRPr="0021550A">
        <w:rPr>
          <w:noProof/>
          <w:lang w:eastAsia="en-GB"/>
        </w:rPr>
        <w:drawing>
          <wp:inline distT="0" distB="0" distL="0" distR="0" wp14:anchorId="109117D5" wp14:editId="47E2F2AC">
            <wp:extent cx="4985385" cy="2957442"/>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ll texts dendrogram two clusters.pdf"/>
                    <pic:cNvPicPr/>
                  </pic:nvPicPr>
                  <pic:blipFill rotWithShape="1">
                    <a:blip r:embed="rId86">
                      <a:extLst>
                        <a:ext uri="{28A0092B-C50C-407E-A947-70E740481C1C}">
                          <a14:useLocalDpi xmlns:a14="http://schemas.microsoft.com/office/drawing/2010/main"/>
                        </a:ext>
                      </a:extLst>
                    </a:blip>
                    <a:srcRect t="1965" r="7037"/>
                    <a:stretch/>
                  </pic:blipFill>
                  <pic:spPr bwMode="auto">
                    <a:xfrm>
                      <a:off x="0" y="0"/>
                      <a:ext cx="5020162" cy="2978073"/>
                    </a:xfrm>
                    <a:prstGeom prst="rect">
                      <a:avLst/>
                    </a:prstGeom>
                    <a:ln>
                      <a:noFill/>
                    </a:ln>
                    <a:extLst>
                      <a:ext uri="{53640926-AAD7-44D8-BBD7-CCE9431645EC}">
                        <a14:shadowObscured xmlns:a14="http://schemas.microsoft.com/office/drawing/2010/main"/>
                      </a:ext>
                    </a:extLst>
                  </pic:spPr>
                </pic:pic>
              </a:graphicData>
            </a:graphic>
          </wp:inline>
        </w:drawing>
      </w:r>
    </w:p>
    <w:p w14:paraId="4AEA86C7" w14:textId="0417DF85" w:rsidR="00A31419" w:rsidRPr="0021550A" w:rsidRDefault="00453776" w:rsidP="000737CB">
      <w:pPr>
        <w:pStyle w:val="Caption"/>
      </w:pPr>
      <w:bookmarkStart w:id="242" w:name="_Toc499753564"/>
      <w:r>
        <w:t>Figure 9.4:</w:t>
      </w:r>
      <w:r w:rsidR="00A31419" w:rsidRPr="0021550A">
        <w:t xml:space="preserve"> Hierarchical clustering of Caxton's texts into two clusters</w:t>
      </w:r>
      <w:bookmarkEnd w:id="242"/>
    </w:p>
    <w:p w14:paraId="22416AEB" w14:textId="77777777" w:rsidR="00A31419" w:rsidRPr="0021550A" w:rsidRDefault="00A31419" w:rsidP="000737CB"/>
    <w:p w14:paraId="61AA1313" w14:textId="41037311" w:rsidR="00A31419" w:rsidRPr="0021550A" w:rsidRDefault="00D91674" w:rsidP="000737CB">
      <w:r>
        <w:t>I suggest</w:t>
      </w:r>
      <w:r w:rsidR="00A31419" w:rsidRPr="0021550A">
        <w:t xml:space="preserve"> that four is the optimal number of clusters for the cluster analysis of the Caxton dataset because</w:t>
      </w:r>
      <w:r w:rsidR="000631D9">
        <w:t xml:space="preserve"> in </w:t>
      </w:r>
      <w:r w:rsidR="003C073C">
        <w:t>Figure 9.3</w:t>
      </w:r>
      <w:r w:rsidR="00A31419" w:rsidRPr="0021550A">
        <w:t xml:space="preserve"> the contents of the rightmost cluster have one thing in common: this cluster is formed </w:t>
      </w:r>
      <w:r>
        <w:t xml:space="preserve">exclusively </w:t>
      </w:r>
      <w:r w:rsidR="00A31419" w:rsidRPr="0021550A">
        <w:t xml:space="preserve">of all the texts in the dataset that Caxton says that he translated. The cluster analysis shows that these texts all contain a high proportion of similar spellings, because the texts have clustered together, and it is likely that the copy texts used to create these texts all include spellings from the same person who wrote or translated the text, in this case Caxton. The factors that bind together the texts in the other three clusters are </w:t>
      </w:r>
      <w:r w:rsidR="008E633B">
        <w:t>not currently apparent</w:t>
      </w:r>
      <w:r w:rsidR="00A31419" w:rsidRPr="0021550A">
        <w:t xml:space="preserve">. </w:t>
      </w:r>
    </w:p>
    <w:p w14:paraId="54AABBAF" w14:textId="6568BEA5" w:rsidR="00A31419" w:rsidRPr="0021550A" w:rsidRDefault="00A31419" w:rsidP="000737CB">
      <w:r w:rsidRPr="0021550A">
        <w:t xml:space="preserve">Through using cluster analysis on books that were produced by Caxton’s printing house, </w:t>
      </w:r>
      <w:r w:rsidR="000631D9">
        <w:t>this section has</w:t>
      </w:r>
      <w:r w:rsidRPr="0021550A">
        <w:t xml:space="preserve"> group</w:t>
      </w:r>
      <w:r w:rsidR="000631D9">
        <w:t>ed</w:t>
      </w:r>
      <w:r w:rsidRPr="0021550A">
        <w:t xml:space="preserve"> texts based on the similarity of the spellings that are used throughout the whole texts. In doing so, we have found that the set of texts that were translated by Caxton contain similar spellings, and </w:t>
      </w:r>
      <w:r w:rsidR="00F14E01">
        <w:t xml:space="preserve">these texts </w:t>
      </w:r>
      <w:r w:rsidRPr="0021550A">
        <w:t xml:space="preserve">cluster together separately to the texts that were not translated by Caxton. The cluster analysis has shown that Caxton’s </w:t>
      </w:r>
      <w:r w:rsidR="00F14E01">
        <w:t>idiolect</w:t>
      </w:r>
      <w:r w:rsidRPr="0021550A">
        <w:t xml:space="preserve"> </w:t>
      </w:r>
      <w:r w:rsidR="00F14E01">
        <w:t>has</w:t>
      </w:r>
      <w:r w:rsidRPr="0021550A">
        <w:t xml:space="preserve"> been transmitted through the successive copies of text</w:t>
      </w:r>
      <w:r w:rsidR="00F14E01">
        <w:t>, and remains within the print editions</w:t>
      </w:r>
      <w:r w:rsidRPr="0021550A">
        <w:t>. The rest of this study focuses on exploring the unresolved research questions that arose during t</w:t>
      </w:r>
      <w:r w:rsidR="00F14E01">
        <w:t>he cluster analysis in Chapter 7</w:t>
      </w:r>
      <w:r w:rsidRPr="0021550A">
        <w:t xml:space="preserve">. By using the full dataset of texts that were produced by Caxton as a kind of clustering context, the rest of this study compares sections of texts for which there is uncertainty as to the extent that </w:t>
      </w:r>
      <w:r w:rsidRPr="0021550A">
        <w:lastRenderedPageBreak/>
        <w:t xml:space="preserve">Caxton was involved in their composition, specifically in the texts of the </w:t>
      </w:r>
      <w:r w:rsidRPr="0021550A">
        <w:rPr>
          <w:i/>
        </w:rPr>
        <w:t>Book of Good Manners</w:t>
      </w:r>
      <w:r w:rsidRPr="0021550A">
        <w:t xml:space="preserve">, </w:t>
      </w:r>
      <w:r w:rsidRPr="0021550A">
        <w:rPr>
          <w:i/>
        </w:rPr>
        <w:t xml:space="preserve">Polychronicon, </w:t>
      </w:r>
      <w:r w:rsidRPr="0021550A">
        <w:t xml:space="preserve">and the </w:t>
      </w:r>
      <w:r w:rsidRPr="0021550A">
        <w:rPr>
          <w:i/>
        </w:rPr>
        <w:t>Golden Legend</w:t>
      </w:r>
      <w:r w:rsidRPr="0021550A">
        <w:t>. In this final chapter of analysis, I combine the use of cluster analysis and similarity measurements to demonstrate why it is that these texts have not followed the norm under previous scrutiny.</w:t>
      </w:r>
    </w:p>
    <w:p w14:paraId="34EF051D" w14:textId="77777777" w:rsidR="00A31419" w:rsidRPr="0021550A" w:rsidRDefault="00A31419" w:rsidP="000737CB"/>
    <w:p w14:paraId="50A3E986" w14:textId="7C16B6B6" w:rsidR="00A31419" w:rsidRPr="0021550A" w:rsidRDefault="00A31419" w:rsidP="000737CB">
      <w:pPr>
        <w:pStyle w:val="Heading2"/>
      </w:pPr>
      <w:bookmarkStart w:id="243" w:name="_Ref497397371"/>
      <w:bookmarkStart w:id="244" w:name="_Toc497899880"/>
      <w:r w:rsidRPr="0021550A">
        <w:t xml:space="preserve">Caxton’s translation of the </w:t>
      </w:r>
      <w:r w:rsidRPr="00C07BCA">
        <w:rPr>
          <w:i/>
        </w:rPr>
        <w:t>Book of Good Manners</w:t>
      </w:r>
      <w:bookmarkEnd w:id="243"/>
      <w:bookmarkEnd w:id="244"/>
    </w:p>
    <w:p w14:paraId="3B42982A" w14:textId="3C62206D" w:rsidR="00A31419" w:rsidRPr="0021550A" w:rsidRDefault="007339A3" w:rsidP="000737CB">
      <w:r>
        <w:t>The</w:t>
      </w:r>
      <w:r w:rsidRPr="0021550A">
        <w:t xml:space="preserve"> </w:t>
      </w:r>
      <w:r w:rsidR="00A31419" w:rsidRPr="0021550A">
        <w:rPr>
          <w:i/>
        </w:rPr>
        <w:t>Book of Good Manners</w:t>
      </w:r>
      <w:r w:rsidR="00A31419" w:rsidRPr="0021550A">
        <w:t xml:space="preserve"> is one of the many texts that Caxton translated from French into English. In the previous chapters, the </w:t>
      </w:r>
      <w:r w:rsidR="00A31419" w:rsidRPr="0021550A">
        <w:rPr>
          <w:i/>
        </w:rPr>
        <w:t>Book of Good Manners</w:t>
      </w:r>
      <w:r w:rsidR="00A31419" w:rsidRPr="0021550A">
        <w:t xml:space="preserve"> has been notable for not conforming to what was expected of a book that otherwise has no evidence for a change at the level of the copy text or a change in compositor. In </w:t>
      </w:r>
      <w:r w:rsidR="008E633B">
        <w:t xml:space="preserve">Section </w:t>
      </w:r>
      <w:r w:rsidR="008E633B">
        <w:fldChar w:fldCharType="begin"/>
      </w:r>
      <w:r w:rsidR="008E633B">
        <w:instrText xml:space="preserve"> REF _Ref498675067 \r </w:instrText>
      </w:r>
      <w:r w:rsidR="008E633B">
        <w:fldChar w:fldCharType="separate"/>
      </w:r>
      <w:r w:rsidR="00D11844">
        <w:t>7.3</w:t>
      </w:r>
      <w:r w:rsidR="008E633B">
        <w:fldChar w:fldCharType="end"/>
      </w:r>
      <w:r w:rsidR="00A31419" w:rsidRPr="0021550A">
        <w:t xml:space="preserve">, the cluster analysis of the </w:t>
      </w:r>
      <w:r w:rsidR="00A31419" w:rsidRPr="0021550A">
        <w:rPr>
          <w:i/>
        </w:rPr>
        <w:t>Book of Good Manners</w:t>
      </w:r>
      <w:r w:rsidR="00A31419" w:rsidRPr="0021550A">
        <w:t xml:space="preserve"> showed that there is a change in the spellings used in the text somewhere within Quire e. In </w:t>
      </w:r>
      <w:r w:rsidR="008E633B">
        <w:t xml:space="preserve">Section </w:t>
      </w:r>
      <w:r w:rsidR="008E633B">
        <w:fldChar w:fldCharType="begin"/>
      </w:r>
      <w:r w:rsidR="008E633B">
        <w:instrText xml:space="preserve"> REF _Ref498622569 \r </w:instrText>
      </w:r>
      <w:r w:rsidR="008E633B">
        <w:fldChar w:fldCharType="separate"/>
      </w:r>
      <w:r w:rsidR="00D11844">
        <w:t>8.1</w:t>
      </w:r>
      <w:r w:rsidR="008E633B">
        <w:fldChar w:fldCharType="end"/>
      </w:r>
      <w:r w:rsidR="00A31419" w:rsidRPr="0021550A">
        <w:t xml:space="preserve">, the similarity score </w:t>
      </w:r>
      <w:r w:rsidR="008E633B">
        <w:t xml:space="preserve">when we compared the sections on </w:t>
      </w:r>
      <w:r w:rsidR="00A31419" w:rsidRPr="0021550A">
        <w:t xml:space="preserve">either side of the divide in Quire e was 0.81, which is in line with the similarity scores for other texts where a change in compositor or copy text had taken place. </w:t>
      </w:r>
    </w:p>
    <w:p w14:paraId="2D2DB74D" w14:textId="2AEA3C10" w:rsidR="00F14E01" w:rsidRDefault="00A31419" w:rsidP="00F14E01">
      <w:r w:rsidRPr="0021550A">
        <w:t xml:space="preserve">Bibliographical evidence does not support a change in the copy text or concurrent typesetting by two compositors for the </w:t>
      </w:r>
      <w:r w:rsidRPr="0021550A">
        <w:rPr>
          <w:i/>
        </w:rPr>
        <w:t>Book of Good Manners</w:t>
      </w:r>
      <w:r w:rsidRPr="0021550A">
        <w:t xml:space="preserve">. Caxton claims translatorship of the text; he writes </w:t>
      </w:r>
      <w:r w:rsidR="00F14E01">
        <w:t>in his prologue to the text:</w:t>
      </w:r>
      <w:r w:rsidRPr="0021550A">
        <w:t xml:space="preserve"> </w:t>
      </w:r>
    </w:p>
    <w:p w14:paraId="51863C95" w14:textId="77777777" w:rsidR="00F14E01" w:rsidRDefault="00F14E01" w:rsidP="00F14E01">
      <w:pPr>
        <w:spacing w:line="240" w:lineRule="auto"/>
        <w:ind w:left="720" w:firstLine="0"/>
      </w:pPr>
    </w:p>
    <w:p w14:paraId="0D5AA87B" w14:textId="4DDDD020" w:rsidR="00F14E01" w:rsidRDefault="00F14E01" w:rsidP="00F14E01">
      <w:pPr>
        <w:spacing w:line="240" w:lineRule="auto"/>
        <w:ind w:left="720" w:firstLine="0"/>
      </w:pPr>
      <w:r w:rsidRPr="0021550A">
        <w:t xml:space="preserve">a mercer of London named Wylliam Praat, which late departed out of this lyf on whos soule God have mercy, not long tofore his deth delyverd to me in Frenshe a lytel book named the </w:t>
      </w:r>
      <w:r w:rsidRPr="0021550A">
        <w:rPr>
          <w:i/>
        </w:rPr>
        <w:t>Book of Good Maners</w:t>
      </w:r>
      <w:r>
        <w:t xml:space="preserve"> … </w:t>
      </w:r>
      <w:r w:rsidRPr="0021550A">
        <w:t>and desired me instantl</w:t>
      </w:r>
      <w:r>
        <w:t>y to translate it into Englyssh</w:t>
      </w:r>
      <w:r w:rsidRPr="0021550A">
        <w:t xml:space="preserve"> </w:t>
      </w:r>
    </w:p>
    <w:p w14:paraId="69FE2D3B" w14:textId="77777777" w:rsidR="00F14E01" w:rsidRPr="0021550A" w:rsidRDefault="00F14E01" w:rsidP="00F14E01">
      <w:pPr>
        <w:spacing w:line="276" w:lineRule="auto"/>
        <w:ind w:left="720" w:firstLine="0"/>
        <w:jc w:val="right"/>
      </w:pPr>
      <w:r w:rsidRPr="00B51567">
        <w:t>(Blake 1973:</w:t>
      </w:r>
      <w:r>
        <w:t xml:space="preserve"> </w:t>
      </w:r>
      <w:r w:rsidRPr="00B51567">
        <w:t>60)</w:t>
      </w:r>
    </w:p>
    <w:p w14:paraId="2C17EEB7" w14:textId="77777777" w:rsidR="00F14E01" w:rsidRDefault="00F14E01" w:rsidP="000737CB"/>
    <w:p w14:paraId="04D45EF9" w14:textId="20AFA506" w:rsidR="00A31419" w:rsidRPr="0021550A" w:rsidRDefault="00A31419" w:rsidP="000737CB">
      <w:r w:rsidRPr="0021550A">
        <w:t xml:space="preserve">There are no earlier versions of the </w:t>
      </w:r>
      <w:r w:rsidRPr="0021550A">
        <w:rPr>
          <w:i/>
        </w:rPr>
        <w:t>Book of Good Manners</w:t>
      </w:r>
      <w:r w:rsidRPr="0021550A">
        <w:t xml:space="preserve"> in English, and as a whole </w:t>
      </w:r>
      <w:r w:rsidR="008E633B">
        <w:t xml:space="preserve">book </w:t>
      </w:r>
      <w:r w:rsidRPr="0021550A">
        <w:t xml:space="preserve">the text does cluster with the other texts that were typeset by Caxton, which suggests that the text contains some of Caxton’s spellings and that Caxton had been personally involved in the production of the copy text. While there is no bibliographical evidence that supports a change in the copy text, there is also no evidence that supports concurrent typesetting by two compositors. The cluster analysis undertaken on the quires of the text in </w:t>
      </w:r>
      <w:r w:rsidR="008E633B">
        <w:t xml:space="preserve">Section </w:t>
      </w:r>
      <w:r w:rsidR="008E633B">
        <w:fldChar w:fldCharType="begin"/>
      </w:r>
      <w:r w:rsidR="008E633B">
        <w:instrText xml:space="preserve"> REF _Ref498675067 \r </w:instrText>
      </w:r>
      <w:r w:rsidR="008E633B">
        <w:fldChar w:fldCharType="separate"/>
      </w:r>
      <w:r w:rsidR="00D11844">
        <w:t>7.3</w:t>
      </w:r>
      <w:r w:rsidR="008E633B">
        <w:fldChar w:fldCharType="end"/>
      </w:r>
      <w:r w:rsidRPr="0021550A">
        <w:t xml:space="preserve"> showed that a change in the spellings takes place at some point within Quire e, but there is no obvious location for a change of compositor within the quire. None of the pages in Quire e begins a new section of the book, but rather the pages begin mid-sentence which would make the join between text from two compositors very difficult to achieve. </w:t>
      </w:r>
    </w:p>
    <w:p w14:paraId="624C3685" w14:textId="05EC5B63" w:rsidR="00A31419" w:rsidRPr="0021550A" w:rsidRDefault="00A31419" w:rsidP="000737CB">
      <w:r w:rsidRPr="0021550A">
        <w:t xml:space="preserve">While the evidence does not support a change in either the copy text or the compositor, nevertheless a change in spellings suggests a change in one of these sources </w:t>
      </w:r>
      <w:r w:rsidRPr="0021550A">
        <w:lastRenderedPageBreak/>
        <w:t>of input has taken place. This section seeks to resolve this issu</w:t>
      </w:r>
      <w:r w:rsidR="00934631">
        <w:t xml:space="preserve">e, guided by Research Question </w:t>
      </w:r>
      <w:r w:rsidR="003C073C">
        <w:t>E</w:t>
      </w:r>
      <w:r w:rsidRPr="0021550A">
        <w:t xml:space="preserve">: What is the source of the change in spelling variants in the </w:t>
      </w:r>
      <w:r w:rsidRPr="0021550A">
        <w:rPr>
          <w:i/>
        </w:rPr>
        <w:t>Book of Good Manners</w:t>
      </w:r>
      <w:r w:rsidRPr="0021550A">
        <w:t xml:space="preserve">? We can begin by clustering the two sections of the </w:t>
      </w:r>
      <w:r w:rsidRPr="0021550A">
        <w:rPr>
          <w:i/>
        </w:rPr>
        <w:t>Book of Good Manners</w:t>
      </w:r>
      <w:r w:rsidRPr="0021550A">
        <w:t xml:space="preserve"> that emerged du</w:t>
      </w:r>
      <w:r w:rsidR="00934631">
        <w:t>ring the clustering in Chapter 7</w:t>
      </w:r>
      <w:r w:rsidRPr="0021550A">
        <w:t xml:space="preserve">. </w:t>
      </w:r>
    </w:p>
    <w:p w14:paraId="20D471C6" w14:textId="77777777" w:rsidR="00A31419" w:rsidRPr="0021550A" w:rsidRDefault="00A31419" w:rsidP="000737CB"/>
    <w:p w14:paraId="111D6A29" w14:textId="09F053F0" w:rsidR="00A31419" w:rsidRPr="0021550A" w:rsidRDefault="00A31419" w:rsidP="00BB2E53">
      <w:pPr>
        <w:ind w:firstLine="0"/>
      </w:pPr>
      <w:r w:rsidRPr="0021550A">
        <w:rPr>
          <w:noProof/>
          <w:lang w:eastAsia="en-GB"/>
        </w:rPr>
        <w:drawing>
          <wp:inline distT="0" distB="0" distL="0" distR="0" wp14:anchorId="6688AC84" wp14:editId="552A5DC3">
            <wp:extent cx="4985385" cy="2919601"/>
            <wp:effectExtent l="0" t="0" r="0" b="190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anners highlighted.pdf"/>
                    <pic:cNvPicPr/>
                  </pic:nvPicPr>
                  <pic:blipFill rotWithShape="1">
                    <a:blip r:embed="rId87">
                      <a:extLst>
                        <a:ext uri="{28A0092B-C50C-407E-A947-70E740481C1C}">
                          <a14:useLocalDpi xmlns:a14="http://schemas.microsoft.com/office/drawing/2010/main"/>
                        </a:ext>
                      </a:extLst>
                    </a:blip>
                    <a:srcRect l="2622" t="2119" r="5398" b="2123"/>
                    <a:stretch/>
                  </pic:blipFill>
                  <pic:spPr bwMode="auto">
                    <a:xfrm>
                      <a:off x="0" y="0"/>
                      <a:ext cx="5041027" cy="2952187"/>
                    </a:xfrm>
                    <a:prstGeom prst="rect">
                      <a:avLst/>
                    </a:prstGeom>
                    <a:ln>
                      <a:noFill/>
                    </a:ln>
                    <a:extLst>
                      <a:ext uri="{53640926-AAD7-44D8-BBD7-CCE9431645EC}">
                        <a14:shadowObscured xmlns:a14="http://schemas.microsoft.com/office/drawing/2010/main"/>
                      </a:ext>
                    </a:extLst>
                  </pic:spPr>
                </pic:pic>
              </a:graphicData>
            </a:graphic>
          </wp:inline>
        </w:drawing>
      </w:r>
    </w:p>
    <w:p w14:paraId="307E6756" w14:textId="7D989FB9" w:rsidR="00A31419" w:rsidRPr="0021550A" w:rsidRDefault="00453776" w:rsidP="000737CB">
      <w:pPr>
        <w:pStyle w:val="Caption"/>
      </w:pPr>
      <w:bookmarkStart w:id="245" w:name="_Toc499753565"/>
      <w:r>
        <w:t>Figure 9.5:</w:t>
      </w:r>
      <w:r w:rsidR="00A31419" w:rsidRPr="0021550A">
        <w:t xml:space="preserve"> Hierarchical clustering of the </w:t>
      </w:r>
      <w:r w:rsidR="00A31419" w:rsidRPr="0021550A">
        <w:rPr>
          <w:i/>
        </w:rPr>
        <w:t>Book of Good Manners</w:t>
      </w:r>
      <w:bookmarkEnd w:id="245"/>
    </w:p>
    <w:p w14:paraId="7C4F09CF" w14:textId="77777777" w:rsidR="00A31419" w:rsidRPr="0021550A" w:rsidRDefault="00A31419" w:rsidP="000737CB"/>
    <w:p w14:paraId="7F38338B" w14:textId="5F948985" w:rsidR="00A31419" w:rsidRPr="0021550A" w:rsidRDefault="00A31419" w:rsidP="000737CB">
      <w:r w:rsidRPr="0021550A">
        <w:t xml:space="preserve">In </w:t>
      </w:r>
      <w:r w:rsidR="003C073C">
        <w:t xml:space="preserve">Figure 9.5 </w:t>
      </w:r>
      <w:r w:rsidRPr="0021550A">
        <w:t xml:space="preserve">the two sections of the </w:t>
      </w:r>
      <w:r w:rsidRPr="0021550A">
        <w:rPr>
          <w:i/>
        </w:rPr>
        <w:t>Book of Good Manners</w:t>
      </w:r>
      <w:r w:rsidRPr="0021550A">
        <w:t xml:space="preserve"> split from one another – the second half of the text goes along with the texts that Caxton wrote himself and the first half of the text joins </w:t>
      </w:r>
      <w:r w:rsidRPr="0021550A">
        <w:rPr>
          <w:i/>
        </w:rPr>
        <w:t>Paris and Vienne</w:t>
      </w:r>
      <w:r w:rsidRPr="0021550A">
        <w:t xml:space="preserve"> in a separate cluster. Both sections of the </w:t>
      </w:r>
      <w:r w:rsidRPr="0021550A">
        <w:rPr>
          <w:i/>
        </w:rPr>
        <w:t>Book of Good Manners</w:t>
      </w:r>
      <w:r w:rsidRPr="0021550A">
        <w:t xml:space="preserve"> cluster with texts that were translated by Caxton, which suggests that Caxton’s spellings are present throughout the text of the </w:t>
      </w:r>
      <w:r w:rsidRPr="0021550A">
        <w:rPr>
          <w:i/>
        </w:rPr>
        <w:t>Book of Good Manners</w:t>
      </w:r>
      <w:r w:rsidRPr="0021550A">
        <w:t xml:space="preserve"> and that it is likely that Caxton translated the entirety of the text. The change in spellings does not appear to have been caused by a change in the copy text—it appears that Caxton translated the </w:t>
      </w:r>
      <w:r w:rsidRPr="0021550A">
        <w:rPr>
          <w:i/>
        </w:rPr>
        <w:t>Book of Good Manners</w:t>
      </w:r>
      <w:r w:rsidRPr="0021550A">
        <w:t xml:space="preserve"> and in doing so created the copy text for the printed edition. If the change in spellings is not caused by a change in the copy text, then it is likely that there is a change in compositor that takes place in Quire e of the text. Because the pages in Quire e all begin mid-sentence, it is unlikely that two compositors were typesetting concurrently and their work was subsequently combined. Instead, it is more likely that the text was typeset by one compositor at a time, and that during the typesetting process one compositor took over the work from the other compositor. I will return to </w:t>
      </w:r>
      <w:r w:rsidR="00104CD2">
        <w:t xml:space="preserve">discuss </w:t>
      </w:r>
      <w:r w:rsidRPr="0021550A">
        <w:t xml:space="preserve">this </w:t>
      </w:r>
      <w:r w:rsidR="00706056">
        <w:t>text</w:t>
      </w:r>
      <w:r w:rsidRPr="0021550A">
        <w:t xml:space="preserve"> </w:t>
      </w:r>
      <w:r w:rsidR="00104CD2">
        <w:t xml:space="preserve">further </w:t>
      </w:r>
      <w:r w:rsidRPr="0021550A">
        <w:t>in Section</w:t>
      </w:r>
      <w:r w:rsidR="00706056">
        <w:t xml:space="preserve"> </w:t>
      </w:r>
      <w:r w:rsidR="00706056">
        <w:fldChar w:fldCharType="begin"/>
      </w:r>
      <w:r w:rsidR="00706056">
        <w:instrText xml:space="preserve"> REF _Ref497225586 \r </w:instrText>
      </w:r>
      <w:r w:rsidR="00706056">
        <w:fldChar w:fldCharType="separate"/>
      </w:r>
      <w:r w:rsidR="00D11844">
        <w:t>9.5</w:t>
      </w:r>
      <w:r w:rsidR="00706056">
        <w:fldChar w:fldCharType="end"/>
      </w:r>
      <w:r w:rsidR="00104CD2">
        <w:t>, once more information about the dataset is available</w:t>
      </w:r>
      <w:r w:rsidRPr="0021550A">
        <w:t xml:space="preserve">. </w:t>
      </w:r>
    </w:p>
    <w:p w14:paraId="2A1E6AB0" w14:textId="77777777" w:rsidR="00A31419" w:rsidRPr="0021550A" w:rsidRDefault="00A31419" w:rsidP="000737CB"/>
    <w:p w14:paraId="6BEF99E8" w14:textId="2DA12F08" w:rsidR="00A31419" w:rsidRPr="0021550A" w:rsidRDefault="00A31419" w:rsidP="001C3F00">
      <w:pPr>
        <w:pStyle w:val="Heading2"/>
        <w:jc w:val="left"/>
      </w:pPr>
      <w:bookmarkStart w:id="246" w:name="_Ref492709736"/>
      <w:bookmarkStart w:id="247" w:name="_Toc497899881"/>
      <w:r w:rsidRPr="0021550A">
        <w:lastRenderedPageBreak/>
        <w:t xml:space="preserve">Caxton’s authorship of parts of the </w:t>
      </w:r>
      <w:r w:rsidRPr="00C07BCA">
        <w:rPr>
          <w:i/>
        </w:rPr>
        <w:t>Polychronicon</w:t>
      </w:r>
      <w:r w:rsidRPr="0021550A">
        <w:t xml:space="preserve"> and the </w:t>
      </w:r>
      <w:r w:rsidRPr="00C07BCA">
        <w:rPr>
          <w:i/>
        </w:rPr>
        <w:t>Chronicles of England</w:t>
      </w:r>
      <w:bookmarkEnd w:id="246"/>
      <w:bookmarkEnd w:id="247"/>
    </w:p>
    <w:p w14:paraId="061D0357" w14:textId="77777777" w:rsidR="00104CD2" w:rsidRDefault="00A31419" w:rsidP="000737CB">
      <w:r w:rsidRPr="0021550A">
        <w:t xml:space="preserve">Caxton’s edition of the </w:t>
      </w:r>
      <w:r w:rsidRPr="0021550A">
        <w:rPr>
          <w:i/>
        </w:rPr>
        <w:t>Polychronicon</w:t>
      </w:r>
      <w:r w:rsidRPr="0021550A">
        <w:t xml:space="preserve"> has attracted scholarly attention for several reasons: Caxton claims that he modernised the language of the text, and </w:t>
      </w:r>
      <w:r w:rsidR="00104CD2">
        <w:t>scholars have raised the</w:t>
      </w:r>
      <w:r w:rsidRPr="0021550A">
        <w:t xml:space="preserve"> possibility that Caxton was the author of the additional section of text added onto the end of the book, the Liber Ultimus. Caxton makes his claim that he modernised the language of the text in his epilogue that follows Book VII, stating that he “</w:t>
      </w:r>
      <w:r w:rsidR="00F72570" w:rsidRPr="00F72570">
        <w:t>som what haue chaun</w:t>
      </w:r>
      <w:r w:rsidR="00F72570">
        <w:t>ged the rude and old englyssh that is to wete certayn wordes</w:t>
      </w:r>
      <w:r w:rsidR="00F72570" w:rsidRPr="00F72570">
        <w:t xml:space="preserve"> which in these dayes be neither vsyd ne vnderstanden</w:t>
      </w:r>
      <w:r w:rsidR="00934631">
        <w:t>”</w:t>
      </w:r>
      <w:r w:rsidR="00F72570">
        <w:t xml:space="preserve"> (1482: 390)</w:t>
      </w:r>
      <w:r w:rsidR="00934631">
        <w:t>.</w:t>
      </w:r>
      <w:r w:rsidRPr="0021550A">
        <w:t xml:space="preserve"> </w:t>
      </w:r>
    </w:p>
    <w:p w14:paraId="12E9C9CA" w14:textId="77777777" w:rsidR="00104CD2" w:rsidRDefault="00A31419" w:rsidP="000737CB">
      <w:r w:rsidRPr="0021550A">
        <w:t xml:space="preserve">As part of the modernisation process, Caxton claims to have written out the entirety of the text </w:t>
      </w:r>
      <w:r w:rsidR="00F72570">
        <w:t>himself saying that he “wryte fy</w:t>
      </w:r>
      <w:r w:rsidRPr="0021550A">
        <w:t>rst ouer</w:t>
      </w:r>
      <w:r w:rsidR="00F72570">
        <w:t xml:space="preserve"> </w:t>
      </w:r>
      <w:r w:rsidRPr="0021550A">
        <w:t xml:space="preserve">all the sayd book of </w:t>
      </w:r>
      <w:r w:rsidR="00F72570">
        <w:t>p</w:t>
      </w:r>
      <w:r w:rsidRPr="00F72570">
        <w:t>roloconycon</w:t>
      </w:r>
      <w:r w:rsidRPr="0021550A">
        <w:t>”</w:t>
      </w:r>
      <w:r w:rsidR="00934631" w:rsidRPr="00934631">
        <w:t xml:space="preserve"> </w:t>
      </w:r>
      <w:r w:rsidR="006B0490">
        <w:t>(1482</w:t>
      </w:r>
      <w:r w:rsidR="00F72570">
        <w:t>: 390</w:t>
      </w:r>
      <w:r w:rsidR="00C07001">
        <w:t>)</w:t>
      </w:r>
      <w:r w:rsidRPr="0021550A">
        <w:t>. Lister Matheson argues that Caxton copied the entirety of the book out himself and made amendments to the language as he went, based on Caxton’s</w:t>
      </w:r>
      <w:r w:rsidR="00F72570">
        <w:t xml:space="preserve"> use of the phrase “wryte fy</w:t>
      </w:r>
      <w:r w:rsidR="00934631">
        <w:t>rst</w:t>
      </w:r>
      <w:r w:rsidR="00F72570">
        <w:t xml:space="preserve"> ou</w:t>
      </w:r>
      <w:r w:rsidRPr="0021550A">
        <w:t>er</w:t>
      </w:r>
      <w:r w:rsidR="00F72570">
        <w:t xml:space="preserve"> </w:t>
      </w:r>
      <w:r w:rsidRPr="0021550A">
        <w:t xml:space="preserve">all” </w:t>
      </w:r>
      <w:r w:rsidR="00934631" w:rsidRPr="00934631">
        <w:t>(Matheson 1985:</w:t>
      </w:r>
      <w:r w:rsidR="00104CD2">
        <w:t xml:space="preserve"> </w:t>
      </w:r>
      <w:r w:rsidR="00934631" w:rsidRPr="00934631">
        <w:t xml:space="preserve">601–2). However, studies into the changes made to the text by Caxton suggest that </w:t>
      </w:r>
      <w:r w:rsidR="00104CD2">
        <w:t>Caxton’s editorial intervention was</w:t>
      </w:r>
      <w:r w:rsidR="00934631" w:rsidRPr="00934631">
        <w:t xml:space="preserve"> minimal; William Matthews states that Caxton amended spelling, morphology, and the occasional substitution of dialect words, and that he made “a dozen or so” such changes to each page (1997a:</w:t>
      </w:r>
      <w:r w:rsidR="00104CD2">
        <w:t xml:space="preserve"> </w:t>
      </w:r>
      <w:r w:rsidR="00934631" w:rsidRPr="00934631">
        <w:t xml:space="preserve">72). </w:t>
      </w:r>
    </w:p>
    <w:p w14:paraId="61F04D6B" w14:textId="1DB15365" w:rsidR="00A31419" w:rsidRPr="0021550A" w:rsidRDefault="00A31419" w:rsidP="000737CB">
      <w:r w:rsidRPr="0021550A">
        <w:t xml:space="preserve">The second reason for scholarly interest in the </w:t>
      </w:r>
      <w:r w:rsidRPr="0021550A">
        <w:rPr>
          <w:i/>
        </w:rPr>
        <w:t>Polychronicon</w:t>
      </w:r>
      <w:r w:rsidRPr="0021550A">
        <w:t xml:space="preserve"> is the authorship of the additional text at the end of the book titled the Liber Ultimus. The text of the </w:t>
      </w:r>
      <w:r w:rsidRPr="0021550A">
        <w:rPr>
          <w:i/>
        </w:rPr>
        <w:t>Polychronicon</w:t>
      </w:r>
      <w:r w:rsidRPr="0021550A">
        <w:t xml:space="preserve"> that appears in most manuscript editions runs to seven books long. Caxton’s text features an epilogue after Book VII which begins “</w:t>
      </w:r>
      <w:r w:rsidR="004C392E">
        <w:t>Th</w:t>
      </w:r>
      <w:r w:rsidR="004C392E" w:rsidRPr="004C392E">
        <w:t>us endeth the book named Proloconycon made &amp; compiled by Ranulph monk of chestre</w:t>
      </w:r>
      <w:r w:rsidRPr="0021550A">
        <w:t>”</w:t>
      </w:r>
      <w:r w:rsidR="00934631">
        <w:t xml:space="preserve"> </w:t>
      </w:r>
      <w:r w:rsidR="004C392E">
        <w:t>(1482: 390)</w:t>
      </w:r>
      <w:r w:rsidRPr="0021550A">
        <w:t>, and goes on to state that he has made “</w:t>
      </w:r>
      <w:r w:rsidR="004C392E" w:rsidRPr="004C392E">
        <w:t>another booke after this sayd werke whiche sh</w:t>
      </w:r>
      <w:r w:rsidR="004C392E">
        <w:t>al be sett here after the same</w:t>
      </w:r>
      <w:r w:rsidR="004C392E" w:rsidRPr="004C392E">
        <w:t xml:space="preserve"> </w:t>
      </w:r>
      <w:r w:rsidR="004C392E">
        <w:t xml:space="preserve">… </w:t>
      </w:r>
      <w:r w:rsidR="004C392E" w:rsidRPr="004C392E">
        <w:t>For I dar not presume to sette my booke ne ioyne hit to his</w:t>
      </w:r>
      <w:r w:rsidRPr="0021550A">
        <w:t>”</w:t>
      </w:r>
      <w:r w:rsidR="004C392E">
        <w:t xml:space="preserve"> (1482: 390)</w:t>
      </w:r>
      <w:r w:rsidRPr="0021550A">
        <w:t xml:space="preserve">. Following this short introduction </w:t>
      </w:r>
      <w:r w:rsidR="00104CD2">
        <w:t>begins the section titled</w:t>
      </w:r>
      <w:r w:rsidRPr="0021550A">
        <w:t xml:space="preserve"> Liber Ultimus. </w:t>
      </w:r>
    </w:p>
    <w:p w14:paraId="2C351671" w14:textId="1C4AE93B" w:rsidR="004803D3" w:rsidRDefault="00A31419" w:rsidP="004803D3">
      <w:r w:rsidRPr="0021550A">
        <w:t xml:space="preserve">The text of the Liber Ultimus in the </w:t>
      </w:r>
      <w:r w:rsidRPr="0021550A">
        <w:rPr>
          <w:i/>
        </w:rPr>
        <w:t>Polychronicon</w:t>
      </w:r>
      <w:r w:rsidRPr="0021550A">
        <w:t xml:space="preserve"> is almost identical to the 1419 continuation of </w:t>
      </w:r>
      <w:r w:rsidRPr="0021550A">
        <w:rPr>
          <w:i/>
        </w:rPr>
        <w:t>Chronicles of England</w:t>
      </w:r>
      <w:r w:rsidR="00104CD2">
        <w:t>, Caxton’s version of the</w:t>
      </w:r>
      <w:r w:rsidRPr="0021550A">
        <w:t xml:space="preserve"> </w:t>
      </w:r>
      <w:r w:rsidR="00104CD2">
        <w:t xml:space="preserve">Middle English prose </w:t>
      </w:r>
      <w:r w:rsidR="00104CD2">
        <w:rPr>
          <w:i/>
        </w:rPr>
        <w:t xml:space="preserve">Brut </w:t>
      </w:r>
      <w:r w:rsidR="00104CD2">
        <w:t>chronicle</w:t>
      </w:r>
      <w:r w:rsidRPr="0021550A">
        <w:t xml:space="preserve">. Some scholars have argued that Caxton himself wrote the </w:t>
      </w:r>
      <w:r w:rsidRPr="00104CD2">
        <w:rPr>
          <w:iCs/>
        </w:rPr>
        <w:t>Liber Ultimus</w:t>
      </w:r>
      <w:r w:rsidRPr="00104CD2">
        <w:t> </w:t>
      </w:r>
      <w:r w:rsidRPr="0021550A">
        <w:t xml:space="preserve">for the </w:t>
      </w:r>
      <w:r w:rsidRPr="0021550A">
        <w:rPr>
          <w:i/>
        </w:rPr>
        <w:t>Polychronicon</w:t>
      </w:r>
      <w:r w:rsidR="004C392E">
        <w:t xml:space="preserve"> (see Blades </w:t>
      </w:r>
      <w:r w:rsidR="00104CD2">
        <w:t>(</w:t>
      </w:r>
      <w:r w:rsidR="004C392E">
        <w:t>1971</w:t>
      </w:r>
      <w:r w:rsidR="00104CD2">
        <w:t xml:space="preserve"> [1877]</w:t>
      </w:r>
      <w:r w:rsidR="004C392E">
        <w:t xml:space="preserve">: </w:t>
      </w:r>
      <w:r w:rsidR="004C392E" w:rsidRPr="004C392E">
        <w:t>255</w:t>
      </w:r>
      <w:r w:rsidR="00104CD2">
        <w:t>)</w:t>
      </w:r>
      <w:r w:rsidRPr="0021550A">
        <w:t xml:space="preserve">, in particular), but more recent research </w:t>
      </w:r>
      <w:r w:rsidR="004803D3">
        <w:t>has argued</w:t>
      </w:r>
      <w:r w:rsidR="00104CD2">
        <w:t xml:space="preserve"> that Caxton may have written the 1419 continuation to the </w:t>
      </w:r>
      <w:r w:rsidR="00104CD2">
        <w:rPr>
          <w:i/>
        </w:rPr>
        <w:t>Chronicles of England</w:t>
      </w:r>
      <w:r w:rsidR="00104CD2">
        <w:t xml:space="preserve">, which he then copied into the </w:t>
      </w:r>
      <w:r w:rsidR="00104CD2">
        <w:rPr>
          <w:i/>
        </w:rPr>
        <w:t>Polychronicon</w:t>
      </w:r>
      <w:r w:rsidR="004803D3">
        <w:t xml:space="preserve"> as the Liber Ultimus </w:t>
      </w:r>
      <w:r w:rsidR="004803D3" w:rsidRPr="004C392E">
        <w:t>(Blake 1991b:</w:t>
      </w:r>
      <w:r w:rsidR="004803D3">
        <w:t xml:space="preserve"> </w:t>
      </w:r>
      <w:r w:rsidR="004803D3" w:rsidRPr="004C392E">
        <w:t>116–7).</w:t>
      </w:r>
      <w:r w:rsidR="004803D3">
        <w:t xml:space="preserve"> W</w:t>
      </w:r>
      <w:r w:rsidRPr="0021550A">
        <w:t xml:space="preserve">hile the Liber Ultimus was likely copied from Caxton’s </w:t>
      </w:r>
      <w:r w:rsidRPr="0021550A">
        <w:rPr>
          <w:i/>
        </w:rPr>
        <w:t>Chronicles of England</w:t>
      </w:r>
      <w:r w:rsidRPr="0021550A">
        <w:t>, the question of who wrote the 1419 continuation of the</w:t>
      </w:r>
      <w:r w:rsidRPr="0021550A">
        <w:rPr>
          <w:i/>
        </w:rPr>
        <w:t xml:space="preserve"> Chronicles of England </w:t>
      </w:r>
      <w:r w:rsidRPr="0021550A">
        <w:t>has not been settled</w:t>
      </w:r>
      <w:r w:rsidRPr="0021550A">
        <w:rPr>
          <w:i/>
        </w:rPr>
        <w:t xml:space="preserve">. </w:t>
      </w:r>
      <w:r w:rsidRPr="0021550A">
        <w:t>Several scholars believe that Caxton was the author of the 1419 continuation.</w:t>
      </w:r>
      <w:r w:rsidRPr="0021550A">
        <w:rPr>
          <w:i/>
        </w:rPr>
        <w:t xml:space="preserve"> </w:t>
      </w:r>
      <w:r w:rsidRPr="0021550A">
        <w:t xml:space="preserve">Norman Blake writes that “The impression one gets from Caxton’s epilogue to book seven </w:t>
      </w:r>
      <w:r w:rsidRPr="0021550A">
        <w:lastRenderedPageBreak/>
        <w:t xml:space="preserve">is that he composed the Liber Ultimus himself” </w:t>
      </w:r>
      <w:r w:rsidR="004C392E" w:rsidRPr="004C392E">
        <w:t>(1969:</w:t>
      </w:r>
      <w:r w:rsidR="004C392E">
        <w:t xml:space="preserve"> </w:t>
      </w:r>
      <w:r w:rsidR="004C392E" w:rsidRPr="004C392E">
        <w:t>116),</w:t>
      </w:r>
      <w:r w:rsidRPr="0021550A">
        <w:t xml:space="preserve"> while Hellinga states that “in 1480 Caxton probably added a substantial section to the </w:t>
      </w:r>
      <w:r w:rsidRPr="0021550A">
        <w:rPr>
          <w:i/>
        </w:rPr>
        <w:t>Chronicles of England</w:t>
      </w:r>
      <w:r w:rsidRPr="0021550A">
        <w:t xml:space="preserve">, and the ‘Liber Ultimus’ of the </w:t>
      </w:r>
      <w:r w:rsidRPr="0021550A">
        <w:rPr>
          <w:i/>
        </w:rPr>
        <w:t>Polychronicon</w:t>
      </w:r>
      <w:r w:rsidRPr="0021550A">
        <w:t xml:space="preserve"> of </w:t>
      </w:r>
      <w:r w:rsidR="004C392E">
        <w:t>1482 is certainly from his hand</w:t>
      </w:r>
      <w:r w:rsidRPr="0021550A">
        <w:t xml:space="preserve">” </w:t>
      </w:r>
      <w:r w:rsidR="004C392E" w:rsidRPr="004C392E">
        <w:t>(2010:</w:t>
      </w:r>
      <w:r w:rsidR="004C392E">
        <w:t xml:space="preserve"> </w:t>
      </w:r>
      <w:r w:rsidR="004C392E" w:rsidRPr="004C392E">
        <w:t>109),</w:t>
      </w:r>
      <w:r w:rsidRPr="0021550A">
        <w:t xml:space="preserve"> and finally Matheson </w:t>
      </w:r>
      <w:r w:rsidR="004803D3" w:rsidRPr="004C392E">
        <w:t>(1985:</w:t>
      </w:r>
      <w:r w:rsidR="004803D3">
        <w:t xml:space="preserve"> 606) writes:</w:t>
      </w:r>
    </w:p>
    <w:p w14:paraId="2D6C06FD" w14:textId="77777777" w:rsidR="004803D3" w:rsidRDefault="004803D3" w:rsidP="004803D3"/>
    <w:p w14:paraId="5AD6F0B0" w14:textId="19A8558E" w:rsidR="00A31419" w:rsidRDefault="00A31419" w:rsidP="004803D3">
      <w:pPr>
        <w:spacing w:line="240" w:lineRule="auto"/>
        <w:ind w:left="720" w:firstLine="0"/>
      </w:pPr>
      <w:r w:rsidRPr="0021550A">
        <w:t>if we accept that Caxton was himself the compiler of the earlier continuation, then he may have been sufficiently satisfied with it to repeat it in the Liber Ultimus. If Caxton was the compiler of both parts of the Liber Ultimus, then his comments attributing authorship to himself can be accepted at face value as a quite a</w:t>
      </w:r>
      <w:r w:rsidR="004803D3">
        <w:t>ccurate reflection of the truth</w:t>
      </w:r>
      <w:r w:rsidRPr="0021550A">
        <w:t xml:space="preserve"> </w:t>
      </w:r>
    </w:p>
    <w:p w14:paraId="22EA82CA" w14:textId="77777777" w:rsidR="004803D3" w:rsidRPr="0021550A" w:rsidRDefault="004803D3" w:rsidP="004803D3">
      <w:pPr>
        <w:ind w:left="720" w:firstLine="0"/>
      </w:pPr>
    </w:p>
    <w:p w14:paraId="02DC8295" w14:textId="606CA91A" w:rsidR="00A31419" w:rsidRDefault="00A31419" w:rsidP="000737CB">
      <w:r w:rsidRPr="0021550A">
        <w:t xml:space="preserve">Previous analysis of the </w:t>
      </w:r>
      <w:r w:rsidRPr="0021550A">
        <w:rPr>
          <w:i/>
        </w:rPr>
        <w:t>Polychronicon</w:t>
      </w:r>
      <w:r w:rsidRPr="0021550A">
        <w:t xml:space="preserve"> in this thesis has explored the internal differences within the spellings of the text. In </w:t>
      </w:r>
      <w:r w:rsidR="00065720">
        <w:t xml:space="preserve">Section </w:t>
      </w:r>
      <w:r w:rsidR="00065720">
        <w:fldChar w:fldCharType="begin"/>
      </w:r>
      <w:r w:rsidR="00065720">
        <w:instrText xml:space="preserve"> REF _Ref495322729 \r </w:instrText>
      </w:r>
      <w:r w:rsidR="00065720">
        <w:fldChar w:fldCharType="separate"/>
      </w:r>
      <w:r w:rsidR="00D11844">
        <w:t>7.5.2</w:t>
      </w:r>
      <w:r w:rsidR="00065720">
        <w:fldChar w:fldCharType="end"/>
      </w:r>
      <w:r w:rsidRPr="0021550A">
        <w:t xml:space="preserve">, cluster analysis of the quires of the </w:t>
      </w:r>
      <w:r w:rsidRPr="0021550A">
        <w:rPr>
          <w:i/>
        </w:rPr>
        <w:t>Polychronicon</w:t>
      </w:r>
      <w:r w:rsidRPr="0021550A">
        <w:t xml:space="preserve"> groups the text into six clusters which correspond to the underlying structure of the text, </w:t>
      </w:r>
      <w:r w:rsidR="000E3CFC">
        <w:t>and the distribution into clusters is reprinted below</w:t>
      </w:r>
      <w:r w:rsidRPr="0021550A">
        <w:t xml:space="preserve"> in </w:t>
      </w:r>
      <w:r w:rsidR="002730C0">
        <w:t>Figure 9.6</w:t>
      </w:r>
      <w:r w:rsidRPr="0021550A">
        <w:t xml:space="preserve">. </w:t>
      </w:r>
    </w:p>
    <w:p w14:paraId="6388EFB3" w14:textId="77777777" w:rsidR="00BB2E53" w:rsidRPr="0021550A" w:rsidRDefault="00BB2E53" w:rsidP="000737CB"/>
    <w:p w14:paraId="608A3E28" w14:textId="5F5522B1" w:rsidR="00A31419" w:rsidRPr="0021550A" w:rsidRDefault="00A31419" w:rsidP="00BB2E53">
      <w:pPr>
        <w:ind w:firstLine="0"/>
      </w:pPr>
      <w:r w:rsidRPr="0021550A">
        <w:rPr>
          <w:noProof/>
          <w:lang w:eastAsia="en-GB"/>
        </w:rPr>
        <w:drawing>
          <wp:inline distT="0" distB="0" distL="0" distR="0" wp14:anchorId="0E1F196A" wp14:editId="70274085">
            <wp:extent cx="4985385" cy="1136410"/>
            <wp:effectExtent l="0" t="0" r="0" b="698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olychronicon k = 6 labelled.pdf"/>
                    <pic:cNvPicPr/>
                  </pic:nvPicPr>
                  <pic:blipFill rotWithShape="1">
                    <a:blip r:embed="rId84">
                      <a:extLst>
                        <a:ext uri="{28A0092B-C50C-407E-A947-70E740481C1C}">
                          <a14:useLocalDpi xmlns:a14="http://schemas.microsoft.com/office/drawing/2010/main"/>
                        </a:ext>
                      </a:extLst>
                    </a:blip>
                    <a:srcRect l="3145" t="38485" r="36384" b="37003"/>
                    <a:stretch/>
                  </pic:blipFill>
                  <pic:spPr bwMode="auto">
                    <a:xfrm>
                      <a:off x="0" y="0"/>
                      <a:ext cx="5036427" cy="1148045"/>
                    </a:xfrm>
                    <a:prstGeom prst="rect">
                      <a:avLst/>
                    </a:prstGeom>
                    <a:ln>
                      <a:noFill/>
                    </a:ln>
                    <a:extLst>
                      <a:ext uri="{53640926-AAD7-44D8-BBD7-CCE9431645EC}">
                        <a14:shadowObscured xmlns:a14="http://schemas.microsoft.com/office/drawing/2010/main"/>
                      </a:ext>
                    </a:extLst>
                  </pic:spPr>
                </pic:pic>
              </a:graphicData>
            </a:graphic>
          </wp:inline>
        </w:drawing>
      </w:r>
    </w:p>
    <w:p w14:paraId="327F6EEF" w14:textId="6FB65F02" w:rsidR="00A31419" w:rsidRPr="0021550A" w:rsidRDefault="00453776" w:rsidP="000737CB">
      <w:pPr>
        <w:pStyle w:val="Caption"/>
      </w:pPr>
      <w:bookmarkStart w:id="248" w:name="_Toc499753566"/>
      <w:r>
        <w:t>Figure 9.6:</w:t>
      </w:r>
      <w:r w:rsidR="00A31419" w:rsidRPr="00104CBE">
        <w:t xml:space="preserve"> </w:t>
      </w:r>
      <w:r w:rsidR="00104CBE" w:rsidRPr="00104CBE">
        <w:t>Clustering</w:t>
      </w:r>
      <w:r w:rsidR="00A31419" w:rsidRPr="0021550A">
        <w:t xml:space="preserve"> the </w:t>
      </w:r>
      <w:r w:rsidR="00A31419" w:rsidRPr="0021550A">
        <w:rPr>
          <w:i/>
        </w:rPr>
        <w:t>Polychronicon</w:t>
      </w:r>
      <w:r w:rsidR="003D0B11">
        <w:t>,</w:t>
      </w:r>
      <w:r w:rsidR="00A31419" w:rsidRPr="0021550A">
        <w:t xml:space="preserve"> </w:t>
      </w:r>
      <w:r w:rsidR="00A31419" w:rsidRPr="0021550A">
        <w:rPr>
          <w:i/>
        </w:rPr>
        <w:t>k</w:t>
      </w:r>
      <w:r w:rsidR="00A31419" w:rsidRPr="0021550A">
        <w:t xml:space="preserve"> = 6</w:t>
      </w:r>
      <w:bookmarkEnd w:id="248"/>
    </w:p>
    <w:p w14:paraId="5DCF8E9B" w14:textId="77777777" w:rsidR="00A31419" w:rsidRPr="0021550A" w:rsidRDefault="00A31419" w:rsidP="000737CB"/>
    <w:p w14:paraId="11DF2AAB" w14:textId="3F1EF7F7" w:rsidR="00365C34" w:rsidRPr="00365C34" w:rsidRDefault="00A31419" w:rsidP="000737CB">
      <w:r w:rsidRPr="0021550A">
        <w:t xml:space="preserve">The results from </w:t>
      </w:r>
      <w:r w:rsidR="004803D3">
        <w:t xml:space="preserve">Section </w:t>
      </w:r>
      <w:r w:rsidR="004803D3">
        <w:fldChar w:fldCharType="begin"/>
      </w:r>
      <w:r w:rsidR="004803D3">
        <w:instrText xml:space="preserve"> REF _Ref495322729 \r </w:instrText>
      </w:r>
      <w:r w:rsidR="004803D3">
        <w:fldChar w:fldCharType="separate"/>
      </w:r>
      <w:r w:rsidR="00D11844">
        <w:t>7.5.2</w:t>
      </w:r>
      <w:r w:rsidR="004803D3">
        <w:fldChar w:fldCharType="end"/>
      </w:r>
      <w:r w:rsidR="004803D3">
        <w:t xml:space="preserve"> </w:t>
      </w:r>
      <w:r w:rsidRPr="0021550A">
        <w:t xml:space="preserve">suggest that </w:t>
      </w:r>
      <w:r w:rsidR="004803D3">
        <w:t>the copy text may have been</w:t>
      </w:r>
      <w:r w:rsidRPr="0021550A">
        <w:t xml:space="preserve"> written by several different scribes and then put together to form a whole text. In </w:t>
      </w:r>
      <w:r w:rsidR="004803D3">
        <w:t xml:space="preserve">Section </w:t>
      </w:r>
      <w:r w:rsidR="004803D3">
        <w:fldChar w:fldCharType="begin"/>
      </w:r>
      <w:r w:rsidR="004803D3">
        <w:instrText xml:space="preserve"> REF _Ref497212201 \r </w:instrText>
      </w:r>
      <w:r w:rsidR="004803D3">
        <w:fldChar w:fldCharType="separate"/>
      </w:r>
      <w:r w:rsidR="00D11844">
        <w:t>8.3.3</w:t>
      </w:r>
      <w:r w:rsidR="004803D3">
        <w:fldChar w:fldCharType="end"/>
      </w:r>
      <w:r w:rsidRPr="0021550A">
        <w:t xml:space="preserve"> I showed </w:t>
      </w:r>
      <w:r w:rsidR="004803D3" w:rsidRPr="0021550A">
        <w:t xml:space="preserve">using similarity measurements </w:t>
      </w:r>
      <w:r w:rsidRPr="0021550A">
        <w:t xml:space="preserve">that it was unlikely that a change in compositors took place at the beginning of Quire 29, as suggested by Hellinga </w:t>
      </w:r>
      <w:r w:rsidR="004803D3">
        <w:t>and</w:t>
      </w:r>
      <w:r w:rsidRPr="0021550A">
        <w:t xml:space="preserve"> Painter in the </w:t>
      </w:r>
      <w:r w:rsidRPr="0021550A">
        <w:rPr>
          <w:i/>
        </w:rPr>
        <w:t>BMC</w:t>
      </w:r>
      <w:r w:rsidRPr="0021550A">
        <w:t xml:space="preserve">. </w:t>
      </w:r>
      <w:r w:rsidR="004803D3">
        <w:t xml:space="preserve">Instead, </w:t>
      </w:r>
      <w:r w:rsidR="00365C34">
        <w:t xml:space="preserve">it is more likely that the entirety of Cluster 3 of the </w:t>
      </w:r>
      <w:r w:rsidR="00365C34">
        <w:rPr>
          <w:i/>
        </w:rPr>
        <w:t>Polychronicon</w:t>
      </w:r>
      <w:r w:rsidR="00365C34">
        <w:t xml:space="preserve"> was typeset by one person. </w:t>
      </w:r>
    </w:p>
    <w:p w14:paraId="280384B4" w14:textId="38FB8D74" w:rsidR="00A31419" w:rsidRPr="0021550A" w:rsidRDefault="00365C34" w:rsidP="000737CB">
      <w:r>
        <w:t>The</w:t>
      </w:r>
      <w:r w:rsidR="00A31419" w:rsidRPr="0021550A">
        <w:t xml:space="preserve"> internal analysis of the </w:t>
      </w:r>
      <w:r w:rsidR="00A31419" w:rsidRPr="0021550A">
        <w:rPr>
          <w:i/>
        </w:rPr>
        <w:t>Polychronicon</w:t>
      </w:r>
      <w:r w:rsidR="00A31419" w:rsidRPr="0021550A">
        <w:t xml:space="preserve"> </w:t>
      </w:r>
      <w:r>
        <w:t xml:space="preserve">undertaken in Section </w:t>
      </w:r>
      <w:r>
        <w:fldChar w:fldCharType="begin"/>
      </w:r>
      <w:r>
        <w:instrText xml:space="preserve"> REF _Ref495322729 \r </w:instrText>
      </w:r>
      <w:r>
        <w:fldChar w:fldCharType="separate"/>
      </w:r>
      <w:r w:rsidR="00D11844">
        <w:t>7.5.2</w:t>
      </w:r>
      <w:r>
        <w:fldChar w:fldCharType="end"/>
      </w:r>
      <w:r>
        <w:t xml:space="preserve"> and Section </w:t>
      </w:r>
      <w:r>
        <w:fldChar w:fldCharType="begin"/>
      </w:r>
      <w:r>
        <w:instrText xml:space="preserve"> REF _Ref497212201 \r </w:instrText>
      </w:r>
      <w:r>
        <w:fldChar w:fldCharType="separate"/>
      </w:r>
      <w:r w:rsidR="00D11844">
        <w:t>8.3.3</w:t>
      </w:r>
      <w:r>
        <w:fldChar w:fldCharType="end"/>
      </w:r>
      <w:r>
        <w:t xml:space="preserve"> </w:t>
      </w:r>
      <w:r w:rsidR="00A31419" w:rsidRPr="0021550A">
        <w:t xml:space="preserve">has explored the levels of spelling variation within the text, and in doing so, shows how the text may have been typeset by one compositor using a copy text that includes the spellings from several people. This section aims to explore the extent to which Caxton was involved in the production of the text. This section is guided by two research questions that arose from the cluster </w:t>
      </w:r>
      <w:r w:rsidR="00374209">
        <w:t>analysis undertaken in Chapter 7</w:t>
      </w:r>
      <w:r w:rsidR="00A31419" w:rsidRPr="0021550A">
        <w:t xml:space="preserve">: </w:t>
      </w:r>
    </w:p>
    <w:p w14:paraId="2A06AE0E" w14:textId="59EBE3EA" w:rsidR="00A31419" w:rsidRPr="0021550A" w:rsidRDefault="00453776" w:rsidP="00374209">
      <w:pPr>
        <w:ind w:left="900" w:hanging="540"/>
      </w:pPr>
      <w:r>
        <w:t>I</w:t>
      </w:r>
      <w:r w:rsidR="00374209">
        <w:t>:</w:t>
      </w:r>
      <w:r w:rsidR="00374209">
        <w:tab/>
      </w:r>
      <w:r w:rsidR="00A31419" w:rsidRPr="0021550A">
        <w:t xml:space="preserve">Was Caxton the author of the Liber Ultimus in the </w:t>
      </w:r>
      <w:r w:rsidR="00A31419" w:rsidRPr="0021550A">
        <w:rPr>
          <w:i/>
        </w:rPr>
        <w:t>Polychronicon</w:t>
      </w:r>
      <w:r w:rsidR="00A31419" w:rsidRPr="0021550A">
        <w:t xml:space="preserve">? </w:t>
      </w:r>
    </w:p>
    <w:p w14:paraId="5D501F8F" w14:textId="49936957" w:rsidR="00A31419" w:rsidRPr="0021550A" w:rsidRDefault="00453776" w:rsidP="00374209">
      <w:pPr>
        <w:ind w:left="900" w:hanging="540"/>
      </w:pPr>
      <w:r>
        <w:lastRenderedPageBreak/>
        <w:t>J</w:t>
      </w:r>
      <w:r w:rsidR="00374209">
        <w:t>:</w:t>
      </w:r>
      <w:r w:rsidR="00374209">
        <w:tab/>
      </w:r>
      <w:r w:rsidR="00A31419" w:rsidRPr="0021550A">
        <w:t xml:space="preserve">Did Caxton write out the entirety of the </w:t>
      </w:r>
      <w:r w:rsidR="00A31419" w:rsidRPr="0021550A">
        <w:rPr>
          <w:i/>
        </w:rPr>
        <w:t>Polychronicon</w:t>
      </w:r>
      <w:r w:rsidR="00A31419" w:rsidRPr="0021550A">
        <w:t xml:space="preserve"> when preparing the text for printing?</w:t>
      </w:r>
    </w:p>
    <w:p w14:paraId="65D78DEF" w14:textId="1919098C" w:rsidR="00A31419" w:rsidRPr="0021550A" w:rsidRDefault="00A31419" w:rsidP="000737CB">
      <w:r w:rsidRPr="0021550A">
        <w:t xml:space="preserve">Cluster analysis of sections of the </w:t>
      </w:r>
      <w:r w:rsidRPr="0021550A">
        <w:rPr>
          <w:i/>
        </w:rPr>
        <w:t>Polychronicon</w:t>
      </w:r>
      <w:r w:rsidRPr="0021550A">
        <w:t xml:space="preserve"> against the wider dataset should provide enough information to allow us to explore these research questions further. In i</w:t>
      </w:r>
      <w:r w:rsidR="004803D3">
        <w:t xml:space="preserve">nvestigating Research Question </w:t>
      </w:r>
      <w:r w:rsidR="002730C0">
        <w:t>I</w:t>
      </w:r>
      <w:r w:rsidRPr="0021550A">
        <w:t xml:space="preserve"> we want to find out whether Caxton was the author of the Liber Ultimus. However, as the Liber Ultimus appears to have been copied from the 1419 continuation of Caxton’s print of the </w:t>
      </w:r>
      <w:r w:rsidRPr="0021550A">
        <w:rPr>
          <w:i/>
        </w:rPr>
        <w:t>Chronicles of England</w:t>
      </w:r>
      <w:r w:rsidRPr="0021550A">
        <w:t>, we are also exploring the extent to which Caxton wrote the continuation. We</w:t>
      </w:r>
      <w:r w:rsidR="004803D3">
        <w:t xml:space="preserve"> can explore Research Question </w:t>
      </w:r>
      <w:r w:rsidR="002730C0">
        <w:t>I</w:t>
      </w:r>
      <w:r w:rsidRPr="0021550A">
        <w:t xml:space="preserve"> by separating the Liber Ultimus from Book I to Book VII of the </w:t>
      </w:r>
      <w:r w:rsidRPr="0021550A">
        <w:rPr>
          <w:i/>
        </w:rPr>
        <w:t>Polychronicon</w:t>
      </w:r>
      <w:r w:rsidRPr="0021550A">
        <w:t xml:space="preserve"> and separating the 1419 continuation from the text up to 1419 of the </w:t>
      </w:r>
      <w:r w:rsidRPr="0021550A">
        <w:rPr>
          <w:i/>
        </w:rPr>
        <w:t>Chronicles of England</w:t>
      </w:r>
      <w:r w:rsidRPr="0021550A">
        <w:t xml:space="preserve">. By comparing these sections against the wider dataset, we can find out the extent to which either the Liber Ultimus or the 1419 continuation shows similarity with the texts that contain Caxton’s spellings. Once these shorter disputed sections are detached from their respective texts, we can cluster the dataset again, the results of which can be seen in </w:t>
      </w:r>
      <w:r w:rsidR="002730C0">
        <w:t>Figure 9.7</w:t>
      </w:r>
      <w:r w:rsidRPr="0021550A">
        <w:t>.</w:t>
      </w:r>
    </w:p>
    <w:p w14:paraId="196CF3A0" w14:textId="77777777" w:rsidR="00A31419" w:rsidRPr="0021550A" w:rsidRDefault="00A31419" w:rsidP="000737CB"/>
    <w:p w14:paraId="03CB06E3" w14:textId="7A58B2F6" w:rsidR="00A31419" w:rsidRPr="0021550A" w:rsidRDefault="00A31419" w:rsidP="00BB2E53">
      <w:pPr>
        <w:ind w:firstLine="0"/>
      </w:pPr>
      <w:r w:rsidRPr="0021550A">
        <w:rPr>
          <w:noProof/>
          <w:lang w:eastAsia="en-GB"/>
        </w:rPr>
        <w:drawing>
          <wp:inline distT="0" distB="0" distL="0" distR="0" wp14:anchorId="690D6F20" wp14:editId="1D2A1DB1">
            <wp:extent cx="4985385" cy="2838753"/>
            <wp:effectExtent l="0" t="0" r="0" b="635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olyChronicles highlighted.pdf"/>
                    <pic:cNvPicPr/>
                  </pic:nvPicPr>
                  <pic:blipFill rotWithShape="1">
                    <a:blip r:embed="rId88">
                      <a:extLst>
                        <a:ext uri="{28A0092B-C50C-407E-A947-70E740481C1C}">
                          <a14:useLocalDpi xmlns:a14="http://schemas.microsoft.com/office/drawing/2010/main"/>
                        </a:ext>
                      </a:extLst>
                    </a:blip>
                    <a:srcRect l="252" r="1950" b="1004"/>
                    <a:stretch/>
                  </pic:blipFill>
                  <pic:spPr bwMode="auto">
                    <a:xfrm>
                      <a:off x="0" y="0"/>
                      <a:ext cx="5013719" cy="2854887"/>
                    </a:xfrm>
                    <a:prstGeom prst="rect">
                      <a:avLst/>
                    </a:prstGeom>
                    <a:ln>
                      <a:noFill/>
                    </a:ln>
                    <a:extLst>
                      <a:ext uri="{53640926-AAD7-44D8-BBD7-CCE9431645EC}">
                        <a14:shadowObscured xmlns:a14="http://schemas.microsoft.com/office/drawing/2010/main"/>
                      </a:ext>
                    </a:extLst>
                  </pic:spPr>
                </pic:pic>
              </a:graphicData>
            </a:graphic>
          </wp:inline>
        </w:drawing>
      </w:r>
    </w:p>
    <w:p w14:paraId="42C7391C" w14:textId="77DE2C74" w:rsidR="00A31419" w:rsidRDefault="00453776" w:rsidP="00104CBE">
      <w:pPr>
        <w:pStyle w:val="Caption"/>
      </w:pPr>
      <w:bookmarkStart w:id="249" w:name="_Toc499753567"/>
      <w:r>
        <w:t>Figure 9.7:</w:t>
      </w:r>
      <w:r w:rsidR="00A31419" w:rsidRPr="0021550A">
        <w:t xml:space="preserve"> Hierarchical clustering </w:t>
      </w:r>
      <w:r w:rsidR="00104CBE">
        <w:t xml:space="preserve">of </w:t>
      </w:r>
      <w:r w:rsidR="00A31419" w:rsidRPr="0021550A">
        <w:t>the Liber Ultimus and the 1419 continuation</w:t>
      </w:r>
      <w:bookmarkEnd w:id="249"/>
    </w:p>
    <w:p w14:paraId="398A013F" w14:textId="77777777" w:rsidR="00104CBE" w:rsidRPr="00104CBE" w:rsidRDefault="00104CBE" w:rsidP="00104CBE"/>
    <w:p w14:paraId="6FE6C415" w14:textId="37C45E4F" w:rsidR="00A31419" w:rsidRPr="0021550A" w:rsidRDefault="002730C0" w:rsidP="000737CB">
      <w:r>
        <w:t>Figure 9.7</w:t>
      </w:r>
      <w:r w:rsidR="00A31419" w:rsidRPr="0021550A">
        <w:t xml:space="preserve"> shows the clustering of all the texts in the wider dataset, where the </w:t>
      </w:r>
      <w:r w:rsidR="00A31419" w:rsidRPr="0021550A">
        <w:rPr>
          <w:i/>
        </w:rPr>
        <w:t>Polychronicon</w:t>
      </w:r>
      <w:r w:rsidR="00A31419" w:rsidRPr="0021550A">
        <w:t xml:space="preserve"> has been divided into the Liber Ultimus and Book I to VII, and the </w:t>
      </w:r>
      <w:r w:rsidR="00A31419" w:rsidRPr="0021550A">
        <w:rPr>
          <w:i/>
        </w:rPr>
        <w:t>Chronicles of England</w:t>
      </w:r>
      <w:r w:rsidR="00A31419" w:rsidRPr="0021550A">
        <w:t xml:space="preserve"> has been divided into the text up to 1419 and the 1419 continuation that brings the text up to 1461. The two sections of the </w:t>
      </w:r>
      <w:r w:rsidR="00A31419" w:rsidRPr="0021550A">
        <w:rPr>
          <w:i/>
        </w:rPr>
        <w:t xml:space="preserve">Polychronicon </w:t>
      </w:r>
      <w:r w:rsidR="00A31419" w:rsidRPr="0021550A">
        <w:t xml:space="preserve">are grouped into one cluster alongside </w:t>
      </w:r>
      <w:r w:rsidR="00A31419" w:rsidRPr="0021550A">
        <w:rPr>
          <w:i/>
        </w:rPr>
        <w:t>Life of our Lady</w:t>
      </w:r>
      <w:r w:rsidR="00A31419" w:rsidRPr="0021550A">
        <w:t xml:space="preserve"> and the </w:t>
      </w:r>
      <w:r w:rsidR="00A31419" w:rsidRPr="0021550A">
        <w:rPr>
          <w:i/>
        </w:rPr>
        <w:t>Confessio Amantis</w:t>
      </w:r>
      <w:r w:rsidR="00A31419" w:rsidRPr="0021550A">
        <w:t xml:space="preserve">, while the two sections of the </w:t>
      </w:r>
      <w:r w:rsidR="00A31419" w:rsidRPr="0021550A">
        <w:rPr>
          <w:i/>
        </w:rPr>
        <w:t>Chronicles of England</w:t>
      </w:r>
      <w:r w:rsidR="00A31419" w:rsidRPr="0021550A">
        <w:t xml:space="preserve"> are in a separate group with the </w:t>
      </w:r>
      <w:r w:rsidR="00A31419" w:rsidRPr="0021550A">
        <w:rPr>
          <w:i/>
        </w:rPr>
        <w:t xml:space="preserve">Description of </w:t>
      </w:r>
      <w:r w:rsidR="00A31419" w:rsidRPr="0021550A">
        <w:rPr>
          <w:i/>
        </w:rPr>
        <w:lastRenderedPageBreak/>
        <w:t>Britain</w:t>
      </w:r>
      <w:r w:rsidR="00A31419" w:rsidRPr="0021550A">
        <w:t xml:space="preserve">. We might expect the </w:t>
      </w:r>
      <w:r w:rsidR="00A31419" w:rsidRPr="0021550A">
        <w:rPr>
          <w:i/>
        </w:rPr>
        <w:t>Chronicles of England</w:t>
      </w:r>
      <w:r w:rsidR="00A31419" w:rsidRPr="0021550A">
        <w:t xml:space="preserve"> to be grouped with the </w:t>
      </w:r>
      <w:r w:rsidR="00A31419" w:rsidRPr="0021550A">
        <w:rPr>
          <w:i/>
        </w:rPr>
        <w:t>Description of Britain</w:t>
      </w:r>
      <w:r w:rsidR="00A31419" w:rsidRPr="0021550A">
        <w:t xml:space="preserve">, because the </w:t>
      </w:r>
      <w:r w:rsidR="00A31419" w:rsidRPr="0021550A">
        <w:rPr>
          <w:i/>
        </w:rPr>
        <w:t>Description of Britain</w:t>
      </w:r>
      <w:r w:rsidR="00A31419" w:rsidRPr="0021550A">
        <w:t xml:space="preserve"> is a combination of text from the </w:t>
      </w:r>
      <w:r w:rsidR="00A31419" w:rsidRPr="0021550A">
        <w:rPr>
          <w:i/>
        </w:rPr>
        <w:t>Polychronicon</w:t>
      </w:r>
      <w:r w:rsidR="00A31419" w:rsidRPr="0021550A">
        <w:t xml:space="preserve"> and Caxton’s edition of the </w:t>
      </w:r>
      <w:r w:rsidR="00A31419" w:rsidRPr="0021550A">
        <w:rPr>
          <w:i/>
        </w:rPr>
        <w:t>Chronicles of England</w:t>
      </w:r>
      <w:r w:rsidR="00A31419" w:rsidRPr="0021550A">
        <w:t>.</w:t>
      </w:r>
    </w:p>
    <w:p w14:paraId="02FD3C77" w14:textId="030F2F53" w:rsidR="00A31419" w:rsidRPr="0021550A" w:rsidRDefault="000F60F9" w:rsidP="000737CB">
      <w:pPr>
        <w:rPr>
          <w:i/>
        </w:rPr>
      </w:pPr>
      <w:r>
        <w:t>The</w:t>
      </w:r>
      <w:r w:rsidR="00A31419" w:rsidRPr="0021550A">
        <w:t xml:space="preserve"> results </w:t>
      </w:r>
      <w:r>
        <w:t xml:space="preserve">in </w:t>
      </w:r>
      <w:r w:rsidR="002730C0">
        <w:t xml:space="preserve">Figure 9.7 </w:t>
      </w:r>
      <w:r w:rsidR="00A31419" w:rsidRPr="0021550A">
        <w:t xml:space="preserve">suggest that it is unlikely that Caxton wrote the 1419 continuation </w:t>
      </w:r>
      <w:r w:rsidR="00CE5478">
        <w:t>or</w:t>
      </w:r>
      <w:r w:rsidR="00A31419" w:rsidRPr="0021550A">
        <w:t xml:space="preserve"> the Liber Ultimus. The cluster analysis shows that very similar spellings are found in the two sections of the </w:t>
      </w:r>
      <w:r w:rsidR="00A31419" w:rsidRPr="0021550A">
        <w:rPr>
          <w:i/>
        </w:rPr>
        <w:t>Chronicles of England</w:t>
      </w:r>
      <w:r w:rsidR="00A31419" w:rsidRPr="0021550A">
        <w:t xml:space="preserve"> in the section up to up to 1419 and the 1419 continuation; had Caxton written the 1419 continuation himself we would expect some of Caxton’s spellings would remain in the printed text</w:t>
      </w:r>
      <w:r>
        <w:t>, and perhaps for the continuation to group with the texts that Caxton translated</w:t>
      </w:r>
      <w:r w:rsidR="00A31419" w:rsidRPr="0021550A">
        <w:t xml:space="preserve">. The spellings in the 1419 continuation appear to match the spellings used in the rest of the </w:t>
      </w:r>
      <w:r w:rsidR="00A31419" w:rsidRPr="0021550A">
        <w:rPr>
          <w:i/>
        </w:rPr>
        <w:t>Chronicles of England</w:t>
      </w:r>
      <w:r w:rsidR="00A31419" w:rsidRPr="0021550A">
        <w:t>, which—being based on a manuscript from the fourteenth-century—Caxton certainly did not write. Additionally, we would expect the 1419 continuation and the Liber Ultimus to cluster together because both should share a common copy text,</w:t>
      </w:r>
      <w:r>
        <w:t xml:space="preserve"> but this is also not the case.</w:t>
      </w:r>
      <w:r w:rsidR="000372E1">
        <w:t xml:space="preserve"> Because the 1419 continuation does not cluster alongside the Liber Ultimus, but instead clusters with the rest of the </w:t>
      </w:r>
      <w:r w:rsidR="000372E1">
        <w:rPr>
          <w:i/>
        </w:rPr>
        <w:t>Chronicles of England</w:t>
      </w:r>
      <w:r w:rsidR="000372E1">
        <w:t xml:space="preserve">, it is unlikely that Caxton wrote the continuation. </w:t>
      </w:r>
    </w:p>
    <w:p w14:paraId="480544D2" w14:textId="789734FA" w:rsidR="00A31419" w:rsidRPr="0021550A" w:rsidRDefault="00A31419" w:rsidP="000737CB">
      <w:r w:rsidRPr="0021550A">
        <w:t xml:space="preserve">We can demonstrate further the unlikeliness that Caxton authored the 1419 continuation/Liber Ultimus using similarity measurements. If Caxton had written the 1419 continuation, we would expect the Liber Ultimus and the 1419 continuation to show a fairly high similarity, though tempered by differences in compositor. We would also expect </w:t>
      </w:r>
      <w:r w:rsidR="000372E1">
        <w:t>dissimilarity between</w:t>
      </w:r>
      <w:r w:rsidRPr="0021550A">
        <w:t xml:space="preserve"> the Liber Ultimus and the rest of the </w:t>
      </w:r>
      <w:r w:rsidRPr="0021550A">
        <w:rPr>
          <w:i/>
        </w:rPr>
        <w:t>Polychronicon</w:t>
      </w:r>
      <w:r w:rsidRPr="0021550A">
        <w:t xml:space="preserve">, and the 1419 continuation and the rest of the </w:t>
      </w:r>
      <w:r w:rsidRPr="0021550A">
        <w:rPr>
          <w:i/>
        </w:rPr>
        <w:t>Chronicles of England</w:t>
      </w:r>
      <w:r w:rsidR="000372E1">
        <w:t xml:space="preserve">; had Caxton written the 1419 continuation then the compositors must have used different copy texts for the continuation and the rest of the </w:t>
      </w:r>
      <w:r w:rsidR="000372E1">
        <w:rPr>
          <w:i/>
        </w:rPr>
        <w:t>Chronicles of England</w:t>
      </w:r>
      <w:r w:rsidRPr="0021550A">
        <w:t xml:space="preserve">. However, neither of these scenarios is the case as we can see from the data in </w:t>
      </w:r>
      <w:r w:rsidR="002730C0">
        <w:t>Table 9.8</w:t>
      </w:r>
      <w:r w:rsidRPr="0021550A">
        <w:t>.</w:t>
      </w:r>
    </w:p>
    <w:p w14:paraId="0D2E10D9" w14:textId="77777777" w:rsidR="00A31419" w:rsidRPr="0021550A" w:rsidRDefault="00A31419" w:rsidP="000737CB"/>
    <w:tbl>
      <w:tblPr>
        <w:tblStyle w:val="GridTable1Light1"/>
        <w:tblW w:w="0" w:type="auto"/>
        <w:tblLook w:val="04A0" w:firstRow="1" w:lastRow="0" w:firstColumn="1" w:lastColumn="0" w:noHBand="0" w:noVBand="1"/>
      </w:tblPr>
      <w:tblGrid>
        <w:gridCol w:w="2624"/>
        <w:gridCol w:w="3044"/>
        <w:gridCol w:w="2190"/>
      </w:tblGrid>
      <w:tr w:rsidR="003D0B11" w:rsidRPr="0021550A" w14:paraId="7C5B12CD" w14:textId="77777777" w:rsidTr="003D0B11">
        <w:trPr>
          <w:cnfStyle w:val="100000000000" w:firstRow="1" w:lastRow="0" w:firstColumn="0" w:lastColumn="0" w:oddVBand="0" w:evenVBand="0" w:oddHBand="0"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2624" w:type="dxa"/>
            <w:vAlign w:val="center"/>
          </w:tcPr>
          <w:p w14:paraId="3B49162C" w14:textId="77777777" w:rsidR="00A31419" w:rsidRPr="00E11434" w:rsidRDefault="00A31419" w:rsidP="00BB2E53">
            <w:pPr>
              <w:ind w:firstLine="0"/>
              <w:jc w:val="center"/>
            </w:pPr>
            <w:r w:rsidRPr="00E11434">
              <w:t>Text compared</w:t>
            </w:r>
          </w:p>
        </w:tc>
        <w:tc>
          <w:tcPr>
            <w:tcW w:w="3044" w:type="dxa"/>
            <w:vAlign w:val="center"/>
          </w:tcPr>
          <w:p w14:paraId="7DE45871" w14:textId="77777777" w:rsidR="00A31419" w:rsidRPr="00E11434" w:rsidRDefault="00A31419" w:rsidP="00BB2E53">
            <w:pPr>
              <w:ind w:firstLine="0"/>
              <w:jc w:val="center"/>
              <w:cnfStyle w:val="100000000000" w:firstRow="1" w:lastRow="0" w:firstColumn="0" w:lastColumn="0" w:oddVBand="0" w:evenVBand="0" w:oddHBand="0" w:evenHBand="0" w:firstRowFirstColumn="0" w:firstRowLastColumn="0" w:lastRowFirstColumn="0" w:lastRowLastColumn="0"/>
            </w:pPr>
            <w:r w:rsidRPr="00E11434">
              <w:t>Text compared</w:t>
            </w:r>
          </w:p>
        </w:tc>
        <w:tc>
          <w:tcPr>
            <w:tcW w:w="2190" w:type="dxa"/>
            <w:vAlign w:val="center"/>
          </w:tcPr>
          <w:p w14:paraId="3C21EBAD" w14:textId="77777777" w:rsidR="00A31419" w:rsidRPr="00E11434" w:rsidRDefault="00A31419" w:rsidP="00BB2E53">
            <w:pPr>
              <w:ind w:firstLine="0"/>
              <w:jc w:val="center"/>
              <w:cnfStyle w:val="100000000000" w:firstRow="1" w:lastRow="0" w:firstColumn="0" w:lastColumn="0" w:oddVBand="0" w:evenVBand="0" w:oddHBand="0" w:evenHBand="0" w:firstRowFirstColumn="0" w:firstRowLastColumn="0" w:lastRowFirstColumn="0" w:lastRowLastColumn="0"/>
            </w:pPr>
            <w:r w:rsidRPr="00E11434">
              <w:t>Similarity score</w:t>
            </w:r>
          </w:p>
        </w:tc>
      </w:tr>
      <w:tr w:rsidR="003D0B11" w:rsidRPr="0021550A" w14:paraId="3720B62E" w14:textId="77777777" w:rsidTr="000F60F9">
        <w:trPr>
          <w:trHeight w:val="440"/>
        </w:trPr>
        <w:tc>
          <w:tcPr>
            <w:cnfStyle w:val="001000000000" w:firstRow="0" w:lastRow="0" w:firstColumn="1" w:lastColumn="0" w:oddVBand="0" w:evenVBand="0" w:oddHBand="0" w:evenHBand="0" w:firstRowFirstColumn="0" w:firstRowLastColumn="0" w:lastRowFirstColumn="0" w:lastRowLastColumn="0"/>
            <w:tcW w:w="2624" w:type="dxa"/>
            <w:shd w:val="clear" w:color="auto" w:fill="FFF2CC" w:themeFill="accent4" w:themeFillTint="33"/>
            <w:vAlign w:val="center"/>
          </w:tcPr>
          <w:p w14:paraId="4CED4333" w14:textId="77777777" w:rsidR="00A31419" w:rsidRPr="00AF58D5" w:rsidRDefault="00A31419" w:rsidP="00BB2E53">
            <w:pPr>
              <w:ind w:firstLine="0"/>
              <w:jc w:val="center"/>
              <w:rPr>
                <w:b w:val="0"/>
              </w:rPr>
            </w:pPr>
            <w:r w:rsidRPr="00AF58D5">
              <w:rPr>
                <w:b w:val="0"/>
              </w:rPr>
              <w:t>Liber Ultimus</w:t>
            </w:r>
          </w:p>
        </w:tc>
        <w:tc>
          <w:tcPr>
            <w:tcW w:w="3044" w:type="dxa"/>
            <w:shd w:val="clear" w:color="auto" w:fill="FFF2CC" w:themeFill="accent4" w:themeFillTint="33"/>
            <w:vAlign w:val="center"/>
          </w:tcPr>
          <w:p w14:paraId="4537D7C4" w14:textId="77777777" w:rsidR="00A31419" w:rsidRPr="0021550A" w:rsidRDefault="00A31419" w:rsidP="00BB2E53">
            <w:pPr>
              <w:ind w:firstLine="0"/>
              <w:jc w:val="center"/>
              <w:cnfStyle w:val="000000000000" w:firstRow="0" w:lastRow="0" w:firstColumn="0" w:lastColumn="0" w:oddVBand="0" w:evenVBand="0" w:oddHBand="0" w:evenHBand="0" w:firstRowFirstColumn="0" w:firstRowLastColumn="0" w:lastRowFirstColumn="0" w:lastRowLastColumn="0"/>
            </w:pPr>
            <w:r w:rsidRPr="0021550A">
              <w:t>1419 Continuation</w:t>
            </w:r>
          </w:p>
        </w:tc>
        <w:tc>
          <w:tcPr>
            <w:tcW w:w="2190" w:type="dxa"/>
            <w:shd w:val="clear" w:color="auto" w:fill="FFF2CC" w:themeFill="accent4" w:themeFillTint="33"/>
            <w:vAlign w:val="center"/>
          </w:tcPr>
          <w:p w14:paraId="0A5D44AF" w14:textId="77777777" w:rsidR="00A31419" w:rsidRPr="0021550A" w:rsidRDefault="00A31419" w:rsidP="00BB2E53">
            <w:pPr>
              <w:ind w:firstLine="0"/>
              <w:jc w:val="center"/>
              <w:cnfStyle w:val="000000000000" w:firstRow="0" w:lastRow="0" w:firstColumn="0" w:lastColumn="0" w:oddVBand="0" w:evenVBand="0" w:oddHBand="0" w:evenHBand="0" w:firstRowFirstColumn="0" w:firstRowLastColumn="0" w:lastRowFirstColumn="0" w:lastRowLastColumn="0"/>
            </w:pPr>
            <w:r w:rsidRPr="0021550A">
              <w:t>0.69</w:t>
            </w:r>
          </w:p>
        </w:tc>
      </w:tr>
      <w:tr w:rsidR="003D0B11" w:rsidRPr="0021550A" w14:paraId="7014233C" w14:textId="77777777" w:rsidTr="003D0B11">
        <w:trPr>
          <w:trHeight w:val="440"/>
        </w:trPr>
        <w:tc>
          <w:tcPr>
            <w:cnfStyle w:val="001000000000" w:firstRow="0" w:lastRow="0" w:firstColumn="1" w:lastColumn="0" w:oddVBand="0" w:evenVBand="0" w:oddHBand="0" w:evenHBand="0" w:firstRowFirstColumn="0" w:firstRowLastColumn="0" w:lastRowFirstColumn="0" w:lastRowLastColumn="0"/>
            <w:tcW w:w="2624" w:type="dxa"/>
            <w:vAlign w:val="center"/>
          </w:tcPr>
          <w:p w14:paraId="7CF9DCEC" w14:textId="77777777" w:rsidR="00A31419" w:rsidRPr="00AF58D5" w:rsidRDefault="00A31419" w:rsidP="00BB2E53">
            <w:pPr>
              <w:ind w:firstLine="0"/>
              <w:jc w:val="center"/>
              <w:rPr>
                <w:b w:val="0"/>
              </w:rPr>
            </w:pPr>
            <w:r w:rsidRPr="00AF58D5">
              <w:rPr>
                <w:b w:val="0"/>
              </w:rPr>
              <w:t>Liber Ultimus</w:t>
            </w:r>
          </w:p>
        </w:tc>
        <w:tc>
          <w:tcPr>
            <w:tcW w:w="3044" w:type="dxa"/>
            <w:vAlign w:val="center"/>
          </w:tcPr>
          <w:p w14:paraId="189D3E40" w14:textId="77777777" w:rsidR="00A31419" w:rsidRPr="0021550A" w:rsidRDefault="00A31419" w:rsidP="00BB2E53">
            <w:pPr>
              <w:ind w:firstLine="0"/>
              <w:jc w:val="center"/>
              <w:cnfStyle w:val="000000000000" w:firstRow="0" w:lastRow="0" w:firstColumn="0" w:lastColumn="0" w:oddVBand="0" w:evenVBand="0" w:oddHBand="0" w:evenHBand="0" w:firstRowFirstColumn="0" w:firstRowLastColumn="0" w:lastRowFirstColumn="0" w:lastRowLastColumn="0"/>
            </w:pPr>
            <w:r w:rsidRPr="0021550A">
              <w:t>Polychronicon Books I to VII</w:t>
            </w:r>
          </w:p>
        </w:tc>
        <w:tc>
          <w:tcPr>
            <w:tcW w:w="2190" w:type="dxa"/>
            <w:vAlign w:val="center"/>
          </w:tcPr>
          <w:p w14:paraId="6369E21B" w14:textId="77777777" w:rsidR="00A31419" w:rsidRPr="0021550A" w:rsidRDefault="00A31419" w:rsidP="00BB2E53">
            <w:pPr>
              <w:ind w:firstLine="0"/>
              <w:jc w:val="center"/>
              <w:cnfStyle w:val="000000000000" w:firstRow="0" w:lastRow="0" w:firstColumn="0" w:lastColumn="0" w:oddVBand="0" w:evenVBand="0" w:oddHBand="0" w:evenHBand="0" w:firstRowFirstColumn="0" w:firstRowLastColumn="0" w:lastRowFirstColumn="0" w:lastRowLastColumn="0"/>
            </w:pPr>
            <w:r w:rsidRPr="0021550A">
              <w:t>0.91</w:t>
            </w:r>
          </w:p>
        </w:tc>
      </w:tr>
      <w:tr w:rsidR="003D0B11" w:rsidRPr="0021550A" w14:paraId="3EF9D563" w14:textId="77777777" w:rsidTr="003D0B11">
        <w:trPr>
          <w:trHeight w:val="440"/>
        </w:trPr>
        <w:tc>
          <w:tcPr>
            <w:cnfStyle w:val="001000000000" w:firstRow="0" w:lastRow="0" w:firstColumn="1" w:lastColumn="0" w:oddVBand="0" w:evenVBand="0" w:oddHBand="0" w:evenHBand="0" w:firstRowFirstColumn="0" w:firstRowLastColumn="0" w:lastRowFirstColumn="0" w:lastRowLastColumn="0"/>
            <w:tcW w:w="2624" w:type="dxa"/>
            <w:vAlign w:val="center"/>
          </w:tcPr>
          <w:p w14:paraId="4F98B78C" w14:textId="5E140DDC" w:rsidR="00A31419" w:rsidRPr="00AF58D5" w:rsidRDefault="00A31419" w:rsidP="00BB2E53">
            <w:pPr>
              <w:ind w:firstLine="0"/>
              <w:jc w:val="center"/>
              <w:rPr>
                <w:b w:val="0"/>
              </w:rPr>
            </w:pPr>
            <w:r w:rsidRPr="00AF58D5">
              <w:rPr>
                <w:b w:val="0"/>
              </w:rPr>
              <w:t>1419 Continuation</w:t>
            </w:r>
          </w:p>
        </w:tc>
        <w:tc>
          <w:tcPr>
            <w:tcW w:w="3044" w:type="dxa"/>
            <w:vAlign w:val="center"/>
          </w:tcPr>
          <w:p w14:paraId="30C64E5A" w14:textId="77777777" w:rsidR="00A31419" w:rsidRPr="0021550A" w:rsidRDefault="00A31419" w:rsidP="00BB2E53">
            <w:pPr>
              <w:ind w:firstLine="0"/>
              <w:jc w:val="center"/>
              <w:cnfStyle w:val="000000000000" w:firstRow="0" w:lastRow="0" w:firstColumn="0" w:lastColumn="0" w:oddVBand="0" w:evenVBand="0" w:oddHBand="0" w:evenHBand="0" w:firstRowFirstColumn="0" w:firstRowLastColumn="0" w:lastRowFirstColumn="0" w:lastRowLastColumn="0"/>
            </w:pPr>
            <w:r w:rsidRPr="0021550A">
              <w:t>Chronicles of England to 1419</w:t>
            </w:r>
          </w:p>
        </w:tc>
        <w:tc>
          <w:tcPr>
            <w:tcW w:w="2190" w:type="dxa"/>
            <w:vAlign w:val="center"/>
          </w:tcPr>
          <w:p w14:paraId="42B89A07" w14:textId="77777777" w:rsidR="00A31419" w:rsidRPr="0021550A" w:rsidRDefault="00A31419" w:rsidP="00BB2E53">
            <w:pPr>
              <w:ind w:firstLine="0"/>
              <w:jc w:val="center"/>
              <w:cnfStyle w:val="000000000000" w:firstRow="0" w:lastRow="0" w:firstColumn="0" w:lastColumn="0" w:oddVBand="0" w:evenVBand="0" w:oddHBand="0" w:evenHBand="0" w:firstRowFirstColumn="0" w:firstRowLastColumn="0" w:lastRowFirstColumn="0" w:lastRowLastColumn="0"/>
            </w:pPr>
            <w:r w:rsidRPr="0021550A">
              <w:t>0.93</w:t>
            </w:r>
          </w:p>
        </w:tc>
      </w:tr>
    </w:tbl>
    <w:p w14:paraId="117BFE73" w14:textId="4EEC8291" w:rsidR="00A31419" w:rsidRPr="0021550A" w:rsidRDefault="00453776" w:rsidP="000737CB">
      <w:pPr>
        <w:pStyle w:val="Caption"/>
      </w:pPr>
      <w:bookmarkStart w:id="250" w:name="_Toc499753498"/>
      <w:r>
        <w:t>Table 9.8:</w:t>
      </w:r>
      <w:r w:rsidR="00A31419" w:rsidRPr="0021550A">
        <w:t xml:space="preserve"> Similarity </w:t>
      </w:r>
      <w:r w:rsidR="003D0B11">
        <w:t>of</w:t>
      </w:r>
      <w:r w:rsidR="00A31419" w:rsidRPr="0021550A">
        <w:t xml:space="preserve"> the Liber Ultimus and the 1419 continuation</w:t>
      </w:r>
      <w:bookmarkEnd w:id="250"/>
    </w:p>
    <w:p w14:paraId="5CDD4031" w14:textId="77777777" w:rsidR="00A31419" w:rsidRPr="0021550A" w:rsidRDefault="00A31419" w:rsidP="000737CB"/>
    <w:p w14:paraId="31B3EA03" w14:textId="77777777" w:rsidR="000F60F9" w:rsidRDefault="00A31419" w:rsidP="000737CB">
      <w:r w:rsidRPr="0021550A">
        <w:t xml:space="preserve">Where we would have expected the extended texts that Caxton allegedly wrote to be highly similar, instead the Liber Ultimus and the 1419 continuation have a similarity score of 0.69, which is far lower than any text that has the same underlying copy text or the same author of the copy text. Furthermore, where we would have expected a greater </w:t>
      </w:r>
      <w:r w:rsidRPr="0021550A">
        <w:lastRenderedPageBreak/>
        <w:t xml:space="preserve">dissimilarity between the original texts of the </w:t>
      </w:r>
      <w:r w:rsidRPr="0021550A">
        <w:rPr>
          <w:i/>
        </w:rPr>
        <w:t>Chronicles of England</w:t>
      </w:r>
      <w:r w:rsidRPr="0021550A">
        <w:t xml:space="preserve"> and the </w:t>
      </w:r>
      <w:r w:rsidRPr="0021550A">
        <w:rPr>
          <w:i/>
        </w:rPr>
        <w:t>Polychronicon</w:t>
      </w:r>
      <w:r w:rsidRPr="0021550A">
        <w:t xml:space="preserve"> and Caxton’s extension</w:t>
      </w:r>
      <w:r w:rsidR="000F60F9">
        <w:t>. I</w:t>
      </w:r>
      <w:r w:rsidRPr="0021550A">
        <w:t xml:space="preserve">nstead both texts show a very high similarity score of over 0.9. </w:t>
      </w:r>
    </w:p>
    <w:p w14:paraId="56C803D9" w14:textId="611AAD5E" w:rsidR="000F60F9" w:rsidRDefault="00A31419" w:rsidP="000737CB">
      <w:r w:rsidRPr="0021550A">
        <w:t xml:space="preserve">The similarity score for the </w:t>
      </w:r>
      <w:r w:rsidRPr="0021550A">
        <w:rPr>
          <w:i/>
        </w:rPr>
        <w:t>Chronicles of England</w:t>
      </w:r>
      <w:r w:rsidRPr="0021550A">
        <w:t xml:space="preserve"> up to 1419 and the 1419 continuation is in line with the similarity of spellings in a text where the copy text and the compositor is the same throughout</w:t>
      </w:r>
      <w:r w:rsidR="000372E1">
        <w:t>. This result suggests that the manuscript used by Caxton came with the 1419 continuation already attached, and within the copy text the text up to 1419 and the continuation were both written by the same scribe</w:t>
      </w:r>
      <w:r w:rsidRPr="0021550A">
        <w:t xml:space="preserve">. Though the similarity score is a little lower, the same is true for the </w:t>
      </w:r>
      <w:r w:rsidRPr="0021550A">
        <w:rPr>
          <w:i/>
        </w:rPr>
        <w:t>Polychronicon</w:t>
      </w:r>
      <w:r w:rsidRPr="0021550A">
        <w:t xml:space="preserve"> up to the end of Book VII compared against the Liber Ultimus. </w:t>
      </w:r>
    </w:p>
    <w:p w14:paraId="2EF47D68" w14:textId="3B25692F" w:rsidR="00A31419" w:rsidRPr="0021550A" w:rsidRDefault="00A31419" w:rsidP="000737CB">
      <w:r w:rsidRPr="0021550A">
        <w:t xml:space="preserve">At this point, the available information is insufficient to say </w:t>
      </w:r>
      <w:r w:rsidR="00C87163" w:rsidRPr="0021550A">
        <w:t>whether</w:t>
      </w:r>
      <w:r w:rsidRPr="0021550A">
        <w:t xml:space="preserve"> Caxton wrote the </w:t>
      </w:r>
      <w:r w:rsidRPr="0021550A">
        <w:rPr>
          <w:i/>
        </w:rPr>
        <w:t>Polychronicon</w:t>
      </w:r>
      <w:r w:rsidRPr="0021550A">
        <w:t xml:space="preserve"> out in full, but the information about the authorship of the Liber Ultimus and the 1419 continuation is less ambiguous. This data strongly suggests that Caxton was not the author of the 1419 continuation of the </w:t>
      </w:r>
      <w:r w:rsidRPr="0021550A">
        <w:rPr>
          <w:i/>
        </w:rPr>
        <w:t>Chronicles of England</w:t>
      </w:r>
      <w:r w:rsidRPr="0021550A">
        <w:t xml:space="preserve">, and the copy text of the </w:t>
      </w:r>
      <w:r w:rsidRPr="0021550A">
        <w:rPr>
          <w:i/>
        </w:rPr>
        <w:t xml:space="preserve">Chronicles of England </w:t>
      </w:r>
      <w:r w:rsidRPr="0021550A">
        <w:t xml:space="preserve">that Caxton printed from came with the 1419 continuation as part of the manuscript. </w:t>
      </w:r>
    </w:p>
    <w:p w14:paraId="49731B8A" w14:textId="77777777" w:rsidR="00A31419" w:rsidRPr="0021550A" w:rsidRDefault="00A31419" w:rsidP="000737CB"/>
    <w:p w14:paraId="5FF45941" w14:textId="2D3A3107" w:rsidR="00A31419" w:rsidRPr="0021550A" w:rsidRDefault="00A31419" w:rsidP="000737CB">
      <w:pPr>
        <w:pStyle w:val="Heading2"/>
      </w:pPr>
      <w:bookmarkStart w:id="251" w:name="_Ref492564875"/>
      <w:bookmarkStart w:id="252" w:name="_Toc497899883"/>
      <w:r w:rsidRPr="0021550A">
        <w:t xml:space="preserve">Unstable clustering: </w:t>
      </w:r>
      <w:r w:rsidRPr="00AF58D5">
        <w:rPr>
          <w:i/>
        </w:rPr>
        <w:t>Paris and Vienne</w:t>
      </w:r>
      <w:bookmarkEnd w:id="251"/>
      <w:bookmarkEnd w:id="252"/>
      <w:r w:rsidRPr="0021550A">
        <w:t xml:space="preserve"> </w:t>
      </w:r>
    </w:p>
    <w:p w14:paraId="3C110C26" w14:textId="0345D066" w:rsidR="00A31419" w:rsidRPr="0021550A" w:rsidRDefault="00A31419" w:rsidP="000737CB">
      <w:r w:rsidRPr="0021550A">
        <w:t xml:space="preserve">The text of </w:t>
      </w:r>
      <w:r w:rsidRPr="0021550A">
        <w:rPr>
          <w:i/>
        </w:rPr>
        <w:t>Paris and Vienne</w:t>
      </w:r>
      <w:r w:rsidRPr="0021550A">
        <w:t xml:space="preserve"> does not always cluster with the same texts. Of the four clusters that the wider dataset formed in Section </w:t>
      </w:r>
      <w:r w:rsidR="00E12429">
        <w:fldChar w:fldCharType="begin"/>
      </w:r>
      <w:r w:rsidR="00E12429">
        <w:instrText xml:space="preserve"> REF _Ref492570566 \r </w:instrText>
      </w:r>
      <w:r w:rsidR="00E12429">
        <w:fldChar w:fldCharType="separate"/>
      </w:r>
      <w:r w:rsidR="00D11844">
        <w:t>9.1</w:t>
      </w:r>
      <w:r w:rsidR="00E12429">
        <w:fldChar w:fldCharType="end"/>
      </w:r>
      <w:r w:rsidRPr="0021550A">
        <w:t xml:space="preserve">, </w:t>
      </w:r>
      <w:r w:rsidRPr="0021550A">
        <w:rPr>
          <w:i/>
        </w:rPr>
        <w:t>Paris and Vienne</w:t>
      </w:r>
      <w:r w:rsidRPr="0021550A">
        <w:t xml:space="preserve"> has been clustered into two of those four when clustered against the wider dataset and smaller sections of text. When the cluster analysis is undertaken on whole texts alone, </w:t>
      </w:r>
      <w:r w:rsidRPr="0021550A">
        <w:rPr>
          <w:i/>
        </w:rPr>
        <w:t>Paris and Vienne</w:t>
      </w:r>
      <w:r w:rsidRPr="0021550A">
        <w:t xml:space="preserve"> is clustered with the texts that are translated by Caxton, such as the </w:t>
      </w:r>
      <w:r w:rsidRPr="0021550A">
        <w:rPr>
          <w:i/>
        </w:rPr>
        <w:t>Book of Good Manners</w:t>
      </w:r>
      <w:r w:rsidRPr="0021550A">
        <w:t xml:space="preserve"> and the </w:t>
      </w:r>
      <w:r w:rsidRPr="0021550A">
        <w:rPr>
          <w:i/>
        </w:rPr>
        <w:t>Game of Chess</w:t>
      </w:r>
      <w:r w:rsidRPr="0021550A">
        <w:t xml:space="preserve">, demonstrated in </w:t>
      </w:r>
      <w:r w:rsidR="002730C0">
        <w:t>Figure 9.9</w:t>
      </w:r>
      <w:r w:rsidRPr="0021550A">
        <w:t>.</w:t>
      </w:r>
    </w:p>
    <w:p w14:paraId="40E619B4" w14:textId="77777777" w:rsidR="00134872" w:rsidRPr="0021550A" w:rsidRDefault="00134872" w:rsidP="00134872">
      <w:r w:rsidRPr="0021550A">
        <w:t xml:space="preserve">When the whole texts only are used for clustering, </w:t>
      </w:r>
      <w:r w:rsidRPr="0021550A">
        <w:rPr>
          <w:i/>
        </w:rPr>
        <w:t xml:space="preserve">Paris and Vienne </w:t>
      </w:r>
      <w:r w:rsidRPr="0021550A">
        <w:t xml:space="preserve">is clustered into the group of texts that were translated by Caxton. </w:t>
      </w:r>
      <w:r>
        <w:t xml:space="preserve">However </w:t>
      </w:r>
      <w:r>
        <w:rPr>
          <w:i/>
        </w:rPr>
        <w:t>Paris and Vienne</w:t>
      </w:r>
      <w:r w:rsidRPr="0021550A">
        <w:t xml:space="preserve"> is not central to the cluster formed by Caxton’s translated texts. While we cannot visualise the cluster analysis for the whole texts because of the number of dimensions involved, </w:t>
      </w:r>
      <w:r w:rsidRPr="0021550A">
        <w:rPr>
          <w:i/>
        </w:rPr>
        <w:t>Paris and Vienne</w:t>
      </w:r>
      <w:r w:rsidRPr="0021550A">
        <w:t xml:space="preserve"> is a peripheral member of the cluster formed by the texts translated by Caxton. </w:t>
      </w:r>
      <w:r>
        <w:t>We know that</w:t>
      </w:r>
      <w:r w:rsidRPr="0021550A">
        <w:t xml:space="preserve"> that </w:t>
      </w:r>
      <w:r w:rsidRPr="0021550A">
        <w:rPr>
          <w:i/>
        </w:rPr>
        <w:t>Paris and Vienne</w:t>
      </w:r>
      <w:r w:rsidRPr="0021550A">
        <w:t xml:space="preserve"> is not central to the cluster, because in </w:t>
      </w:r>
      <w:r>
        <w:fldChar w:fldCharType="begin"/>
      </w:r>
      <w:r>
        <w:instrText xml:space="preserve"> REF _Ref492569313 </w:instrText>
      </w:r>
      <w:r>
        <w:fldChar w:fldCharType="separate"/>
      </w:r>
      <w:r w:rsidR="00D11844" w:rsidRPr="0021550A">
        <w:t xml:space="preserve">Figure </w:t>
      </w:r>
      <w:r w:rsidR="00D11844">
        <w:rPr>
          <w:noProof/>
        </w:rPr>
        <w:t>9</w:t>
      </w:r>
      <w:r w:rsidR="00D11844">
        <w:t>.</w:t>
      </w:r>
      <w:r w:rsidR="00D11844">
        <w:rPr>
          <w:noProof/>
        </w:rPr>
        <w:t>6</w:t>
      </w:r>
      <w:r>
        <w:rPr>
          <w:noProof/>
        </w:rPr>
        <w:fldChar w:fldCharType="end"/>
      </w:r>
      <w:r w:rsidRPr="0021550A">
        <w:t xml:space="preserve"> the distance between </w:t>
      </w:r>
      <w:r w:rsidRPr="0021550A">
        <w:rPr>
          <w:i/>
        </w:rPr>
        <w:t>Paris and Vienne</w:t>
      </w:r>
      <w:r w:rsidRPr="0021550A">
        <w:t xml:space="preserve"> and the branch that joins the text to the rest of the cluster is not very long</w:t>
      </w:r>
      <w:r>
        <w:t>, and therefore the text is not entirely dissimilar to the next nearest cluster</w:t>
      </w:r>
      <w:r w:rsidRPr="0021550A">
        <w:t xml:space="preserve">. Other more central texts to the cluster, such as the </w:t>
      </w:r>
      <w:r w:rsidRPr="0021550A">
        <w:rPr>
          <w:i/>
        </w:rPr>
        <w:t>Book of Good Manners</w:t>
      </w:r>
      <w:r w:rsidRPr="0021550A">
        <w:t xml:space="preserve"> have a far greater distance between the point at which the parent branch to the cluster divides at the point of the text. Because </w:t>
      </w:r>
      <w:r w:rsidRPr="0021550A">
        <w:rPr>
          <w:i/>
        </w:rPr>
        <w:t>Paris and Vienne</w:t>
      </w:r>
      <w:r w:rsidRPr="0021550A">
        <w:t xml:space="preserve"> is a peripheral text, the text could easily be grouped in with another cluster depending on the spellings that are used as input for the </w:t>
      </w:r>
      <w:r w:rsidRPr="0021550A">
        <w:lastRenderedPageBreak/>
        <w:t xml:space="preserve">cluster analysis. The movement of </w:t>
      </w:r>
      <w:r w:rsidRPr="0021550A">
        <w:rPr>
          <w:i/>
        </w:rPr>
        <w:t>Paris and Vienne</w:t>
      </w:r>
      <w:r w:rsidRPr="0021550A">
        <w:t xml:space="preserve"> into another nearby cluster is exactly what happens when the number of spellings is reduced on clustering smaller sections of text. </w:t>
      </w:r>
    </w:p>
    <w:p w14:paraId="750BD91B" w14:textId="77777777" w:rsidR="00A31419" w:rsidRPr="0021550A" w:rsidRDefault="00A31419" w:rsidP="000737CB"/>
    <w:p w14:paraId="6294CFB3" w14:textId="56B959A9" w:rsidR="00A31419" w:rsidRPr="0021550A" w:rsidRDefault="00A31419" w:rsidP="00AF58D5">
      <w:pPr>
        <w:ind w:firstLine="0"/>
      </w:pPr>
      <w:r w:rsidRPr="0021550A">
        <w:rPr>
          <w:noProof/>
          <w:lang w:eastAsia="en-GB"/>
        </w:rPr>
        <w:drawing>
          <wp:inline distT="0" distB="0" distL="0" distR="0" wp14:anchorId="74335E3D" wp14:editId="51A8507F">
            <wp:extent cx="5024161" cy="3147206"/>
            <wp:effectExtent l="0" t="0" r="5080" b="254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aris whole texts highlighted.pdf"/>
                    <pic:cNvPicPr/>
                  </pic:nvPicPr>
                  <pic:blipFill rotWithShape="1">
                    <a:blip r:embed="rId89">
                      <a:extLst>
                        <a:ext uri="{28A0092B-C50C-407E-A947-70E740481C1C}">
                          <a14:useLocalDpi xmlns:a14="http://schemas.microsoft.com/office/drawing/2010/main"/>
                        </a:ext>
                      </a:extLst>
                    </a:blip>
                    <a:srcRect r="14221" b="4478"/>
                    <a:stretch/>
                  </pic:blipFill>
                  <pic:spPr bwMode="auto">
                    <a:xfrm>
                      <a:off x="0" y="0"/>
                      <a:ext cx="5053507" cy="3165589"/>
                    </a:xfrm>
                    <a:prstGeom prst="rect">
                      <a:avLst/>
                    </a:prstGeom>
                    <a:ln>
                      <a:noFill/>
                    </a:ln>
                    <a:extLst>
                      <a:ext uri="{53640926-AAD7-44D8-BBD7-CCE9431645EC}">
                        <a14:shadowObscured xmlns:a14="http://schemas.microsoft.com/office/drawing/2010/main"/>
                      </a:ext>
                    </a:extLst>
                  </pic:spPr>
                </pic:pic>
              </a:graphicData>
            </a:graphic>
          </wp:inline>
        </w:drawing>
      </w:r>
    </w:p>
    <w:p w14:paraId="01F0FFA4" w14:textId="70476CA7" w:rsidR="00A31419" w:rsidRPr="0021550A" w:rsidRDefault="00453776" w:rsidP="000737CB">
      <w:pPr>
        <w:pStyle w:val="Caption"/>
      </w:pPr>
      <w:bookmarkStart w:id="253" w:name="_Ref498701674"/>
      <w:bookmarkStart w:id="254" w:name="_Toc499753568"/>
      <w:r>
        <w:t>Figure 9.9:</w:t>
      </w:r>
      <w:r w:rsidR="00A31419" w:rsidRPr="0021550A">
        <w:t xml:space="preserve"> Clustering </w:t>
      </w:r>
      <w:r w:rsidR="00A31419" w:rsidRPr="0021550A">
        <w:rPr>
          <w:i/>
        </w:rPr>
        <w:t>Paris and Vienne</w:t>
      </w:r>
      <w:r w:rsidR="00A31419" w:rsidRPr="0021550A">
        <w:t xml:space="preserve"> with texts that were translated by Caxton</w:t>
      </w:r>
      <w:bookmarkEnd w:id="253"/>
      <w:bookmarkEnd w:id="254"/>
    </w:p>
    <w:p w14:paraId="158BE27D" w14:textId="77777777" w:rsidR="00A31419" w:rsidRPr="0021550A" w:rsidRDefault="00A31419" w:rsidP="000737CB"/>
    <w:p w14:paraId="0739E952" w14:textId="730B64DE" w:rsidR="00134872" w:rsidRPr="0021550A" w:rsidRDefault="00134872" w:rsidP="00134872">
      <w:r>
        <w:t xml:space="preserve">In </w:t>
      </w:r>
      <w:r w:rsidR="002730C0">
        <w:t>Figure 9.10</w:t>
      </w:r>
      <w:r w:rsidR="001C3F00">
        <w:rPr>
          <w:noProof/>
        </w:rPr>
        <w:t>, below,</w:t>
      </w:r>
      <w:r w:rsidRPr="0021550A">
        <w:t xml:space="preserve"> </w:t>
      </w:r>
      <w:r>
        <w:t xml:space="preserve">where smaller sections of text are included in the analysis, </w:t>
      </w:r>
      <w:r w:rsidRPr="0021550A">
        <w:rPr>
          <w:i/>
        </w:rPr>
        <w:t>Paris and Vienne</w:t>
      </w:r>
      <w:r w:rsidRPr="0021550A">
        <w:t xml:space="preserve"> is </w:t>
      </w:r>
      <w:r>
        <w:t xml:space="preserve">grouped in with different texts compared with the clustering of texts in </w:t>
      </w:r>
      <w:r w:rsidR="002730C0">
        <w:t xml:space="preserve">Figure 9.9 </w:t>
      </w:r>
      <w:r>
        <w:t>which only includes full texts</w:t>
      </w:r>
      <w:r w:rsidRPr="0021550A">
        <w:t>.</w:t>
      </w:r>
      <w:r w:rsidRPr="005C54CE">
        <w:rPr>
          <w:rStyle w:val="FootnoteReference"/>
        </w:rPr>
        <w:footnoteReference w:id="17"/>
      </w:r>
      <w:r w:rsidRPr="0021550A">
        <w:t xml:space="preserve"> </w:t>
      </w:r>
      <w:r>
        <w:t xml:space="preserve">There is a difference in the number of spellings included in the analysis when clustering is undertaken with full texts in </w:t>
      </w:r>
      <w:r w:rsidR="002730C0">
        <w:t xml:space="preserve">Figure 9.9 </w:t>
      </w:r>
      <w:r>
        <w:t xml:space="preserve">and </w:t>
      </w:r>
      <w:r w:rsidR="002730C0">
        <w:t>Figure 9.10</w:t>
      </w:r>
      <w:r w:rsidRPr="0021550A">
        <w:t xml:space="preserve"> </w:t>
      </w:r>
      <w:r>
        <w:t xml:space="preserve">where smaller sections of text are included in the analysis. This difference in the spellings included in the analysis causes </w:t>
      </w:r>
      <w:r>
        <w:rPr>
          <w:i/>
        </w:rPr>
        <w:t>Paris and Vienne</w:t>
      </w:r>
      <w:r>
        <w:t xml:space="preserve"> to move between clusters when </w:t>
      </w:r>
      <w:r w:rsidRPr="0021550A">
        <w:t xml:space="preserve">the texts—or parts of the text—used for clustering are changed. In Section </w:t>
      </w:r>
      <w:r>
        <w:fldChar w:fldCharType="begin"/>
      </w:r>
      <w:r>
        <w:instrText xml:space="preserve"> REF _Ref492475903 \r </w:instrText>
      </w:r>
      <w:r>
        <w:fldChar w:fldCharType="separate"/>
      </w:r>
      <w:r w:rsidR="00D11844">
        <w:t>5.5.2</w:t>
      </w:r>
      <w:r>
        <w:fldChar w:fldCharType="end"/>
      </w:r>
      <w:r w:rsidRPr="0021550A">
        <w:t xml:space="preserve">, I talked about the number of spellings that were included in the cluster analysis in detail. In order to cluster whole texts, the words that are included in the analysis must appear in each text, or section of text, undergoing clustering in at least one orthographic form. For example, to consider the spelling variants for </w:t>
      </w:r>
      <w:r w:rsidRPr="0021550A">
        <w:rPr>
          <w:smallCaps/>
        </w:rPr>
        <w:t xml:space="preserve">through, </w:t>
      </w:r>
      <w:r w:rsidRPr="0021550A">
        <w:t xml:space="preserve">each text must contain at least one spelling variant for </w:t>
      </w:r>
      <w:r w:rsidRPr="0021550A">
        <w:rPr>
          <w:smallCaps/>
        </w:rPr>
        <w:t>through</w:t>
      </w:r>
      <w:r w:rsidRPr="0021550A">
        <w:t xml:space="preserve">, although it is not necessary that the same variants </w:t>
      </w:r>
      <w:r>
        <w:t>are</w:t>
      </w:r>
      <w:r w:rsidRPr="0021550A">
        <w:t xml:space="preserve"> used in each text. When clustering whole texts, </w:t>
      </w:r>
      <w:r w:rsidRPr="0021550A">
        <w:lastRenderedPageBreak/>
        <w:t xml:space="preserve">the number of spellings included in the analysis is higher, because there are more distinct words that appear in whole texts than there are distinct words that appear in shorter sections within a whole text. The reduced number of words in shorter sections of text relative to the number of distinct words in whole texts becomes relevant when we begin to use sections of text in the cluster analysis. For example, there are 424 words that appear in every text in the Caxton dataset, but when we include the 1419 continuation from the </w:t>
      </w:r>
      <w:r w:rsidRPr="0021550A">
        <w:rPr>
          <w:i/>
        </w:rPr>
        <w:t>Chronicles of England</w:t>
      </w:r>
      <w:r w:rsidRPr="0021550A">
        <w:t xml:space="preserve"> and the Liber Ultimus from the </w:t>
      </w:r>
      <w:r w:rsidRPr="0021550A">
        <w:rPr>
          <w:i/>
        </w:rPr>
        <w:t>Polychronicon</w:t>
      </w:r>
      <w:r w:rsidRPr="0021550A">
        <w:t xml:space="preserve"> as separate entities, there are 341 words that appear in all the texts and the subsections for these texts. This reduction in the number of spellings that are taken into consideration has a direct effect on which cluster </w:t>
      </w:r>
      <w:r w:rsidRPr="0021550A">
        <w:rPr>
          <w:i/>
        </w:rPr>
        <w:t>Paris and Vienne</w:t>
      </w:r>
      <w:r w:rsidRPr="0021550A">
        <w:t xml:space="preserve"> falls in to.</w:t>
      </w:r>
    </w:p>
    <w:p w14:paraId="7125F7E9" w14:textId="77777777" w:rsidR="00A31419" w:rsidRPr="0021550A" w:rsidRDefault="00A31419" w:rsidP="000737CB"/>
    <w:p w14:paraId="58A491B1" w14:textId="3EEBCF63" w:rsidR="00A31419" w:rsidRPr="0021550A" w:rsidRDefault="00A31419" w:rsidP="00AF58D5">
      <w:pPr>
        <w:ind w:firstLine="0"/>
      </w:pPr>
      <w:r w:rsidRPr="0021550A">
        <w:rPr>
          <w:noProof/>
          <w:lang w:eastAsia="en-GB"/>
        </w:rPr>
        <w:drawing>
          <wp:inline distT="0" distB="0" distL="0" distR="0" wp14:anchorId="029B0D2E" wp14:editId="160C0183">
            <wp:extent cx="4985385" cy="2830222"/>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aris part texts again highlighted.pdf"/>
                    <pic:cNvPicPr/>
                  </pic:nvPicPr>
                  <pic:blipFill rotWithShape="1">
                    <a:blip r:embed="rId90">
                      <a:extLst>
                        <a:ext uri="{28A0092B-C50C-407E-A947-70E740481C1C}">
                          <a14:useLocalDpi xmlns:a14="http://schemas.microsoft.com/office/drawing/2010/main"/>
                        </a:ext>
                      </a:extLst>
                    </a:blip>
                    <a:srcRect r="4928" b="4053"/>
                    <a:stretch/>
                  </pic:blipFill>
                  <pic:spPr bwMode="auto">
                    <a:xfrm>
                      <a:off x="0" y="0"/>
                      <a:ext cx="5040264" cy="2861377"/>
                    </a:xfrm>
                    <a:prstGeom prst="rect">
                      <a:avLst/>
                    </a:prstGeom>
                    <a:ln>
                      <a:noFill/>
                    </a:ln>
                    <a:extLst>
                      <a:ext uri="{53640926-AAD7-44D8-BBD7-CCE9431645EC}">
                        <a14:shadowObscured xmlns:a14="http://schemas.microsoft.com/office/drawing/2010/main"/>
                      </a:ext>
                    </a:extLst>
                  </pic:spPr>
                </pic:pic>
              </a:graphicData>
            </a:graphic>
          </wp:inline>
        </w:drawing>
      </w:r>
    </w:p>
    <w:p w14:paraId="3C760A71" w14:textId="52B7D598" w:rsidR="00A31419" w:rsidRPr="0021550A" w:rsidRDefault="00453776" w:rsidP="000737CB">
      <w:pPr>
        <w:pStyle w:val="Caption"/>
      </w:pPr>
      <w:bookmarkStart w:id="255" w:name="_Toc499753569"/>
      <w:r>
        <w:t>Figure 9.10:</w:t>
      </w:r>
      <w:r w:rsidR="00A31419" w:rsidRPr="0021550A">
        <w:t xml:space="preserve"> </w:t>
      </w:r>
      <w:r w:rsidR="003D0B11">
        <w:t xml:space="preserve">Clustering </w:t>
      </w:r>
      <w:r w:rsidR="00A31419" w:rsidRPr="0021550A">
        <w:rPr>
          <w:i/>
        </w:rPr>
        <w:t>Paris and Vienne</w:t>
      </w:r>
      <w:r w:rsidR="00A31419" w:rsidRPr="0021550A">
        <w:t xml:space="preserve"> </w:t>
      </w:r>
      <w:r w:rsidR="003D0B11">
        <w:t>with reduced number of spellings</w:t>
      </w:r>
      <w:bookmarkEnd w:id="255"/>
    </w:p>
    <w:p w14:paraId="177B7469" w14:textId="77777777" w:rsidR="00A31419" w:rsidRPr="0021550A" w:rsidRDefault="00A31419" w:rsidP="000737CB"/>
    <w:p w14:paraId="34FEFE2A" w14:textId="77777777" w:rsidR="00073E0D" w:rsidRDefault="00A31419" w:rsidP="000737CB">
      <w:r w:rsidRPr="00BF7BD1">
        <w:t>Paris</w:t>
      </w:r>
      <w:r w:rsidRPr="0021550A">
        <w:rPr>
          <w:i/>
        </w:rPr>
        <w:t xml:space="preserve"> and Vienne</w:t>
      </w:r>
      <w:r w:rsidRPr="0021550A">
        <w:t xml:space="preserve"> is similar to both the cluster comprised of texts that were translated by Caxton and the texts in the neighbouring cluster, which includes </w:t>
      </w:r>
      <w:r w:rsidRPr="0021550A">
        <w:rPr>
          <w:i/>
        </w:rPr>
        <w:t>Troilus and Criseyde</w:t>
      </w:r>
      <w:r w:rsidRPr="0021550A">
        <w:t xml:space="preserve"> and </w:t>
      </w:r>
      <w:r w:rsidRPr="0021550A">
        <w:rPr>
          <w:i/>
        </w:rPr>
        <w:t>Life of our Lady</w:t>
      </w:r>
      <w:r w:rsidRPr="0021550A">
        <w:t xml:space="preserve">. Because of the similarities that </w:t>
      </w:r>
      <w:r w:rsidRPr="0021550A">
        <w:rPr>
          <w:i/>
        </w:rPr>
        <w:t>Paris and Vienne</w:t>
      </w:r>
      <w:r w:rsidRPr="0021550A">
        <w:t xml:space="preserve"> has to both groups, the text might be grouped into one cluster or the other</w:t>
      </w:r>
      <w:r w:rsidR="00073E0D" w:rsidRPr="00073E0D">
        <w:t xml:space="preserve"> </w:t>
      </w:r>
      <w:r w:rsidR="00073E0D" w:rsidRPr="0021550A">
        <w:t>depending on which spellings are taken into consideration</w:t>
      </w:r>
      <w:r w:rsidRPr="0021550A">
        <w:t xml:space="preserve">. When whole texts are used for the cluster analysis, a greater number of words form the input for the analysis, and these words include function words and a wider set of fairly high frequency words that are used in all the texts. However, when smaller sections of text are included in the cluster analysis, the words that are included in the cluster analysis include function words, </w:t>
      </w:r>
      <w:r w:rsidR="00571A85">
        <w:t>but</w:t>
      </w:r>
      <w:r w:rsidRPr="0021550A">
        <w:t xml:space="preserve"> far fewer other high frequency words. </w:t>
      </w:r>
    </w:p>
    <w:p w14:paraId="4CB05601" w14:textId="35695884" w:rsidR="00A31419" w:rsidRPr="0021550A" w:rsidRDefault="00A31419" w:rsidP="000737CB">
      <w:r w:rsidRPr="0021550A">
        <w:lastRenderedPageBreak/>
        <w:t xml:space="preserve">When we cluster </w:t>
      </w:r>
      <w:r w:rsidRPr="0021550A">
        <w:rPr>
          <w:i/>
        </w:rPr>
        <w:t>Paris and Vienne</w:t>
      </w:r>
      <w:r w:rsidRPr="0021550A">
        <w:t xml:space="preserve"> with segments of other texts, such as the Liber Ultimus, we limit the analysis to mainly function words. In this case, we can draw the conclusion that the spellings of function words in </w:t>
      </w:r>
      <w:r w:rsidRPr="0021550A">
        <w:rPr>
          <w:i/>
        </w:rPr>
        <w:t>Paris and Vienne</w:t>
      </w:r>
      <w:r w:rsidRPr="0021550A">
        <w:t xml:space="preserve"> is slightly more similar to the function word spellings in </w:t>
      </w:r>
      <w:r w:rsidRPr="0021550A">
        <w:rPr>
          <w:i/>
        </w:rPr>
        <w:t>Troilus and Criseyde</w:t>
      </w:r>
      <w:r w:rsidRPr="0021550A">
        <w:t xml:space="preserve"> and </w:t>
      </w:r>
      <w:r w:rsidRPr="0021550A">
        <w:rPr>
          <w:i/>
        </w:rPr>
        <w:t>Life of our Lady</w:t>
      </w:r>
      <w:r w:rsidRPr="0021550A">
        <w:t xml:space="preserve"> than in the other texts that were translated by Caxton. However, as discussed in Section </w:t>
      </w:r>
      <w:r w:rsidR="00E12429">
        <w:fldChar w:fldCharType="begin"/>
      </w:r>
      <w:r w:rsidR="00E12429">
        <w:instrText xml:space="preserve"> REF _Ref492475903 \r </w:instrText>
      </w:r>
      <w:r w:rsidR="00E12429">
        <w:fldChar w:fldCharType="separate"/>
      </w:r>
      <w:r w:rsidR="00D11844">
        <w:t>5.5.2</w:t>
      </w:r>
      <w:r w:rsidR="00E12429">
        <w:fldChar w:fldCharType="end"/>
      </w:r>
      <w:r w:rsidRPr="0021550A">
        <w:t xml:space="preserve">, function words are not the best set of words to base an analysis of spellings on, because function words do not exhibit the same spelling variation as other classes of words. The most accurate cluster analysis result is one which is undertaken with the maximum number of words available, without causing other methodological issues. </w:t>
      </w:r>
    </w:p>
    <w:p w14:paraId="0ACDA00C" w14:textId="5D264F55" w:rsidR="008A769C" w:rsidRDefault="00A31419" w:rsidP="00CD104C">
      <w:r w:rsidRPr="0021550A">
        <w:t xml:space="preserve">We can find out which cluster </w:t>
      </w:r>
      <w:r w:rsidRPr="0021550A">
        <w:rPr>
          <w:i/>
        </w:rPr>
        <w:t>Paris and Vienne</w:t>
      </w:r>
      <w:r w:rsidRPr="0021550A">
        <w:t xml:space="preserve"> is most suited to by measuring the similarity of spellings used in the text against other texts printed by Caxton. The similarity measurements can provide supporting information in this case, because similarity measurements are able to take more spellings into account than cluster analysis. The method of cluster analysis that I have used for this chapter requires each word in the analysis to be included in every text being analysed</w:t>
      </w:r>
      <w:r w:rsidR="00073E0D">
        <w:t xml:space="preserve"> (discussed in further detail in Section </w:t>
      </w:r>
      <w:r w:rsidR="00073E0D">
        <w:fldChar w:fldCharType="begin"/>
      </w:r>
      <w:r w:rsidR="00073E0D">
        <w:instrText xml:space="preserve"> REF _Ref497743535 \r </w:instrText>
      </w:r>
      <w:r w:rsidR="00073E0D">
        <w:fldChar w:fldCharType="separate"/>
      </w:r>
      <w:r w:rsidR="00D11844">
        <w:t>5.5</w:t>
      </w:r>
      <w:r w:rsidR="00073E0D">
        <w:fldChar w:fldCharType="end"/>
      </w:r>
      <w:r w:rsidR="00073E0D">
        <w:t>)</w:t>
      </w:r>
      <w:r w:rsidRPr="0021550A">
        <w:t xml:space="preserve">. The same is true for the cosine similarity measure—each word must be used in both texts being compared. However, the difference is that the cosine similarity measure only compares two texts, or two sections of text, whereas the cluster analysis considers many texts. When we compare </w:t>
      </w:r>
      <w:r w:rsidRPr="0021550A">
        <w:rPr>
          <w:i/>
        </w:rPr>
        <w:t>Paris and Vienne</w:t>
      </w:r>
      <w:r w:rsidRPr="0021550A">
        <w:t xml:space="preserve"> against individual texts, more words are likely to be common to </w:t>
      </w:r>
      <w:r w:rsidRPr="0021550A">
        <w:rPr>
          <w:i/>
        </w:rPr>
        <w:t>Paris and Vienne</w:t>
      </w:r>
      <w:r w:rsidRPr="0021550A">
        <w:t xml:space="preserve"> and the </w:t>
      </w:r>
      <w:r w:rsidRPr="0021550A">
        <w:rPr>
          <w:i/>
        </w:rPr>
        <w:t>Polychronicon</w:t>
      </w:r>
      <w:r w:rsidRPr="0021550A">
        <w:t xml:space="preserve"> (for example), than the number of words that are common to </w:t>
      </w:r>
      <w:r w:rsidRPr="0021550A">
        <w:rPr>
          <w:i/>
        </w:rPr>
        <w:t>Paris and Vienne</w:t>
      </w:r>
      <w:r w:rsidRPr="0021550A">
        <w:t xml:space="preserve"> and all the other texts that make up the wider dataset. The similarity scores between </w:t>
      </w:r>
      <w:r w:rsidRPr="0021550A">
        <w:rPr>
          <w:i/>
        </w:rPr>
        <w:t>Paris and Vienne</w:t>
      </w:r>
      <w:r w:rsidRPr="0021550A">
        <w:t xml:space="preserve"> and other texts in the dataset is presented in </w:t>
      </w:r>
      <w:r w:rsidR="002730C0">
        <w:t>Table 9.11</w:t>
      </w:r>
      <w:r w:rsidRPr="0021550A">
        <w:t>.</w:t>
      </w:r>
    </w:p>
    <w:p w14:paraId="0D81A10A" w14:textId="77777777" w:rsidR="008A769C" w:rsidRPr="0021550A" w:rsidRDefault="008A769C" w:rsidP="000737CB"/>
    <w:tbl>
      <w:tblPr>
        <w:tblStyle w:val="GridTable1Light"/>
        <w:tblW w:w="0" w:type="auto"/>
        <w:tblLook w:val="04A0" w:firstRow="1" w:lastRow="0" w:firstColumn="1" w:lastColumn="0" w:noHBand="0" w:noVBand="1"/>
      </w:tblPr>
      <w:tblGrid>
        <w:gridCol w:w="1893"/>
        <w:gridCol w:w="2332"/>
        <w:gridCol w:w="1800"/>
        <w:gridCol w:w="1833"/>
      </w:tblGrid>
      <w:tr w:rsidR="003D0B11" w:rsidRPr="0021550A" w14:paraId="40FBA696" w14:textId="77777777" w:rsidTr="003D0B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3" w:type="dxa"/>
            <w:vAlign w:val="center"/>
          </w:tcPr>
          <w:p w14:paraId="32D08B34" w14:textId="77777777" w:rsidR="00A31419" w:rsidRPr="0021550A" w:rsidRDefault="00A31419" w:rsidP="00AF58D5">
            <w:pPr>
              <w:ind w:firstLine="0"/>
              <w:jc w:val="center"/>
              <w:rPr>
                <w:b w:val="0"/>
              </w:rPr>
            </w:pPr>
            <w:r w:rsidRPr="0021550A">
              <w:t>Text 1</w:t>
            </w:r>
          </w:p>
        </w:tc>
        <w:tc>
          <w:tcPr>
            <w:tcW w:w="2332" w:type="dxa"/>
            <w:vAlign w:val="center"/>
          </w:tcPr>
          <w:p w14:paraId="05790C35" w14:textId="77777777" w:rsidR="00A31419" w:rsidRPr="0021550A" w:rsidRDefault="00A31419" w:rsidP="00AF58D5">
            <w:pPr>
              <w:ind w:firstLine="0"/>
              <w:jc w:val="center"/>
              <w:cnfStyle w:val="100000000000" w:firstRow="1" w:lastRow="0" w:firstColumn="0" w:lastColumn="0" w:oddVBand="0" w:evenVBand="0" w:oddHBand="0" w:evenHBand="0" w:firstRowFirstColumn="0" w:firstRowLastColumn="0" w:lastRowFirstColumn="0" w:lastRowLastColumn="0"/>
              <w:rPr>
                <w:b w:val="0"/>
              </w:rPr>
            </w:pPr>
            <w:r w:rsidRPr="0021550A">
              <w:t>Text 2</w:t>
            </w:r>
          </w:p>
        </w:tc>
        <w:tc>
          <w:tcPr>
            <w:tcW w:w="1800" w:type="dxa"/>
            <w:vAlign w:val="center"/>
          </w:tcPr>
          <w:p w14:paraId="0FD5F738" w14:textId="77777777" w:rsidR="00A31419" w:rsidRPr="0021550A" w:rsidRDefault="00A31419" w:rsidP="00AF58D5">
            <w:pPr>
              <w:ind w:firstLine="0"/>
              <w:jc w:val="center"/>
              <w:cnfStyle w:val="100000000000" w:firstRow="1" w:lastRow="0" w:firstColumn="0" w:lastColumn="0" w:oddVBand="0" w:evenVBand="0" w:oddHBand="0" w:evenHBand="0" w:firstRowFirstColumn="0" w:firstRowLastColumn="0" w:lastRowFirstColumn="0" w:lastRowLastColumn="0"/>
            </w:pPr>
            <w:r w:rsidRPr="0021550A">
              <w:t>Cluster of Text 2</w:t>
            </w:r>
          </w:p>
        </w:tc>
        <w:tc>
          <w:tcPr>
            <w:tcW w:w="1833" w:type="dxa"/>
            <w:vAlign w:val="center"/>
          </w:tcPr>
          <w:p w14:paraId="1E79C808" w14:textId="77777777" w:rsidR="00A31419" w:rsidRPr="0021550A" w:rsidRDefault="00A31419" w:rsidP="00AF58D5">
            <w:pPr>
              <w:ind w:firstLine="0"/>
              <w:jc w:val="center"/>
              <w:cnfStyle w:val="100000000000" w:firstRow="1" w:lastRow="0" w:firstColumn="0" w:lastColumn="0" w:oddVBand="0" w:evenVBand="0" w:oddHBand="0" w:evenHBand="0" w:firstRowFirstColumn="0" w:firstRowLastColumn="0" w:lastRowFirstColumn="0" w:lastRowLastColumn="0"/>
              <w:rPr>
                <w:b w:val="0"/>
              </w:rPr>
            </w:pPr>
            <w:r w:rsidRPr="0021550A">
              <w:t>Similarity score</w:t>
            </w:r>
          </w:p>
        </w:tc>
      </w:tr>
      <w:tr w:rsidR="003D0B11" w:rsidRPr="0021550A" w14:paraId="44712883" w14:textId="77777777" w:rsidTr="003D0B11">
        <w:tc>
          <w:tcPr>
            <w:cnfStyle w:val="001000000000" w:firstRow="0" w:lastRow="0" w:firstColumn="1" w:lastColumn="0" w:oddVBand="0" w:evenVBand="0" w:oddHBand="0" w:evenHBand="0" w:firstRowFirstColumn="0" w:firstRowLastColumn="0" w:lastRowFirstColumn="0" w:lastRowLastColumn="0"/>
            <w:tcW w:w="1893" w:type="dxa"/>
            <w:shd w:val="clear" w:color="auto" w:fill="FFF2CC" w:themeFill="accent4" w:themeFillTint="33"/>
            <w:vAlign w:val="center"/>
          </w:tcPr>
          <w:p w14:paraId="11328D81" w14:textId="77777777" w:rsidR="00A31419" w:rsidRPr="00AF58D5" w:rsidRDefault="00A31419" w:rsidP="00AF58D5">
            <w:pPr>
              <w:ind w:firstLine="0"/>
              <w:jc w:val="center"/>
              <w:rPr>
                <w:b w:val="0"/>
              </w:rPr>
            </w:pPr>
            <w:r w:rsidRPr="00AF58D5">
              <w:rPr>
                <w:b w:val="0"/>
              </w:rPr>
              <w:t>Paris and Vienne</w:t>
            </w:r>
          </w:p>
        </w:tc>
        <w:tc>
          <w:tcPr>
            <w:tcW w:w="2332" w:type="dxa"/>
            <w:shd w:val="clear" w:color="auto" w:fill="FFF2CC" w:themeFill="accent4" w:themeFillTint="33"/>
            <w:vAlign w:val="center"/>
          </w:tcPr>
          <w:p w14:paraId="5B6B4C81" w14:textId="77777777" w:rsidR="00A31419" w:rsidRPr="0021550A" w:rsidRDefault="00A31419" w:rsidP="00AF58D5">
            <w:pPr>
              <w:ind w:firstLine="0"/>
              <w:jc w:val="center"/>
              <w:cnfStyle w:val="000000000000" w:firstRow="0" w:lastRow="0" w:firstColumn="0" w:lastColumn="0" w:oddVBand="0" w:evenVBand="0" w:oddHBand="0" w:evenHBand="0" w:firstRowFirstColumn="0" w:firstRowLastColumn="0" w:lastRowFirstColumn="0" w:lastRowLastColumn="0"/>
            </w:pPr>
            <w:r w:rsidRPr="0021550A">
              <w:t>Book of Good Manners</w:t>
            </w:r>
          </w:p>
        </w:tc>
        <w:tc>
          <w:tcPr>
            <w:tcW w:w="1800" w:type="dxa"/>
            <w:shd w:val="clear" w:color="auto" w:fill="FFF2CC" w:themeFill="accent4" w:themeFillTint="33"/>
            <w:vAlign w:val="center"/>
          </w:tcPr>
          <w:p w14:paraId="3E62C502" w14:textId="77777777" w:rsidR="00A31419" w:rsidRPr="0021550A" w:rsidRDefault="00A31419" w:rsidP="00AF58D5">
            <w:pPr>
              <w:ind w:firstLine="0"/>
              <w:jc w:val="center"/>
              <w:cnfStyle w:val="000000000000" w:firstRow="0" w:lastRow="0" w:firstColumn="0" w:lastColumn="0" w:oddVBand="0" w:evenVBand="0" w:oddHBand="0" w:evenHBand="0" w:firstRowFirstColumn="0" w:firstRowLastColumn="0" w:lastRowFirstColumn="0" w:lastRowLastColumn="0"/>
            </w:pPr>
            <w:r w:rsidRPr="0021550A">
              <w:t>Cluster 4</w:t>
            </w:r>
          </w:p>
        </w:tc>
        <w:tc>
          <w:tcPr>
            <w:tcW w:w="1833" w:type="dxa"/>
            <w:shd w:val="clear" w:color="auto" w:fill="FFF2CC" w:themeFill="accent4" w:themeFillTint="33"/>
            <w:vAlign w:val="center"/>
          </w:tcPr>
          <w:p w14:paraId="6E2CB6E4" w14:textId="77777777" w:rsidR="00A31419" w:rsidRPr="0021550A" w:rsidRDefault="00A31419" w:rsidP="00AF58D5">
            <w:pPr>
              <w:ind w:firstLine="0"/>
              <w:jc w:val="center"/>
              <w:cnfStyle w:val="000000000000" w:firstRow="0" w:lastRow="0" w:firstColumn="0" w:lastColumn="0" w:oddVBand="0" w:evenVBand="0" w:oddHBand="0" w:evenHBand="0" w:firstRowFirstColumn="0" w:firstRowLastColumn="0" w:lastRowFirstColumn="0" w:lastRowLastColumn="0"/>
            </w:pPr>
            <w:r w:rsidRPr="0021550A">
              <w:t>0.89</w:t>
            </w:r>
          </w:p>
        </w:tc>
      </w:tr>
      <w:tr w:rsidR="003D0B11" w:rsidRPr="0021550A" w14:paraId="6091DB62" w14:textId="77777777" w:rsidTr="003D0B11">
        <w:tc>
          <w:tcPr>
            <w:cnfStyle w:val="001000000000" w:firstRow="0" w:lastRow="0" w:firstColumn="1" w:lastColumn="0" w:oddVBand="0" w:evenVBand="0" w:oddHBand="0" w:evenHBand="0" w:firstRowFirstColumn="0" w:firstRowLastColumn="0" w:lastRowFirstColumn="0" w:lastRowLastColumn="0"/>
            <w:tcW w:w="1893" w:type="dxa"/>
            <w:shd w:val="clear" w:color="auto" w:fill="FFF2CC" w:themeFill="accent4" w:themeFillTint="33"/>
            <w:vAlign w:val="center"/>
          </w:tcPr>
          <w:p w14:paraId="442C01C8" w14:textId="77777777" w:rsidR="00A31419" w:rsidRPr="00AF58D5" w:rsidRDefault="00A31419" w:rsidP="00AF58D5">
            <w:pPr>
              <w:ind w:firstLine="0"/>
              <w:jc w:val="center"/>
              <w:rPr>
                <w:b w:val="0"/>
              </w:rPr>
            </w:pPr>
            <w:r w:rsidRPr="00AF58D5">
              <w:rPr>
                <w:b w:val="0"/>
              </w:rPr>
              <w:t>Paris and Vienne</w:t>
            </w:r>
          </w:p>
        </w:tc>
        <w:tc>
          <w:tcPr>
            <w:tcW w:w="2332" w:type="dxa"/>
            <w:shd w:val="clear" w:color="auto" w:fill="FFF2CC" w:themeFill="accent4" w:themeFillTint="33"/>
            <w:vAlign w:val="center"/>
          </w:tcPr>
          <w:p w14:paraId="674D277A" w14:textId="77777777" w:rsidR="00A31419" w:rsidRPr="0021550A" w:rsidRDefault="00A31419" w:rsidP="00AF58D5">
            <w:pPr>
              <w:ind w:firstLine="0"/>
              <w:jc w:val="center"/>
              <w:cnfStyle w:val="000000000000" w:firstRow="0" w:lastRow="0" w:firstColumn="0" w:lastColumn="0" w:oddVBand="0" w:evenVBand="0" w:oddHBand="0" w:evenHBand="0" w:firstRowFirstColumn="0" w:firstRowLastColumn="0" w:lastRowFirstColumn="0" w:lastRowLastColumn="0"/>
            </w:pPr>
            <w:r w:rsidRPr="0021550A">
              <w:t>Golden Legend</w:t>
            </w:r>
          </w:p>
        </w:tc>
        <w:tc>
          <w:tcPr>
            <w:tcW w:w="1800" w:type="dxa"/>
            <w:shd w:val="clear" w:color="auto" w:fill="FFF2CC" w:themeFill="accent4" w:themeFillTint="33"/>
            <w:vAlign w:val="center"/>
          </w:tcPr>
          <w:p w14:paraId="15F05AA6" w14:textId="77777777" w:rsidR="00A31419" w:rsidRPr="0021550A" w:rsidRDefault="00A31419" w:rsidP="00AF58D5">
            <w:pPr>
              <w:ind w:firstLine="0"/>
              <w:jc w:val="center"/>
              <w:cnfStyle w:val="000000000000" w:firstRow="0" w:lastRow="0" w:firstColumn="0" w:lastColumn="0" w:oddVBand="0" w:evenVBand="0" w:oddHBand="0" w:evenHBand="0" w:firstRowFirstColumn="0" w:firstRowLastColumn="0" w:lastRowFirstColumn="0" w:lastRowLastColumn="0"/>
            </w:pPr>
            <w:r w:rsidRPr="0021550A">
              <w:t>Cluster 4</w:t>
            </w:r>
          </w:p>
        </w:tc>
        <w:tc>
          <w:tcPr>
            <w:tcW w:w="1833" w:type="dxa"/>
            <w:shd w:val="clear" w:color="auto" w:fill="FFF2CC" w:themeFill="accent4" w:themeFillTint="33"/>
            <w:vAlign w:val="center"/>
          </w:tcPr>
          <w:p w14:paraId="40D2584A" w14:textId="77777777" w:rsidR="00A31419" w:rsidRPr="0021550A" w:rsidRDefault="00A31419" w:rsidP="00AF58D5">
            <w:pPr>
              <w:ind w:firstLine="0"/>
              <w:jc w:val="center"/>
              <w:cnfStyle w:val="000000000000" w:firstRow="0" w:lastRow="0" w:firstColumn="0" w:lastColumn="0" w:oddVBand="0" w:evenVBand="0" w:oddHBand="0" w:evenHBand="0" w:firstRowFirstColumn="0" w:firstRowLastColumn="0" w:lastRowFirstColumn="0" w:lastRowLastColumn="0"/>
            </w:pPr>
            <w:r w:rsidRPr="0021550A">
              <w:t>0.92</w:t>
            </w:r>
          </w:p>
        </w:tc>
      </w:tr>
      <w:tr w:rsidR="003D0B11" w:rsidRPr="0021550A" w14:paraId="3B017EAB" w14:textId="77777777" w:rsidTr="003D0B11">
        <w:tc>
          <w:tcPr>
            <w:cnfStyle w:val="001000000000" w:firstRow="0" w:lastRow="0" w:firstColumn="1" w:lastColumn="0" w:oddVBand="0" w:evenVBand="0" w:oddHBand="0" w:evenHBand="0" w:firstRowFirstColumn="0" w:firstRowLastColumn="0" w:lastRowFirstColumn="0" w:lastRowLastColumn="0"/>
            <w:tcW w:w="1893" w:type="dxa"/>
            <w:vAlign w:val="center"/>
          </w:tcPr>
          <w:p w14:paraId="569A29E6" w14:textId="77777777" w:rsidR="00A31419" w:rsidRPr="00AF58D5" w:rsidRDefault="00A31419" w:rsidP="00AF58D5">
            <w:pPr>
              <w:ind w:firstLine="0"/>
              <w:jc w:val="center"/>
              <w:rPr>
                <w:b w:val="0"/>
              </w:rPr>
            </w:pPr>
            <w:r w:rsidRPr="00AF58D5">
              <w:rPr>
                <w:b w:val="0"/>
              </w:rPr>
              <w:t>Paris and Vienne</w:t>
            </w:r>
          </w:p>
        </w:tc>
        <w:tc>
          <w:tcPr>
            <w:tcW w:w="2332" w:type="dxa"/>
            <w:vAlign w:val="center"/>
          </w:tcPr>
          <w:p w14:paraId="73463A96" w14:textId="77777777" w:rsidR="00A31419" w:rsidRPr="0021550A" w:rsidRDefault="00A31419" w:rsidP="00AF58D5">
            <w:pPr>
              <w:ind w:firstLine="0"/>
              <w:jc w:val="center"/>
              <w:cnfStyle w:val="000000000000" w:firstRow="0" w:lastRow="0" w:firstColumn="0" w:lastColumn="0" w:oddVBand="0" w:evenVBand="0" w:oddHBand="0" w:evenHBand="0" w:firstRowFirstColumn="0" w:firstRowLastColumn="0" w:lastRowFirstColumn="0" w:lastRowLastColumn="0"/>
            </w:pPr>
            <w:r w:rsidRPr="0021550A">
              <w:t>Troilus and Criseyde</w:t>
            </w:r>
          </w:p>
        </w:tc>
        <w:tc>
          <w:tcPr>
            <w:tcW w:w="1800" w:type="dxa"/>
            <w:vAlign w:val="center"/>
          </w:tcPr>
          <w:p w14:paraId="68428B1E" w14:textId="77777777" w:rsidR="00A31419" w:rsidRPr="0021550A" w:rsidRDefault="00A31419" w:rsidP="00AF58D5">
            <w:pPr>
              <w:ind w:firstLine="0"/>
              <w:jc w:val="center"/>
              <w:cnfStyle w:val="000000000000" w:firstRow="0" w:lastRow="0" w:firstColumn="0" w:lastColumn="0" w:oddVBand="0" w:evenVBand="0" w:oddHBand="0" w:evenHBand="0" w:firstRowFirstColumn="0" w:firstRowLastColumn="0" w:lastRowFirstColumn="0" w:lastRowLastColumn="0"/>
            </w:pPr>
            <w:r w:rsidRPr="0021550A">
              <w:t>Cluster 3</w:t>
            </w:r>
          </w:p>
        </w:tc>
        <w:tc>
          <w:tcPr>
            <w:tcW w:w="1833" w:type="dxa"/>
            <w:vAlign w:val="center"/>
          </w:tcPr>
          <w:p w14:paraId="5BDFFD33" w14:textId="77777777" w:rsidR="00A31419" w:rsidRPr="0021550A" w:rsidRDefault="00A31419" w:rsidP="00AF58D5">
            <w:pPr>
              <w:ind w:firstLine="0"/>
              <w:jc w:val="center"/>
              <w:cnfStyle w:val="000000000000" w:firstRow="0" w:lastRow="0" w:firstColumn="0" w:lastColumn="0" w:oddVBand="0" w:evenVBand="0" w:oddHBand="0" w:evenHBand="0" w:firstRowFirstColumn="0" w:firstRowLastColumn="0" w:lastRowFirstColumn="0" w:lastRowLastColumn="0"/>
            </w:pPr>
            <w:r w:rsidRPr="0021550A">
              <w:t>0.73</w:t>
            </w:r>
          </w:p>
        </w:tc>
      </w:tr>
      <w:tr w:rsidR="003D0B11" w:rsidRPr="0021550A" w14:paraId="19B0F6EF" w14:textId="77777777" w:rsidTr="003D0B11">
        <w:tc>
          <w:tcPr>
            <w:cnfStyle w:val="001000000000" w:firstRow="0" w:lastRow="0" w:firstColumn="1" w:lastColumn="0" w:oddVBand="0" w:evenVBand="0" w:oddHBand="0" w:evenHBand="0" w:firstRowFirstColumn="0" w:firstRowLastColumn="0" w:lastRowFirstColumn="0" w:lastRowLastColumn="0"/>
            <w:tcW w:w="1893" w:type="dxa"/>
            <w:vAlign w:val="center"/>
          </w:tcPr>
          <w:p w14:paraId="43654A9A" w14:textId="77777777" w:rsidR="00A31419" w:rsidRPr="00AF58D5" w:rsidRDefault="00A31419" w:rsidP="00AF58D5">
            <w:pPr>
              <w:ind w:firstLine="0"/>
              <w:jc w:val="center"/>
              <w:rPr>
                <w:b w:val="0"/>
              </w:rPr>
            </w:pPr>
            <w:r w:rsidRPr="00AF58D5">
              <w:rPr>
                <w:b w:val="0"/>
              </w:rPr>
              <w:t>Paris and Vienne</w:t>
            </w:r>
          </w:p>
        </w:tc>
        <w:tc>
          <w:tcPr>
            <w:tcW w:w="2332" w:type="dxa"/>
            <w:vAlign w:val="center"/>
          </w:tcPr>
          <w:p w14:paraId="1FEBBFAD" w14:textId="77777777" w:rsidR="00A31419" w:rsidRPr="0021550A" w:rsidRDefault="00A31419" w:rsidP="00AF58D5">
            <w:pPr>
              <w:ind w:firstLine="0"/>
              <w:jc w:val="center"/>
              <w:cnfStyle w:val="000000000000" w:firstRow="0" w:lastRow="0" w:firstColumn="0" w:lastColumn="0" w:oddVBand="0" w:evenVBand="0" w:oddHBand="0" w:evenHBand="0" w:firstRowFirstColumn="0" w:firstRowLastColumn="0" w:lastRowFirstColumn="0" w:lastRowLastColumn="0"/>
            </w:pPr>
            <w:r w:rsidRPr="0021550A">
              <w:t>Polychronicon</w:t>
            </w:r>
          </w:p>
        </w:tc>
        <w:tc>
          <w:tcPr>
            <w:tcW w:w="1800" w:type="dxa"/>
            <w:vAlign w:val="center"/>
          </w:tcPr>
          <w:p w14:paraId="32251F7F" w14:textId="77777777" w:rsidR="00A31419" w:rsidRPr="0021550A" w:rsidRDefault="00A31419" w:rsidP="00AF58D5">
            <w:pPr>
              <w:ind w:firstLine="0"/>
              <w:jc w:val="center"/>
              <w:cnfStyle w:val="000000000000" w:firstRow="0" w:lastRow="0" w:firstColumn="0" w:lastColumn="0" w:oddVBand="0" w:evenVBand="0" w:oddHBand="0" w:evenHBand="0" w:firstRowFirstColumn="0" w:firstRowLastColumn="0" w:lastRowFirstColumn="0" w:lastRowLastColumn="0"/>
            </w:pPr>
            <w:r w:rsidRPr="0021550A">
              <w:t>Cluster 3</w:t>
            </w:r>
          </w:p>
        </w:tc>
        <w:tc>
          <w:tcPr>
            <w:tcW w:w="1833" w:type="dxa"/>
            <w:vAlign w:val="center"/>
          </w:tcPr>
          <w:p w14:paraId="55362832" w14:textId="77777777" w:rsidR="00A31419" w:rsidRPr="0021550A" w:rsidRDefault="00A31419" w:rsidP="00AF58D5">
            <w:pPr>
              <w:ind w:firstLine="0"/>
              <w:jc w:val="center"/>
              <w:cnfStyle w:val="000000000000" w:firstRow="0" w:lastRow="0" w:firstColumn="0" w:lastColumn="0" w:oddVBand="0" w:evenVBand="0" w:oddHBand="0" w:evenHBand="0" w:firstRowFirstColumn="0" w:firstRowLastColumn="0" w:lastRowFirstColumn="0" w:lastRowLastColumn="0"/>
            </w:pPr>
            <w:r w:rsidRPr="0021550A">
              <w:t>0.81</w:t>
            </w:r>
          </w:p>
        </w:tc>
      </w:tr>
      <w:tr w:rsidR="003D0B11" w:rsidRPr="0021550A" w14:paraId="16860B4E" w14:textId="77777777" w:rsidTr="003D0B11">
        <w:trPr>
          <w:trHeight w:val="368"/>
        </w:trPr>
        <w:tc>
          <w:tcPr>
            <w:cnfStyle w:val="001000000000" w:firstRow="0" w:lastRow="0" w:firstColumn="1" w:lastColumn="0" w:oddVBand="0" w:evenVBand="0" w:oddHBand="0" w:evenHBand="0" w:firstRowFirstColumn="0" w:firstRowLastColumn="0" w:lastRowFirstColumn="0" w:lastRowLastColumn="0"/>
            <w:tcW w:w="1893" w:type="dxa"/>
            <w:vAlign w:val="center"/>
          </w:tcPr>
          <w:p w14:paraId="34FDF076" w14:textId="77777777" w:rsidR="00A31419" w:rsidRPr="00AF58D5" w:rsidRDefault="00A31419" w:rsidP="00AF58D5">
            <w:pPr>
              <w:ind w:firstLine="0"/>
              <w:jc w:val="center"/>
              <w:rPr>
                <w:b w:val="0"/>
              </w:rPr>
            </w:pPr>
            <w:r w:rsidRPr="00AF58D5">
              <w:rPr>
                <w:b w:val="0"/>
              </w:rPr>
              <w:t>Paris and Vienne</w:t>
            </w:r>
          </w:p>
        </w:tc>
        <w:tc>
          <w:tcPr>
            <w:tcW w:w="2332" w:type="dxa"/>
            <w:vAlign w:val="center"/>
          </w:tcPr>
          <w:p w14:paraId="0CFEBD35" w14:textId="77777777" w:rsidR="00A31419" w:rsidRPr="0021550A" w:rsidRDefault="00A31419" w:rsidP="00AF58D5">
            <w:pPr>
              <w:ind w:firstLine="0"/>
              <w:jc w:val="center"/>
              <w:cnfStyle w:val="000000000000" w:firstRow="0" w:lastRow="0" w:firstColumn="0" w:lastColumn="0" w:oddVBand="0" w:evenVBand="0" w:oddHBand="0" w:evenHBand="0" w:firstRowFirstColumn="0" w:firstRowLastColumn="0" w:lastRowFirstColumn="0" w:lastRowLastColumn="0"/>
            </w:pPr>
            <w:r w:rsidRPr="0021550A">
              <w:t>Canterbury Tales</w:t>
            </w:r>
          </w:p>
        </w:tc>
        <w:tc>
          <w:tcPr>
            <w:tcW w:w="1800" w:type="dxa"/>
            <w:vAlign w:val="center"/>
          </w:tcPr>
          <w:p w14:paraId="23AD41AB" w14:textId="77777777" w:rsidR="00A31419" w:rsidRPr="0021550A" w:rsidRDefault="00A31419" w:rsidP="00AF58D5">
            <w:pPr>
              <w:ind w:firstLine="0"/>
              <w:jc w:val="center"/>
              <w:cnfStyle w:val="000000000000" w:firstRow="0" w:lastRow="0" w:firstColumn="0" w:lastColumn="0" w:oddVBand="0" w:evenVBand="0" w:oddHBand="0" w:evenHBand="0" w:firstRowFirstColumn="0" w:firstRowLastColumn="0" w:lastRowFirstColumn="0" w:lastRowLastColumn="0"/>
            </w:pPr>
            <w:r w:rsidRPr="0021550A">
              <w:t>Cluster 2</w:t>
            </w:r>
          </w:p>
        </w:tc>
        <w:tc>
          <w:tcPr>
            <w:tcW w:w="1833" w:type="dxa"/>
            <w:vAlign w:val="center"/>
          </w:tcPr>
          <w:p w14:paraId="48BD056D" w14:textId="77777777" w:rsidR="00A31419" w:rsidRPr="0021550A" w:rsidRDefault="00A31419" w:rsidP="00AF58D5">
            <w:pPr>
              <w:ind w:firstLine="0"/>
              <w:jc w:val="center"/>
              <w:cnfStyle w:val="000000000000" w:firstRow="0" w:lastRow="0" w:firstColumn="0" w:lastColumn="0" w:oddVBand="0" w:evenVBand="0" w:oddHBand="0" w:evenHBand="0" w:firstRowFirstColumn="0" w:firstRowLastColumn="0" w:lastRowFirstColumn="0" w:lastRowLastColumn="0"/>
            </w:pPr>
            <w:r w:rsidRPr="0021550A">
              <w:t>0.51</w:t>
            </w:r>
          </w:p>
        </w:tc>
      </w:tr>
    </w:tbl>
    <w:p w14:paraId="2F6C679C" w14:textId="1B6AC78C" w:rsidR="00A31419" w:rsidRPr="0021550A" w:rsidRDefault="00453776" w:rsidP="000737CB">
      <w:pPr>
        <w:pStyle w:val="Caption"/>
      </w:pPr>
      <w:bookmarkStart w:id="256" w:name="_Toc499753499"/>
      <w:r>
        <w:t>Table 9.11:</w:t>
      </w:r>
      <w:r w:rsidR="00A31419" w:rsidRPr="0021550A">
        <w:t xml:space="preserve"> Similarity measurements between </w:t>
      </w:r>
      <w:r w:rsidR="00A31419" w:rsidRPr="0021550A">
        <w:rPr>
          <w:i/>
        </w:rPr>
        <w:t>Paris and Vienne</w:t>
      </w:r>
      <w:r w:rsidR="00A31419" w:rsidRPr="0021550A">
        <w:t xml:space="preserve"> and similar texts</w:t>
      </w:r>
      <w:bookmarkEnd w:id="256"/>
    </w:p>
    <w:p w14:paraId="6CCF8EF4" w14:textId="77777777" w:rsidR="00A31419" w:rsidRPr="0021550A" w:rsidRDefault="00A31419" w:rsidP="000737CB"/>
    <w:p w14:paraId="4776F525" w14:textId="0196EA66" w:rsidR="00073E0D" w:rsidRDefault="002730C0" w:rsidP="000737CB">
      <w:r>
        <w:t>Table 9.11</w:t>
      </w:r>
      <w:r w:rsidR="00A31419" w:rsidRPr="0021550A">
        <w:t xml:space="preserve"> gives the similarity scores between </w:t>
      </w:r>
      <w:r w:rsidR="00A31419" w:rsidRPr="0021550A">
        <w:rPr>
          <w:i/>
        </w:rPr>
        <w:t xml:space="preserve">Paris and Vienne </w:t>
      </w:r>
      <w:r w:rsidR="00A31419" w:rsidRPr="0021550A">
        <w:t xml:space="preserve">and other texts. The texts that the spellings in </w:t>
      </w:r>
      <w:r w:rsidR="00A31419" w:rsidRPr="0021550A">
        <w:rPr>
          <w:i/>
        </w:rPr>
        <w:t xml:space="preserve">Paris and Vienne </w:t>
      </w:r>
      <w:r w:rsidR="00A31419" w:rsidRPr="0021550A">
        <w:t xml:space="preserve">are most similar to are texts from Cluster 4 of the whole dataset, shown in </w:t>
      </w:r>
      <w:r>
        <w:t>Figure 9.9</w:t>
      </w:r>
      <w:r w:rsidR="00A31419" w:rsidRPr="0021550A">
        <w:t xml:space="preserve">, above. The texts in Cluster 3, which </w:t>
      </w:r>
      <w:r w:rsidR="00A31419" w:rsidRPr="0021550A">
        <w:rPr>
          <w:i/>
        </w:rPr>
        <w:t>Paris and Vienne</w:t>
      </w:r>
      <w:r w:rsidR="00A31419" w:rsidRPr="0021550A">
        <w:t xml:space="preserve"> is sometimes clustered into, are less similar </w:t>
      </w:r>
      <w:r w:rsidR="00073E0D">
        <w:t xml:space="preserve">to </w:t>
      </w:r>
      <w:r w:rsidR="00073E0D">
        <w:rPr>
          <w:i/>
        </w:rPr>
        <w:t xml:space="preserve">Paris </w:t>
      </w:r>
      <w:r w:rsidR="00073E0D">
        <w:rPr>
          <w:i/>
        </w:rPr>
        <w:lastRenderedPageBreak/>
        <w:t xml:space="preserve">and Vienne </w:t>
      </w:r>
      <w:r w:rsidR="00A31419" w:rsidRPr="0021550A">
        <w:t xml:space="preserve">than </w:t>
      </w:r>
      <w:r w:rsidR="00073E0D">
        <w:t>the</w:t>
      </w:r>
      <w:r w:rsidR="00A31419" w:rsidRPr="0021550A">
        <w:t xml:space="preserve"> texts in Cluster 4, though the scores are still quite high. For comparison, </w:t>
      </w:r>
      <w:r w:rsidR="00A31419" w:rsidRPr="0021550A">
        <w:rPr>
          <w:i/>
        </w:rPr>
        <w:t>Paris and Vienne</w:t>
      </w:r>
      <w:r w:rsidR="00A31419" w:rsidRPr="0021550A">
        <w:t xml:space="preserve"> is far less similar to the </w:t>
      </w:r>
      <w:r w:rsidR="00A31419" w:rsidRPr="0021550A">
        <w:rPr>
          <w:i/>
        </w:rPr>
        <w:t>Canterbury Tales</w:t>
      </w:r>
      <w:r w:rsidR="00A31419" w:rsidRPr="0021550A">
        <w:t xml:space="preserve">, in terms of the spellings that both texts contain overall. </w:t>
      </w:r>
    </w:p>
    <w:p w14:paraId="7501B6B6" w14:textId="5D12EC25" w:rsidR="00A31419" w:rsidRPr="0021550A" w:rsidRDefault="00A31419" w:rsidP="00073E0D">
      <w:r w:rsidRPr="0021550A">
        <w:t>The similarity scores</w:t>
      </w:r>
      <w:r w:rsidR="00073E0D">
        <w:t xml:space="preserve"> in </w:t>
      </w:r>
      <w:r w:rsidR="002730C0">
        <w:t xml:space="preserve">Table 9.11 </w:t>
      </w:r>
      <w:r w:rsidRPr="0021550A">
        <w:t xml:space="preserve">suggest that the spellings in </w:t>
      </w:r>
      <w:r w:rsidRPr="0021550A">
        <w:rPr>
          <w:i/>
        </w:rPr>
        <w:t>Paris and Vienne</w:t>
      </w:r>
      <w:r w:rsidRPr="0021550A">
        <w:t xml:space="preserve"> are most similar to texts in Cluster 4, and that when more spellings are included in the analysis </w:t>
      </w:r>
      <w:r w:rsidRPr="0021550A">
        <w:rPr>
          <w:i/>
        </w:rPr>
        <w:t>Paris and Vienne</w:t>
      </w:r>
      <w:r w:rsidRPr="0021550A">
        <w:t xml:space="preserve"> should form part of this cluster. These results are unsurprising; </w:t>
      </w:r>
      <w:r w:rsidRPr="0021550A">
        <w:rPr>
          <w:i/>
        </w:rPr>
        <w:t>Paris and Vienne</w:t>
      </w:r>
      <w:r w:rsidRPr="0021550A">
        <w:t xml:space="preserve"> </w:t>
      </w:r>
      <w:r w:rsidR="00073E0D">
        <w:t xml:space="preserve">fits best in the cluster that contains all the </w:t>
      </w:r>
      <w:r w:rsidR="00571A85">
        <w:t xml:space="preserve">other texts that were </w:t>
      </w:r>
      <w:r w:rsidR="00073E0D">
        <w:t xml:space="preserve">also </w:t>
      </w:r>
      <w:r w:rsidR="00571A85">
        <w:t>translated by Caxton</w:t>
      </w:r>
      <w:r w:rsidRPr="0021550A">
        <w:t xml:space="preserve">. The text only moves into Cluster 3 when the number of words used for the analysis is reduced, as is the case when smaller sections of text are included in the clustering. In this case, similarity measurements support the membership of </w:t>
      </w:r>
      <w:r w:rsidRPr="0021550A">
        <w:rPr>
          <w:i/>
        </w:rPr>
        <w:t>Paris and Vienne</w:t>
      </w:r>
      <w:r w:rsidRPr="0021550A">
        <w:t xml:space="preserve"> in Cluster 4. While </w:t>
      </w:r>
      <w:r w:rsidRPr="0021550A">
        <w:rPr>
          <w:i/>
        </w:rPr>
        <w:t>Paris and Vienne</w:t>
      </w:r>
      <w:r w:rsidRPr="0021550A">
        <w:t xml:space="preserve"> is unstable when the number of spellings is reduced, the rest of the texts in the dataset are not. None of the other texts in the wider dataset moves between clusters, and these texts in the dataset group together with a greater </w:t>
      </w:r>
      <w:r w:rsidR="00571A85">
        <w:t>degree</w:t>
      </w:r>
      <w:r w:rsidRPr="0021550A">
        <w:t xml:space="preserve"> of certainty.</w:t>
      </w:r>
    </w:p>
    <w:p w14:paraId="5DCB6212" w14:textId="77777777" w:rsidR="00A31419" w:rsidRPr="0021550A" w:rsidRDefault="00A31419" w:rsidP="000737CB">
      <w:bookmarkStart w:id="257" w:name="_Ref492635028"/>
    </w:p>
    <w:p w14:paraId="5E7E336A" w14:textId="4E41071B" w:rsidR="00A31419" w:rsidRPr="0021550A" w:rsidRDefault="00A31419" w:rsidP="000737CB">
      <w:pPr>
        <w:pStyle w:val="Heading2"/>
      </w:pPr>
      <w:bookmarkStart w:id="258" w:name="_Ref497225586"/>
      <w:bookmarkStart w:id="259" w:name="_Ref497402374"/>
      <w:bookmarkStart w:id="260" w:name="_Ref497481040"/>
      <w:bookmarkStart w:id="261" w:name="_Ref497727838"/>
      <w:bookmarkStart w:id="262" w:name="_Toc497899884"/>
      <w:bookmarkStart w:id="263" w:name="_Ref499720178"/>
      <w:r w:rsidRPr="0021550A">
        <w:t xml:space="preserve">Caxton’s </w:t>
      </w:r>
      <w:bookmarkEnd w:id="257"/>
      <w:bookmarkEnd w:id="258"/>
      <w:bookmarkEnd w:id="259"/>
      <w:bookmarkEnd w:id="260"/>
      <w:bookmarkEnd w:id="261"/>
      <w:bookmarkEnd w:id="262"/>
      <w:r w:rsidR="00796946">
        <w:t>influence in the texts that he printed</w:t>
      </w:r>
      <w:bookmarkEnd w:id="263"/>
    </w:p>
    <w:p w14:paraId="2A875269" w14:textId="00BB9CB8" w:rsidR="00A31419" w:rsidRPr="0021550A" w:rsidRDefault="00A31419" w:rsidP="000737CB">
      <w:r w:rsidRPr="0021550A">
        <w:t xml:space="preserve">This chapter began by asking whether it is possible to locate Caxton’s </w:t>
      </w:r>
      <w:r w:rsidR="00571A85">
        <w:t xml:space="preserve">influence </w:t>
      </w:r>
      <w:r w:rsidRPr="0021550A">
        <w:t>in the texts that his printing house produced</w:t>
      </w:r>
      <w:r w:rsidR="00571A85">
        <w:t xml:space="preserve"> by researching the orthography of his texts</w:t>
      </w:r>
      <w:r w:rsidRPr="0021550A">
        <w:t>. Through undertaking cluster analysis on the wider dataset, it is possible to see the texts that Caxton translated grouped together because of the shared spellings that appear in those texts. Along with the texts that Caxton translated, there are other smaller sections of text that Caxton is suspected of writing—the prologues and epilogues to his texts. The prologues and epilogues have been a source of scholarly interest, because they provide a window into Caxton’s working practices and</w:t>
      </w:r>
      <w:r w:rsidR="00571A85">
        <w:t xml:space="preserve"> occasionally his opinions (see, for example,</w:t>
      </w:r>
      <w:r w:rsidRPr="0021550A">
        <w:t xml:space="preserve"> the egges/eyren story in his prologue to </w:t>
      </w:r>
      <w:r w:rsidRPr="0021550A">
        <w:rPr>
          <w:i/>
        </w:rPr>
        <w:t>Eneydos</w:t>
      </w:r>
      <w:r w:rsidRPr="0021550A">
        <w:t>). For the current study, the prologues and epilogues are of interest because they are the only text</w:t>
      </w:r>
      <w:r w:rsidR="00571A85">
        <w:t>s</w:t>
      </w:r>
      <w:r w:rsidRPr="0021550A">
        <w:t xml:space="preserve"> that Caxton wrote without using a copy text, that is, the prologues and epilogues contain Caxton’s spellings when he is not influenced by other spellings. </w:t>
      </w:r>
    </w:p>
    <w:p w14:paraId="50EB06DD" w14:textId="29CC5442" w:rsidR="00571A85" w:rsidRDefault="00A31419" w:rsidP="000737CB">
      <w:r w:rsidRPr="0021550A">
        <w:t>It is not possible to cluster individual prologues or epilogues because of their length. The prologues and epilogues tend to be too short to contain enough distinct words for cluster analysis to be meaningful over the wider dataset. We can combine the prologues and epilogues together to make one “text” that is long enough to be clustered against the whole texts in the dataset. However, combining the prologues and epilogues together to make one “text” that is long enough to be clustered also has the potential to be problematic. The issue with sticking the prologues and epilogues together and tr</w:t>
      </w:r>
      <w:r w:rsidR="00571A85">
        <w:t>eating them as one text is that</w:t>
      </w:r>
      <w:r w:rsidRPr="0021550A">
        <w:t xml:space="preserve"> while these short sections of text should all have one underlying commonality—</w:t>
      </w:r>
      <w:r w:rsidRPr="0021550A">
        <w:lastRenderedPageBreak/>
        <w:t xml:space="preserve">Caxton’s spellings—the prologues and conclusions were written as required for each text. The texts were not all written and printed at the same time, but </w:t>
      </w:r>
      <w:r w:rsidR="00571A85">
        <w:t xml:space="preserve">were written </w:t>
      </w:r>
      <w:r w:rsidRPr="0021550A">
        <w:t xml:space="preserve">over Caxton’s printing career from 1473 to 1491. </w:t>
      </w:r>
      <w:r w:rsidR="00571A85">
        <w:t>B</w:t>
      </w:r>
      <w:r w:rsidRPr="0021550A">
        <w:t xml:space="preserve">efore we can use the prologues and epilogues, it is necessary to demonstrate that the spellings in these sections of text are the same and </w:t>
      </w:r>
      <w:r w:rsidR="00571A85">
        <w:t xml:space="preserve">that Caxton’s spellings </w:t>
      </w:r>
      <w:r w:rsidRPr="0021550A">
        <w:t xml:space="preserve">have not changed over time. </w:t>
      </w:r>
    </w:p>
    <w:p w14:paraId="24977C78" w14:textId="77777777" w:rsidR="0000265D" w:rsidRDefault="00571A85" w:rsidP="000737CB">
      <w:r>
        <w:t>We</w:t>
      </w:r>
      <w:r w:rsidR="00A31419" w:rsidRPr="0021550A">
        <w:t xml:space="preserve"> can combine several prologues and epilogues that were published within two years of each other, and compare them against prologues and epilogues that were published at an earlier or later date. The mean similarity score for the small groups of prologues and epilogues is 0.87, which is a high score considering the changes in compositors between the texts. From this result we can take two things: firstly that Caxton’s spellings remain stable over time. Even when comparing the very earliest texts with the very latest, the prologues and epilogues have a score of 0.86. Thus, it is possible to talk about “Caxton’s spellings” as a static </w:t>
      </w:r>
      <w:r w:rsidR="0000265D">
        <w:t>idiolect</w:t>
      </w:r>
      <w:r w:rsidR="00A31419" w:rsidRPr="0021550A">
        <w:t xml:space="preserve">, not a shifting set of variables. That </w:t>
      </w:r>
      <w:r w:rsidR="0000265D">
        <w:t>does not</w:t>
      </w:r>
      <w:r w:rsidR="00A31419" w:rsidRPr="0021550A">
        <w:t xml:space="preserve"> mean that Caxton never changed his spellings over time; it is possible that some few variants changed over the twenty years that he was producing texts. However, the overall use of spellings—which is measured by the similarity measurements—remains the same. </w:t>
      </w:r>
    </w:p>
    <w:p w14:paraId="24714503" w14:textId="628ED4B1" w:rsidR="00A31419" w:rsidRPr="0021550A" w:rsidRDefault="00A31419" w:rsidP="000737CB">
      <w:r w:rsidRPr="0021550A">
        <w:t xml:space="preserve">The second thing we can take from this is that the prologues and epilogues, when combined, can work reasonably well as a “text” to act as an example of Caxton’s spellings when he is not working from a copy text. The prologues and epilogues are different to when Caxton is translating a text, because it is possible that the copy text affects the spellings that he uses, even when the copy text is in another language. Previous research has shown that some of Caxton’s English spellings were influenced by Dutch when translating </w:t>
      </w:r>
      <w:r w:rsidRPr="0021550A">
        <w:rPr>
          <w:i/>
        </w:rPr>
        <w:t>Reynard the Fox</w:t>
      </w:r>
      <w:r w:rsidRPr="0021550A">
        <w:t xml:space="preserve"> </w:t>
      </w:r>
      <w:r w:rsidR="00F33BAA">
        <w:t>(Blake 1991a</w:t>
      </w:r>
      <w:r w:rsidR="00F33BAA" w:rsidRPr="00F33BAA">
        <w:t>)</w:t>
      </w:r>
      <w:r w:rsidRPr="0021550A">
        <w:t xml:space="preserve">. </w:t>
      </w:r>
    </w:p>
    <w:p w14:paraId="1CB50D19" w14:textId="77777777" w:rsidR="00A31419" w:rsidRPr="0021550A" w:rsidRDefault="00A31419" w:rsidP="000737CB"/>
    <w:p w14:paraId="68C43286" w14:textId="65C0E817" w:rsidR="00A31419" w:rsidRPr="0021550A" w:rsidRDefault="00A31419" w:rsidP="00B24E22">
      <w:pPr>
        <w:ind w:firstLine="0"/>
        <w:jc w:val="left"/>
      </w:pPr>
      <w:r w:rsidRPr="0021550A">
        <w:rPr>
          <w:noProof/>
          <w:lang w:eastAsia="en-GB"/>
        </w:rPr>
        <w:lastRenderedPageBreak/>
        <w:drawing>
          <wp:inline distT="0" distB="0" distL="0" distR="0" wp14:anchorId="0FB9BFE5" wp14:editId="0272D84F">
            <wp:extent cx="4985385" cy="2988597"/>
            <wp:effectExtent l="0" t="0" r="0" b="889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rologues highlighted.pdf"/>
                    <pic:cNvPicPr/>
                  </pic:nvPicPr>
                  <pic:blipFill rotWithShape="1">
                    <a:blip r:embed="rId91">
                      <a:extLst>
                        <a:ext uri="{28A0092B-C50C-407E-A947-70E740481C1C}">
                          <a14:useLocalDpi xmlns:a14="http://schemas.microsoft.com/office/drawing/2010/main"/>
                        </a:ext>
                      </a:extLst>
                    </a:blip>
                    <a:srcRect r="6163"/>
                    <a:stretch/>
                  </pic:blipFill>
                  <pic:spPr bwMode="auto">
                    <a:xfrm>
                      <a:off x="0" y="0"/>
                      <a:ext cx="5013042" cy="3005177"/>
                    </a:xfrm>
                    <a:prstGeom prst="rect">
                      <a:avLst/>
                    </a:prstGeom>
                    <a:ln>
                      <a:noFill/>
                    </a:ln>
                    <a:extLst>
                      <a:ext uri="{53640926-AAD7-44D8-BBD7-CCE9431645EC}">
                        <a14:shadowObscured xmlns:a14="http://schemas.microsoft.com/office/drawing/2010/main"/>
                      </a:ext>
                    </a:extLst>
                  </pic:spPr>
                </pic:pic>
              </a:graphicData>
            </a:graphic>
          </wp:inline>
        </w:drawing>
      </w:r>
    </w:p>
    <w:p w14:paraId="49D33298" w14:textId="242EBE37" w:rsidR="00A31419" w:rsidRPr="0021550A" w:rsidRDefault="00453776" w:rsidP="000737CB">
      <w:pPr>
        <w:pStyle w:val="Caption"/>
      </w:pPr>
      <w:bookmarkStart w:id="264" w:name="_Toc499753570"/>
      <w:r>
        <w:t>Figure 9.12:</w:t>
      </w:r>
      <w:r w:rsidR="00A31419" w:rsidRPr="0021550A">
        <w:t xml:space="preserve"> Hierarchical clustering of Caxton’s prologues and epilogues</w:t>
      </w:r>
      <w:bookmarkEnd w:id="264"/>
    </w:p>
    <w:p w14:paraId="4648CAFC" w14:textId="77777777" w:rsidR="00A31419" w:rsidRPr="0021550A" w:rsidRDefault="00A31419" w:rsidP="000737CB"/>
    <w:p w14:paraId="404ED4C7" w14:textId="4A2A14B6" w:rsidR="00134872" w:rsidRDefault="00134872" w:rsidP="00134872">
      <w:r w:rsidRPr="0021550A">
        <w:t>Now that we know that the prologues and epilogues can be combined to form one coherent text that represents Caxton’s spellings, we can cluster these sections of text ag</w:t>
      </w:r>
      <w:r>
        <w:t>ainst the wider Caxton dataset.</w:t>
      </w:r>
      <w:r w:rsidRPr="0021550A">
        <w:t xml:space="preserve"> </w:t>
      </w:r>
      <w:r w:rsidR="002730C0">
        <w:t>Figure 9.12</w:t>
      </w:r>
      <w:r w:rsidRPr="0021550A">
        <w:t xml:space="preserve"> shows the prologues and epilogues clustered against the other texts in the dataset. The prologues and epilogues do not cluster with the texts that Caxton translated, in the leftmost cluster, but instead cluster with the </w:t>
      </w:r>
      <w:r w:rsidRPr="0021550A">
        <w:rPr>
          <w:i/>
        </w:rPr>
        <w:t>Polychronicon</w:t>
      </w:r>
      <w:r w:rsidRPr="0021550A">
        <w:t xml:space="preserve">, and other texts. </w:t>
      </w:r>
      <w:r>
        <w:t xml:space="preserve">The prologues and epilogues represent Caxton’s spellings when he is writing without a copy text or a non-English text that he is translating. </w:t>
      </w:r>
    </w:p>
    <w:p w14:paraId="1FD0A4C3" w14:textId="4B69599E" w:rsidR="00A31419" w:rsidRDefault="00134872" w:rsidP="00134872">
      <w:pPr>
        <w:rPr>
          <w:noProof/>
        </w:rPr>
      </w:pPr>
      <w:r>
        <w:t xml:space="preserve"> </w:t>
      </w:r>
      <w:r w:rsidR="00F33BAA">
        <w:t xml:space="preserve">The clustering of the prologues and epilogues provides two pieces of evidence. First, the clustering groups the prologues and epilogues in with the </w:t>
      </w:r>
      <w:r w:rsidR="00F33BAA">
        <w:rPr>
          <w:i/>
        </w:rPr>
        <w:t>Polychronicon</w:t>
      </w:r>
      <w:r w:rsidR="00F33BAA">
        <w:t xml:space="preserve"> and the </w:t>
      </w:r>
      <w:r w:rsidR="00F33BAA">
        <w:rPr>
          <w:i/>
        </w:rPr>
        <w:t>Confessio Amantis</w:t>
      </w:r>
      <w:r w:rsidR="00F33BAA">
        <w:t xml:space="preserve"> among other texts, which suggests that these texts may include Caxton’s spellings also (I return to this point in Section </w:t>
      </w:r>
      <w:r w:rsidR="00F33BAA">
        <w:fldChar w:fldCharType="begin"/>
      </w:r>
      <w:r w:rsidR="00F33BAA">
        <w:instrText xml:space="preserve"> REF _Ref497223855 \r </w:instrText>
      </w:r>
      <w:r w:rsidR="00F33BAA">
        <w:fldChar w:fldCharType="separate"/>
      </w:r>
      <w:r w:rsidR="00D11844">
        <w:t>9.5.1</w:t>
      </w:r>
      <w:r w:rsidR="00F33BAA">
        <w:fldChar w:fldCharType="end"/>
      </w:r>
      <w:r w:rsidR="00F33BAA">
        <w:t>). Second, the clustering does not group the prologues and epilogues with Caxton’s translated texts. T</w:t>
      </w:r>
      <w:r w:rsidR="0077037A">
        <w:t>his</w:t>
      </w:r>
      <w:r w:rsidR="00F33BAA">
        <w:t xml:space="preserve"> separate clustering suggests that the spellings that Caxton uses when writing English out in the prologues and epilogues are not entirely the same as the spellings he uses when translating texts </w:t>
      </w:r>
      <w:r w:rsidR="0077037A">
        <w:t xml:space="preserve">into English, perhaps due to the influence of the non-English copy text Caxton is working from. The use of the prologues and epilogues allows us to cluster the text into two main groups, shown in </w:t>
      </w:r>
      <w:r w:rsidR="00FA1D64">
        <w:t>Figure 9.13</w:t>
      </w:r>
      <w:r w:rsidR="0077037A">
        <w:rPr>
          <w:noProof/>
        </w:rPr>
        <w:t>.</w:t>
      </w:r>
    </w:p>
    <w:p w14:paraId="40A8F3CD" w14:textId="77777777" w:rsidR="0077037A" w:rsidRPr="0021550A" w:rsidRDefault="0077037A" w:rsidP="0077037A"/>
    <w:p w14:paraId="224D9AB1" w14:textId="028B6F01" w:rsidR="00A31419" w:rsidRPr="0021550A" w:rsidRDefault="00A31419" w:rsidP="00B24E22">
      <w:pPr>
        <w:ind w:firstLine="0"/>
      </w:pPr>
      <w:r w:rsidRPr="0021550A">
        <w:rPr>
          <w:noProof/>
          <w:lang w:eastAsia="en-GB"/>
        </w:rPr>
        <w:lastRenderedPageBreak/>
        <w:drawing>
          <wp:inline distT="0" distB="0" distL="0" distR="0" wp14:anchorId="6FE99118" wp14:editId="5775BD2F">
            <wp:extent cx="4902269" cy="2956952"/>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ll texts dendrogram two clusters.pdf"/>
                    <pic:cNvPicPr/>
                  </pic:nvPicPr>
                  <pic:blipFill rotWithShape="1">
                    <a:blip r:embed="rId92">
                      <a:extLst>
                        <a:ext uri="{28A0092B-C50C-407E-A947-70E740481C1C}">
                          <a14:useLocalDpi xmlns:a14="http://schemas.microsoft.com/office/drawing/2010/main"/>
                        </a:ext>
                      </a:extLst>
                    </a:blip>
                    <a:srcRect l="976" t="1733" r="7381"/>
                    <a:stretch/>
                  </pic:blipFill>
                  <pic:spPr bwMode="auto">
                    <a:xfrm>
                      <a:off x="0" y="0"/>
                      <a:ext cx="4945617" cy="2983098"/>
                    </a:xfrm>
                    <a:prstGeom prst="rect">
                      <a:avLst/>
                    </a:prstGeom>
                    <a:ln>
                      <a:noFill/>
                    </a:ln>
                    <a:extLst>
                      <a:ext uri="{53640926-AAD7-44D8-BBD7-CCE9431645EC}">
                        <a14:shadowObscured xmlns:a14="http://schemas.microsoft.com/office/drawing/2010/main"/>
                      </a:ext>
                    </a:extLst>
                  </pic:spPr>
                </pic:pic>
              </a:graphicData>
            </a:graphic>
          </wp:inline>
        </w:drawing>
      </w:r>
    </w:p>
    <w:p w14:paraId="16344794" w14:textId="31BB59BC" w:rsidR="00A31419" w:rsidRPr="0021550A" w:rsidRDefault="00453776" w:rsidP="000737CB">
      <w:pPr>
        <w:pStyle w:val="Caption"/>
      </w:pPr>
      <w:bookmarkStart w:id="265" w:name="_Toc499753571"/>
      <w:r>
        <w:t>Figure 9.13:</w:t>
      </w:r>
      <w:r w:rsidR="00A31419" w:rsidRPr="0021550A">
        <w:t xml:space="preserve"> Hierarchical clustering of Caxton's texts into two clusters</w:t>
      </w:r>
      <w:bookmarkEnd w:id="265"/>
    </w:p>
    <w:p w14:paraId="6EAAB2FB" w14:textId="77777777" w:rsidR="00A31419" w:rsidRPr="0021550A" w:rsidRDefault="00A31419" w:rsidP="000737CB"/>
    <w:p w14:paraId="25A14C8F" w14:textId="296A1C91" w:rsidR="00A31419" w:rsidRPr="0021550A" w:rsidRDefault="00FA1D64" w:rsidP="000737CB">
      <w:r>
        <w:t>Figure 9.13</w:t>
      </w:r>
      <w:r w:rsidR="00A31419" w:rsidRPr="0021550A">
        <w:t xml:space="preserve"> shows the whole texts </w:t>
      </w:r>
      <w:r w:rsidR="0000265D" w:rsidRPr="0021550A">
        <w:t xml:space="preserve">clustered based on the similarity of their spellings to one another </w:t>
      </w:r>
      <w:r w:rsidR="0000265D">
        <w:t xml:space="preserve">and the resulting dendrogram </w:t>
      </w:r>
      <w:r w:rsidR="00A31419" w:rsidRPr="0021550A">
        <w:t xml:space="preserve">divided into two clusters. Now that we know the prologues and epilogues are </w:t>
      </w:r>
      <w:r w:rsidR="0000265D">
        <w:t>clustered</w:t>
      </w:r>
      <w:r w:rsidR="00A31419" w:rsidRPr="0021550A">
        <w:t xml:space="preserve"> next to the </w:t>
      </w:r>
      <w:r w:rsidR="00A31419" w:rsidRPr="0021550A">
        <w:rPr>
          <w:i/>
        </w:rPr>
        <w:t>Polychronicon</w:t>
      </w:r>
      <w:r w:rsidR="00A31419" w:rsidRPr="0021550A">
        <w:t xml:space="preserve">, we can tentatively suggest that the cluster on the right is made up of texts that contain some of Caxton’s spellings, and the cluster on the left contains texts that do not use Caxton’s spellings. Using this additional information, we can return to the remaining unresolved questions around the </w:t>
      </w:r>
      <w:r w:rsidR="00A31419" w:rsidRPr="0021550A">
        <w:rPr>
          <w:i/>
        </w:rPr>
        <w:t>Polychronicon</w:t>
      </w:r>
      <w:r w:rsidR="00A31419" w:rsidRPr="0021550A">
        <w:t xml:space="preserve"> and the </w:t>
      </w:r>
      <w:r w:rsidR="00A31419" w:rsidRPr="0021550A">
        <w:rPr>
          <w:i/>
        </w:rPr>
        <w:t>Golden Legend</w:t>
      </w:r>
      <w:r w:rsidR="00A31419" w:rsidRPr="0021550A">
        <w:t>.</w:t>
      </w:r>
    </w:p>
    <w:p w14:paraId="3802C9B7" w14:textId="77777777" w:rsidR="00A31419" w:rsidRPr="0021550A" w:rsidRDefault="00A31419" w:rsidP="000737CB"/>
    <w:p w14:paraId="5E013B0F" w14:textId="71CD438F" w:rsidR="00A31419" w:rsidRPr="0021550A" w:rsidRDefault="00A31419" w:rsidP="000737CB">
      <w:pPr>
        <w:pStyle w:val="Heading3"/>
      </w:pPr>
      <w:bookmarkStart w:id="266" w:name="_Ref497223855"/>
      <w:r w:rsidRPr="0021550A">
        <w:t xml:space="preserve">Reconsidering the </w:t>
      </w:r>
      <w:r w:rsidRPr="00B24E22">
        <w:rPr>
          <w:i/>
        </w:rPr>
        <w:t>Polychronicon</w:t>
      </w:r>
      <w:bookmarkEnd w:id="266"/>
    </w:p>
    <w:p w14:paraId="70439686" w14:textId="5437A112" w:rsidR="00A31419" w:rsidRPr="0021550A" w:rsidRDefault="00A31419" w:rsidP="000737CB">
      <w:r w:rsidRPr="0021550A">
        <w:t xml:space="preserve">The exploration of the </w:t>
      </w:r>
      <w:r w:rsidRPr="0021550A">
        <w:rPr>
          <w:i/>
        </w:rPr>
        <w:t>Chronicles of England</w:t>
      </w:r>
      <w:r w:rsidRPr="0021550A">
        <w:t xml:space="preserve"> </w:t>
      </w:r>
      <w:r w:rsidR="0077037A">
        <w:t xml:space="preserve">undertaken in Section </w:t>
      </w:r>
      <w:r w:rsidR="0077037A">
        <w:fldChar w:fldCharType="begin"/>
      </w:r>
      <w:r w:rsidR="0077037A">
        <w:instrText xml:space="preserve"> REF _Ref492709736 \r </w:instrText>
      </w:r>
      <w:r w:rsidR="0077037A">
        <w:fldChar w:fldCharType="separate"/>
      </w:r>
      <w:r w:rsidR="00D11844">
        <w:t>9.3</w:t>
      </w:r>
      <w:r w:rsidR="0077037A">
        <w:fldChar w:fldCharType="end"/>
      </w:r>
      <w:r w:rsidR="0077037A">
        <w:t xml:space="preserve"> </w:t>
      </w:r>
      <w:r w:rsidRPr="0021550A">
        <w:t xml:space="preserve">suggests that Caxton did not write the 1419 continuation/Liber Ultimus himself, and that he used a manuscript version of the </w:t>
      </w:r>
      <w:r w:rsidRPr="0021550A">
        <w:rPr>
          <w:i/>
        </w:rPr>
        <w:t>Chronicles of England</w:t>
      </w:r>
      <w:r w:rsidRPr="0021550A">
        <w:t xml:space="preserve"> that came with the continuation already attached. In this section, we can reconsider whether Caxton wrote out the entirety of the text now that we know which of his texts contain some of his spellings. </w:t>
      </w:r>
      <w:r w:rsidR="00FA1D64">
        <w:t>Figure 9.14</w:t>
      </w:r>
      <w:r w:rsidR="00044683">
        <w:t xml:space="preserve"> </w:t>
      </w:r>
      <w:r w:rsidRPr="0021550A">
        <w:t xml:space="preserve">shows the hierarchical clustering of the Liber Ultimus and the 1419 continuation clustered against the rest of the </w:t>
      </w:r>
      <w:r w:rsidRPr="0021550A">
        <w:rPr>
          <w:i/>
        </w:rPr>
        <w:t>Polychronicon</w:t>
      </w:r>
      <w:r w:rsidRPr="0021550A">
        <w:t xml:space="preserve"> and the </w:t>
      </w:r>
      <w:r w:rsidRPr="0021550A">
        <w:rPr>
          <w:i/>
        </w:rPr>
        <w:t>Chronicles of England</w:t>
      </w:r>
      <w:r w:rsidRPr="0021550A">
        <w:t xml:space="preserve"> and the wider dataset. </w:t>
      </w:r>
    </w:p>
    <w:p w14:paraId="6BF277FB" w14:textId="77777777" w:rsidR="00A31419" w:rsidRPr="0021550A" w:rsidRDefault="00A31419" w:rsidP="000737CB"/>
    <w:p w14:paraId="4FF1C833" w14:textId="1D872D36" w:rsidR="00A31419" w:rsidRPr="0021550A" w:rsidRDefault="00A31419" w:rsidP="00B24E22">
      <w:pPr>
        <w:ind w:firstLine="0"/>
      </w:pPr>
      <w:r w:rsidRPr="0021550A">
        <w:rPr>
          <w:noProof/>
          <w:lang w:eastAsia="en-GB"/>
        </w:rPr>
        <w:lastRenderedPageBreak/>
        <w:drawing>
          <wp:inline distT="0" distB="0" distL="0" distR="0" wp14:anchorId="635FAA1B" wp14:editId="1E48DC80">
            <wp:extent cx="4985385" cy="2838753"/>
            <wp:effectExtent l="0" t="0" r="0" b="635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olyChronicles highlighted.pdf"/>
                    <pic:cNvPicPr/>
                  </pic:nvPicPr>
                  <pic:blipFill rotWithShape="1">
                    <a:blip r:embed="rId88">
                      <a:extLst>
                        <a:ext uri="{28A0092B-C50C-407E-A947-70E740481C1C}">
                          <a14:useLocalDpi xmlns:a14="http://schemas.microsoft.com/office/drawing/2010/main"/>
                        </a:ext>
                      </a:extLst>
                    </a:blip>
                    <a:srcRect l="252" r="1950" b="1004"/>
                    <a:stretch/>
                  </pic:blipFill>
                  <pic:spPr bwMode="auto">
                    <a:xfrm>
                      <a:off x="0" y="0"/>
                      <a:ext cx="5015319" cy="2855798"/>
                    </a:xfrm>
                    <a:prstGeom prst="rect">
                      <a:avLst/>
                    </a:prstGeom>
                    <a:ln>
                      <a:noFill/>
                    </a:ln>
                    <a:extLst>
                      <a:ext uri="{53640926-AAD7-44D8-BBD7-CCE9431645EC}">
                        <a14:shadowObscured xmlns:a14="http://schemas.microsoft.com/office/drawing/2010/main"/>
                      </a:ext>
                    </a:extLst>
                  </pic:spPr>
                </pic:pic>
              </a:graphicData>
            </a:graphic>
          </wp:inline>
        </w:drawing>
      </w:r>
    </w:p>
    <w:p w14:paraId="099A3BA6" w14:textId="32588FEB" w:rsidR="00A31419" w:rsidRPr="0021550A" w:rsidRDefault="00453776" w:rsidP="000737CB">
      <w:pPr>
        <w:pStyle w:val="Caption"/>
        <w:rPr>
          <w:i/>
        </w:rPr>
      </w:pPr>
      <w:bookmarkStart w:id="267" w:name="_Toc499753572"/>
      <w:r>
        <w:t>Figure 9.14:</w:t>
      </w:r>
      <w:r w:rsidR="00A31419" w:rsidRPr="0021550A">
        <w:t xml:space="preserve"> Hierarchical clustering of the Liber Ultimus and the 1419 continuation</w:t>
      </w:r>
      <w:bookmarkEnd w:id="267"/>
    </w:p>
    <w:p w14:paraId="7CEF1117" w14:textId="77777777" w:rsidR="00A31419" w:rsidRPr="0021550A" w:rsidRDefault="00A31419" w:rsidP="000737CB"/>
    <w:p w14:paraId="649CE3FB" w14:textId="77777777" w:rsidR="00044683" w:rsidRDefault="00A31419" w:rsidP="000737CB">
      <w:r w:rsidRPr="0021550A">
        <w:t xml:space="preserve">Both the Liber Ultimus and the rest of the </w:t>
      </w:r>
      <w:r w:rsidRPr="0021550A">
        <w:rPr>
          <w:i/>
        </w:rPr>
        <w:t>Polychronicon</w:t>
      </w:r>
      <w:r w:rsidRPr="0021550A">
        <w:t xml:space="preserve"> are clustered in with the texts that also include Caxton’s spellings. Caxton </w:t>
      </w:r>
      <w:r w:rsidR="0077037A">
        <w:t>was not the author of</w:t>
      </w:r>
      <w:r w:rsidRPr="0021550A">
        <w:t xml:space="preserve"> the </w:t>
      </w:r>
      <w:r w:rsidRPr="0021550A">
        <w:rPr>
          <w:i/>
        </w:rPr>
        <w:t>Polychronicon</w:t>
      </w:r>
      <w:r w:rsidRPr="0021550A">
        <w:t xml:space="preserve">, and comparison </w:t>
      </w:r>
      <w:r w:rsidR="0077037A">
        <w:t xml:space="preserve">of the </w:t>
      </w:r>
      <w:r w:rsidR="0077037A" w:rsidRPr="0077037A">
        <w:rPr>
          <w:i/>
        </w:rPr>
        <w:t>Polychronicon</w:t>
      </w:r>
      <w:r w:rsidR="0077037A">
        <w:t xml:space="preserve"> </w:t>
      </w:r>
      <w:r w:rsidRPr="0077037A">
        <w:t>with</w:t>
      </w:r>
      <w:r w:rsidRPr="0021550A">
        <w:t xml:space="preserve"> the </w:t>
      </w:r>
      <w:r w:rsidRPr="0021550A">
        <w:rPr>
          <w:i/>
        </w:rPr>
        <w:t>Chronicles of England</w:t>
      </w:r>
      <w:r w:rsidRPr="0021550A">
        <w:t xml:space="preserve"> suggests that Caxton also did not write the Liber Ultimus. </w:t>
      </w:r>
      <w:r w:rsidR="0077037A">
        <w:t xml:space="preserve">However, </w:t>
      </w:r>
      <w:r w:rsidR="003D0B11">
        <w:t>al</w:t>
      </w:r>
      <w:r w:rsidR="003D0B11" w:rsidRPr="0021550A">
        <w:t>though</w:t>
      </w:r>
      <w:r w:rsidRPr="0021550A">
        <w:t xml:space="preserve"> Caxton did not write the </w:t>
      </w:r>
      <w:r w:rsidRPr="0021550A">
        <w:rPr>
          <w:i/>
        </w:rPr>
        <w:t xml:space="preserve">Polychronicon </w:t>
      </w:r>
      <w:r w:rsidR="0077037A">
        <w:t xml:space="preserve">the clustering of the </w:t>
      </w:r>
      <w:r w:rsidR="0077037A" w:rsidRPr="0077037A">
        <w:rPr>
          <w:i/>
        </w:rPr>
        <w:t>Polychronicon</w:t>
      </w:r>
      <w:r w:rsidR="0077037A">
        <w:t xml:space="preserve"> alongside Caxton’s prologues and epilogues suggests that </w:t>
      </w:r>
      <w:r w:rsidRPr="0077037A">
        <w:t>his</w:t>
      </w:r>
      <w:r w:rsidRPr="0021550A">
        <w:t xml:space="preserve"> spellings </w:t>
      </w:r>
      <w:r w:rsidR="0077037A">
        <w:t>are</w:t>
      </w:r>
      <w:r w:rsidRPr="0021550A">
        <w:t xml:space="preserve"> in the text. </w:t>
      </w:r>
    </w:p>
    <w:p w14:paraId="052BEE95" w14:textId="4E88D97B" w:rsidR="00044683" w:rsidRPr="00F8784F" w:rsidRDefault="00044683" w:rsidP="00F8784F">
      <w:r>
        <w:t xml:space="preserve">Research Question </w:t>
      </w:r>
      <w:r w:rsidR="00FA1D64">
        <w:t>K</w:t>
      </w:r>
      <w:r>
        <w:t xml:space="preserve"> asked whether Caxton wrote out the entirety of the </w:t>
      </w:r>
      <w:r>
        <w:rPr>
          <w:i/>
        </w:rPr>
        <w:t>Polychronicon</w:t>
      </w:r>
      <w:r>
        <w:t xml:space="preserve"> in full, as Caxton suggested he did in his prologue to the text. The results in </w:t>
      </w:r>
      <w:r>
        <w:fldChar w:fldCharType="begin"/>
      </w:r>
      <w:r>
        <w:instrText xml:space="preserve"> REF _Ref492711404 </w:instrText>
      </w:r>
      <w:r>
        <w:fldChar w:fldCharType="separate"/>
      </w:r>
      <w:r>
        <w:fldChar w:fldCharType="end"/>
      </w:r>
      <w:r w:rsidR="00FA1D64">
        <w:t>Figure 9.14</w:t>
      </w:r>
      <w:r>
        <w:t xml:space="preserve"> suggest that Caxton did write out the text in full, because the </w:t>
      </w:r>
      <w:r>
        <w:rPr>
          <w:i/>
        </w:rPr>
        <w:t>Polychronicon</w:t>
      </w:r>
      <w:r>
        <w:t xml:space="preserve"> and the Liber Ultimus are both grouped into the same cluster as the prologues and epilogues. Without having written out the text in full, the </w:t>
      </w:r>
      <w:r>
        <w:rPr>
          <w:i/>
        </w:rPr>
        <w:t>Polychronicon</w:t>
      </w:r>
      <w:r>
        <w:t xml:space="preserve"> would not contain </w:t>
      </w:r>
      <w:r w:rsidR="00F8784F">
        <w:t>enough</w:t>
      </w:r>
      <w:r>
        <w:t xml:space="preserve"> </w:t>
      </w:r>
      <w:r w:rsidR="00F8784F">
        <w:t xml:space="preserve">spellings to represent Caxton’s idiolect; </w:t>
      </w:r>
      <w:r w:rsidR="00F8784F" w:rsidRPr="0021550A">
        <w:t>research suggests that the changes he mad</w:t>
      </w:r>
      <w:r w:rsidR="00F8784F">
        <w:t>e were minimal, and t</w:t>
      </w:r>
      <w:r w:rsidR="00F8784F" w:rsidRPr="0021550A">
        <w:t xml:space="preserve">he editorial work Caxton undertook on the text would not be sufficient </w:t>
      </w:r>
      <w:r w:rsidR="00F8784F">
        <w:t xml:space="preserve">for the text </w:t>
      </w:r>
      <w:r w:rsidR="00F8784F" w:rsidRPr="0021550A">
        <w:t xml:space="preserve">to include enough of his spellings into the text </w:t>
      </w:r>
      <w:r w:rsidR="00F8784F">
        <w:t xml:space="preserve">to cluster alongside the prologues and epilogues </w:t>
      </w:r>
      <w:r w:rsidR="00F8784F" w:rsidRPr="0021550A">
        <w:t>without writing the text out.</w:t>
      </w:r>
      <w:r w:rsidR="00F8784F">
        <w:t xml:space="preserve"> In contrast, the </w:t>
      </w:r>
      <w:r w:rsidR="00F8784F">
        <w:rPr>
          <w:i/>
        </w:rPr>
        <w:t>Chronicles of England</w:t>
      </w:r>
      <w:r w:rsidR="00F8784F">
        <w:t xml:space="preserve"> and the 1419 continuation are both grouped in with the </w:t>
      </w:r>
      <w:r w:rsidR="00F8784F">
        <w:rPr>
          <w:i/>
        </w:rPr>
        <w:t>Description of Britain</w:t>
      </w:r>
      <w:r w:rsidR="00F8784F">
        <w:t xml:space="preserve"> and form part of the wider cluster in </w:t>
      </w:r>
      <w:r w:rsidR="00FA1D64">
        <w:t>Figure 9.13</w:t>
      </w:r>
      <w:r w:rsidR="00F8784F">
        <w:rPr>
          <w:noProof/>
        </w:rPr>
        <w:t xml:space="preserve"> which contains texts that do not appear to have had any editorial intervention from Caxton. </w:t>
      </w:r>
    </w:p>
    <w:p w14:paraId="3DF71916" w14:textId="730C332D" w:rsidR="00134872" w:rsidRDefault="00753267" w:rsidP="000737CB">
      <w:r>
        <w:t xml:space="preserve">The clustering of Caxton’s texts provides evidence that suggests </w:t>
      </w:r>
      <w:r w:rsidR="00F8784F">
        <w:t>Caxton used</w:t>
      </w:r>
      <w:r w:rsidR="00A31419" w:rsidRPr="0021550A">
        <w:t xml:space="preserve"> different spellings when translating text to when he writes a text in English. When the dataset is divided into four clusters, there are two clusters that include Caxton’s spellings. In </w:t>
      </w:r>
      <w:r w:rsidR="00FA1D64">
        <w:t>Fi</w:t>
      </w:r>
      <w:r w:rsidR="00430FE6">
        <w:t>g</w:t>
      </w:r>
      <w:r w:rsidR="00FA1D64">
        <w:t>ure 9.14</w:t>
      </w:r>
      <w:r w:rsidR="00A31419" w:rsidRPr="0021550A">
        <w:t xml:space="preserve">, the texts that Caxton translated hold together into the leftmost </w:t>
      </w:r>
      <w:r w:rsidR="00A31419" w:rsidRPr="0021550A">
        <w:lastRenderedPageBreak/>
        <w:t>cluster, while text</w:t>
      </w:r>
      <w:r>
        <w:t>s</w:t>
      </w:r>
      <w:r w:rsidR="00A31419" w:rsidRPr="0021550A">
        <w:t xml:space="preserve"> that Caxton wrote without using a copy text in a language other than English are in the mid-left cluster. This cluster includes the sections of the </w:t>
      </w:r>
      <w:r w:rsidR="00A31419" w:rsidRPr="0021550A">
        <w:rPr>
          <w:i/>
        </w:rPr>
        <w:t>Polychronicon</w:t>
      </w:r>
      <w:r w:rsidR="00A31419" w:rsidRPr="0021550A">
        <w:t xml:space="preserve"> which Caxton </w:t>
      </w:r>
      <w:r w:rsidR="00134872">
        <w:t>appears to have written</w:t>
      </w:r>
      <w:r w:rsidR="00A31419" w:rsidRPr="0021550A">
        <w:t xml:space="preserve"> out in its entirety, and the prologues and epilogues which presumably Caxton wrote without the use of a copy text. The cluster analysis shows that there are spellings common to both clusters, because both clusters come from the same parent branch on the dendrogram. </w:t>
      </w:r>
    </w:p>
    <w:p w14:paraId="244C6519" w14:textId="1181293C" w:rsidR="00A31419" w:rsidRPr="0021550A" w:rsidRDefault="00A31419" w:rsidP="000737CB">
      <w:r w:rsidRPr="0021550A">
        <w:t xml:space="preserve">However, the cluster analysis also shows that the spellings used by Caxton when he translates a text are not entirely the same as spellings used by Caxton when he writes the prologues and epilogues to his text, or when he copies a text in English, such as the </w:t>
      </w:r>
      <w:r w:rsidRPr="0021550A">
        <w:rPr>
          <w:i/>
        </w:rPr>
        <w:t>Polychronicon</w:t>
      </w:r>
      <w:r w:rsidRPr="0021550A">
        <w:t xml:space="preserve">. Previous research has shown that Caxton changes his spellings to match the spellings of his copy text when translating; in his study into successive copies of </w:t>
      </w:r>
      <w:r w:rsidRPr="0021550A">
        <w:rPr>
          <w:i/>
        </w:rPr>
        <w:t>Reynard the Fox</w:t>
      </w:r>
      <w:r w:rsidRPr="0021550A">
        <w:t xml:space="preserve">, Norman Blake shows that Caxton incorporates Dutch spelling conventions into some words of his English text </w:t>
      </w:r>
      <w:r w:rsidR="00753267" w:rsidRPr="00753267">
        <w:t xml:space="preserve">(Blake 1991a). </w:t>
      </w:r>
      <w:r w:rsidRPr="0021550A">
        <w:t>The results of this study demonstrate the influence of the non-English copy text on Caxton’s texts more widely, and show that the spellings that Caxton used when he was writing without a copy text, or when he was copying a text in English, were different to the spellings he used when he was translating a text.</w:t>
      </w:r>
    </w:p>
    <w:p w14:paraId="21CF402F" w14:textId="77777777" w:rsidR="00A31419" w:rsidRPr="0021550A" w:rsidRDefault="00A31419" w:rsidP="000737CB"/>
    <w:p w14:paraId="26DE0538" w14:textId="02E01F29" w:rsidR="00A31419" w:rsidRPr="0021550A" w:rsidRDefault="00A31419" w:rsidP="000737CB">
      <w:pPr>
        <w:pStyle w:val="Heading3"/>
      </w:pPr>
      <w:bookmarkStart w:id="268" w:name="_Ref497210811"/>
      <w:r w:rsidRPr="0021550A">
        <w:t xml:space="preserve">Reconsidering the </w:t>
      </w:r>
      <w:r w:rsidRPr="003D0B11">
        <w:rPr>
          <w:i/>
        </w:rPr>
        <w:t>Golden Legend</w:t>
      </w:r>
      <w:bookmarkEnd w:id="268"/>
    </w:p>
    <w:p w14:paraId="3F971E5C" w14:textId="77777777" w:rsidR="00134872" w:rsidRDefault="00134872" w:rsidP="00134872">
      <w:r w:rsidRPr="0021550A">
        <w:t xml:space="preserve">Caxton’s edition of the </w:t>
      </w:r>
      <w:r w:rsidRPr="0021550A">
        <w:rPr>
          <w:i/>
        </w:rPr>
        <w:t>Golden Legend</w:t>
      </w:r>
      <w:r w:rsidRPr="0021550A">
        <w:t xml:space="preserve"> is an orthographically complex text because of the way in which it was put together. Caxton’s edition of the text is not a direct copy of the existing English text, known as the </w:t>
      </w:r>
      <w:r w:rsidRPr="0021550A">
        <w:rPr>
          <w:i/>
        </w:rPr>
        <w:t>Gilte Legende</w:t>
      </w:r>
      <w:r w:rsidRPr="0021550A">
        <w:t xml:space="preserve">, but instead Caxton’s edition was </w:t>
      </w:r>
      <w:r>
        <w:t>derived</w:t>
      </w:r>
      <w:r w:rsidRPr="0021550A">
        <w:t xml:space="preserve"> from a combination</w:t>
      </w:r>
      <w:r>
        <w:t xml:space="preserve"> of</w:t>
      </w:r>
      <w:r w:rsidRPr="0021550A">
        <w:t xml:space="preserve"> sources from several languages.</w:t>
      </w:r>
      <w:r w:rsidRPr="0021550A">
        <w:rPr>
          <w:i/>
        </w:rPr>
        <w:t xml:space="preserve"> </w:t>
      </w:r>
      <w:r w:rsidRPr="0021550A">
        <w:t xml:space="preserve">In his prologue and epilogue to the text, Caxton </w:t>
      </w:r>
      <w:r w:rsidRPr="00CE5478">
        <w:t>(1487:</w:t>
      </w:r>
      <w:r>
        <w:t xml:space="preserve"> </w:t>
      </w:r>
      <w:r w:rsidRPr="00CE5478">
        <w:t>2</w:t>
      </w:r>
      <w:r w:rsidRPr="00CE5478">
        <w:rPr>
          <w:vertAlign w:val="superscript"/>
        </w:rPr>
        <w:t>b</w:t>
      </w:r>
      <w:r w:rsidRPr="00CE5478">
        <w:t>)</w:t>
      </w:r>
      <w:r w:rsidRPr="0021550A">
        <w:t xml:space="preserve"> mentions the sources that he used to create the text, stating </w:t>
      </w:r>
    </w:p>
    <w:p w14:paraId="2374915B" w14:textId="77777777" w:rsidR="00134872" w:rsidRDefault="00134872" w:rsidP="00134872"/>
    <w:p w14:paraId="49F9130B" w14:textId="77777777" w:rsidR="00134872" w:rsidRDefault="00134872" w:rsidP="00134872">
      <w:pPr>
        <w:spacing w:line="240" w:lineRule="auto"/>
        <w:ind w:left="720" w:firstLine="0"/>
      </w:pPr>
      <w:r w:rsidRPr="0021550A">
        <w:t>I had by me a legende in frensshe another in latyn &amp; the thyrd in englysshe whiche varyed in many and dyuers places and also many hystoryes were comprysed in the two other bookes whiche</w:t>
      </w:r>
      <w:r>
        <w:t xml:space="preserve"> were not in the englysshe book</w:t>
      </w:r>
    </w:p>
    <w:p w14:paraId="735C75AB" w14:textId="77777777" w:rsidR="00134872" w:rsidRDefault="00134872" w:rsidP="00134872"/>
    <w:p w14:paraId="3D1B17CF" w14:textId="77777777" w:rsidR="00134872" w:rsidRPr="0021550A" w:rsidRDefault="00134872" w:rsidP="00134872">
      <w:r w:rsidRPr="0021550A">
        <w:t xml:space="preserve">As part of his editorial work in compiling the text, Caxton copied some of the English text into his own edition, but also translated other parts of the text from the French and Latin editions. The editorial processes undertaken by Caxton will have an impact on the spellings that appear in the printed text: the copy text used to create the printed text will contain two sets of spellings: one layer of spellings from the </w:t>
      </w:r>
      <w:r w:rsidRPr="0021550A">
        <w:rPr>
          <w:i/>
        </w:rPr>
        <w:t>Gilte Legende</w:t>
      </w:r>
      <w:r w:rsidRPr="0021550A">
        <w:t xml:space="preserve"> and a separate layer of Caxton’s spellings in the sections of text that he translated</w:t>
      </w:r>
      <w:r>
        <w:t xml:space="preserve"> from French or Latin</w:t>
      </w:r>
      <w:r w:rsidRPr="0021550A">
        <w:t xml:space="preserve">. </w:t>
      </w:r>
    </w:p>
    <w:p w14:paraId="536D2F3F" w14:textId="361429FA" w:rsidR="00134872" w:rsidRPr="0021550A" w:rsidRDefault="00134872" w:rsidP="00134872">
      <w:r w:rsidRPr="0021550A">
        <w:lastRenderedPageBreak/>
        <w:t xml:space="preserve">The spellings used in the </w:t>
      </w:r>
      <w:r w:rsidRPr="0021550A">
        <w:rPr>
          <w:i/>
        </w:rPr>
        <w:t>Golden Legend</w:t>
      </w:r>
      <w:r w:rsidRPr="0021550A">
        <w:t xml:space="preserve"> are complicated further because of the reprinting that took place for some of the extant texts. </w:t>
      </w:r>
      <w:r>
        <w:t xml:space="preserve">The version of the </w:t>
      </w:r>
      <w:r>
        <w:rPr>
          <w:i/>
        </w:rPr>
        <w:t>Golden Legend</w:t>
      </w:r>
      <w:r>
        <w:t xml:space="preserve"> used in </w:t>
      </w:r>
      <w:r>
        <w:rPr>
          <w:i/>
        </w:rPr>
        <w:t>EEBO</w:t>
      </w:r>
      <w:r>
        <w:t xml:space="preserve">-TCP is one of the second-issue texts, which includes some quires from the first print run, but other quires were reprinted several years later. </w:t>
      </w:r>
      <w:r w:rsidRPr="0021550A">
        <w:t>The quires that were reprinted are shown below on the second line in</w:t>
      </w:r>
      <w:r>
        <w:t xml:space="preserve"> </w:t>
      </w:r>
      <w:r w:rsidR="00FA1D64">
        <w:t>Figure 9.15</w:t>
      </w:r>
      <w:r w:rsidRPr="0021550A">
        <w:t>.</w:t>
      </w:r>
      <w:r>
        <w:t xml:space="preserve"> W</w:t>
      </w:r>
      <w:r w:rsidRPr="0021550A">
        <w:t xml:space="preserve">here the quires were reprinted, the type had to be reset </w:t>
      </w:r>
      <w:r w:rsidR="00F24F6B">
        <w:t>possibly</w:t>
      </w:r>
      <w:r w:rsidRPr="0021550A">
        <w:t xml:space="preserve"> by different people to the compositors who set the type during the first printing. By adding an additional layer of compositors’ spellings, the reprinting adds another layer of copying onto the layers of spelling from the copy text (which itself contains spellings from Caxton and from the </w:t>
      </w:r>
      <w:r w:rsidRPr="0021550A">
        <w:rPr>
          <w:i/>
        </w:rPr>
        <w:t>Gilte Legende</w:t>
      </w:r>
      <w:r w:rsidRPr="0021550A">
        <w:t xml:space="preserve">), and the spellings from the compositors for the first print of the text. The possible change in compositors that takes place between Cluster 3 and Cluster 5 in the second reprint of the </w:t>
      </w:r>
      <w:r w:rsidRPr="0021550A">
        <w:rPr>
          <w:i/>
        </w:rPr>
        <w:t>Golden Legend</w:t>
      </w:r>
      <w:r w:rsidRPr="0021550A">
        <w:t xml:space="preserve"> in addition to the change in compositors in the first issue, creates further orthographic complexity. </w:t>
      </w:r>
    </w:p>
    <w:p w14:paraId="1EBA75EE" w14:textId="77777777" w:rsidR="00134872" w:rsidRPr="0021550A" w:rsidRDefault="00134872" w:rsidP="00134872"/>
    <w:p w14:paraId="724AF078" w14:textId="52D9E609" w:rsidR="00134872" w:rsidRPr="0021550A" w:rsidRDefault="00134872" w:rsidP="00134872">
      <w:pPr>
        <w:ind w:firstLine="0"/>
      </w:pPr>
      <w:r w:rsidRPr="0021550A">
        <w:rPr>
          <w:noProof/>
          <w:lang w:eastAsia="en-GB"/>
        </w:rPr>
        <w:drawing>
          <wp:inline distT="0" distB="0" distL="0" distR="0" wp14:anchorId="19EC1A1E" wp14:editId="11B2AB0C">
            <wp:extent cx="5024161" cy="1477681"/>
            <wp:effectExtent l="0" t="0" r="508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olden Legend imprint split rev.pdf"/>
                    <pic:cNvPicPr/>
                  </pic:nvPicPr>
                  <pic:blipFill rotWithShape="1">
                    <a:blip r:embed="rId78">
                      <a:extLst>
                        <a:ext uri="{28A0092B-C50C-407E-A947-70E740481C1C}">
                          <a14:useLocalDpi xmlns:a14="http://schemas.microsoft.com/office/drawing/2010/main"/>
                        </a:ext>
                      </a:extLst>
                    </a:blip>
                    <a:srcRect l="4176" t="5458" r="35282" b="62888"/>
                    <a:stretch/>
                  </pic:blipFill>
                  <pic:spPr bwMode="auto">
                    <a:xfrm>
                      <a:off x="0" y="0"/>
                      <a:ext cx="5182270" cy="1524183"/>
                    </a:xfrm>
                    <a:prstGeom prst="rect">
                      <a:avLst/>
                    </a:prstGeom>
                    <a:ln>
                      <a:noFill/>
                    </a:ln>
                    <a:extLst>
                      <a:ext uri="{53640926-AAD7-44D8-BBD7-CCE9431645EC}">
                        <a14:shadowObscured xmlns:a14="http://schemas.microsoft.com/office/drawing/2010/main"/>
                      </a:ext>
                    </a:extLst>
                  </pic:spPr>
                </pic:pic>
              </a:graphicData>
            </a:graphic>
          </wp:inline>
        </w:drawing>
      </w:r>
    </w:p>
    <w:p w14:paraId="3FF81099" w14:textId="57AA8E56" w:rsidR="00134872" w:rsidRPr="0021550A" w:rsidRDefault="00453776" w:rsidP="00134872">
      <w:pPr>
        <w:pStyle w:val="Caption"/>
      </w:pPr>
      <w:bookmarkStart w:id="269" w:name="_Toc499753573"/>
      <w:r>
        <w:t>Figure 9.15:</w:t>
      </w:r>
      <w:r w:rsidR="00134872" w:rsidRPr="0021550A">
        <w:t xml:space="preserve"> </w:t>
      </w:r>
      <w:r w:rsidR="00134872" w:rsidRPr="0021550A">
        <w:rPr>
          <w:i/>
        </w:rPr>
        <w:t>Golden Legend</w:t>
      </w:r>
      <w:r w:rsidR="00134872" w:rsidRPr="0021550A">
        <w:t xml:space="preserve"> </w:t>
      </w:r>
      <w:r w:rsidR="00134872">
        <w:t>clusters divided by imprint</w:t>
      </w:r>
      <w:bookmarkEnd w:id="269"/>
    </w:p>
    <w:p w14:paraId="2AA191BA" w14:textId="77777777" w:rsidR="00134872" w:rsidRPr="0021550A" w:rsidRDefault="00134872" w:rsidP="00134872">
      <w:r w:rsidRPr="0021550A">
        <w:tab/>
      </w:r>
    </w:p>
    <w:p w14:paraId="136065BD" w14:textId="23270FE2" w:rsidR="00134872" w:rsidRPr="0021550A" w:rsidRDefault="00134872" w:rsidP="00134872">
      <w:r w:rsidRPr="0021550A">
        <w:t xml:space="preserve">In </w:t>
      </w:r>
      <w:r>
        <w:t xml:space="preserve">Section </w:t>
      </w:r>
      <w:r>
        <w:fldChar w:fldCharType="begin"/>
      </w:r>
      <w:r>
        <w:instrText xml:space="preserve"> REF _Ref492911846 \r </w:instrText>
      </w:r>
      <w:r>
        <w:fldChar w:fldCharType="separate"/>
      </w:r>
      <w:r w:rsidR="00D11844">
        <w:t>7.5.1</w:t>
      </w:r>
      <w:r>
        <w:fldChar w:fldCharType="end"/>
      </w:r>
      <w:r w:rsidRPr="0021550A">
        <w:t xml:space="preserve"> I used cluster analysis to identify quires that had come from the first imprint and quires that had been reprinted as part of the second imprint. Cluster 3 and </w:t>
      </w:r>
      <w:r>
        <w:t xml:space="preserve">Cluster </w:t>
      </w:r>
      <w:r w:rsidRPr="0021550A">
        <w:t xml:space="preserve">5 from the </w:t>
      </w:r>
      <w:r w:rsidRPr="0021550A">
        <w:rPr>
          <w:i/>
        </w:rPr>
        <w:t>Golden Legend</w:t>
      </w:r>
      <w:r>
        <w:t xml:space="preserve">—shown in </w:t>
      </w:r>
      <w:r w:rsidR="00FA1D64">
        <w:t>Figure 9.15</w:t>
      </w:r>
      <w:r>
        <w:t xml:space="preserve">—are </w:t>
      </w:r>
      <w:r w:rsidRPr="0021550A">
        <w:t xml:space="preserve">from the first print run, while Clusters 1, 2, and 4 </w:t>
      </w:r>
      <w:r>
        <w:t>are</w:t>
      </w:r>
      <w:r w:rsidRPr="0021550A">
        <w:t xml:space="preserve"> part of the reprint for the second issue. </w:t>
      </w:r>
      <w:r>
        <w:t xml:space="preserve">The quires that form the first and second imprints have been differentiated by Hellinga and Painter based on bibliographical information discussed at length in Section </w:t>
      </w:r>
      <w:r>
        <w:fldChar w:fldCharType="begin"/>
      </w:r>
      <w:r>
        <w:instrText xml:space="preserve"> REF _Ref492911846 \r </w:instrText>
      </w:r>
      <w:r>
        <w:fldChar w:fldCharType="separate"/>
      </w:r>
      <w:r w:rsidR="00D11844">
        <w:t>7.5.1</w:t>
      </w:r>
      <w:r>
        <w:fldChar w:fldCharType="end"/>
      </w:r>
      <w:r>
        <w:t>. While Chapter 7</w:t>
      </w:r>
      <w:r w:rsidRPr="0021550A">
        <w:t xml:space="preserve"> demonstrated the way in which we can isolate clusters of quires based on changes in the spellings that form the text, the analysis also raised several more research questions about the composition of the text:</w:t>
      </w:r>
    </w:p>
    <w:p w14:paraId="742BBCFA" w14:textId="070EFF65" w:rsidR="00134872" w:rsidRPr="0021550A" w:rsidRDefault="00453776" w:rsidP="00134872">
      <w:pPr>
        <w:ind w:left="1170" w:hanging="450"/>
      </w:pPr>
      <w:r>
        <w:t>F</w:t>
      </w:r>
      <w:r w:rsidR="00134872" w:rsidRPr="0021550A">
        <w:t>:</w:t>
      </w:r>
      <w:r w:rsidR="00134872" w:rsidRPr="0021550A">
        <w:tab/>
        <w:t xml:space="preserve">Are the differences between Cluster 3a and 3b and Cluster 5 in the </w:t>
      </w:r>
      <w:r w:rsidR="00134872" w:rsidRPr="0021550A">
        <w:rPr>
          <w:i/>
        </w:rPr>
        <w:t>Golden Legend</w:t>
      </w:r>
      <w:r w:rsidR="00134872" w:rsidRPr="0021550A">
        <w:t xml:space="preserve"> caused by a change in compositor? </w:t>
      </w:r>
    </w:p>
    <w:p w14:paraId="4CFDC14C" w14:textId="75EE81EB" w:rsidR="00134872" w:rsidRPr="0021550A" w:rsidRDefault="00453776" w:rsidP="00134872">
      <w:pPr>
        <w:ind w:left="1170" w:hanging="450"/>
      </w:pPr>
      <w:r>
        <w:t>G</w:t>
      </w:r>
      <w:r w:rsidR="00134872" w:rsidRPr="0021550A">
        <w:t>:</w:t>
      </w:r>
      <w:r w:rsidR="00134872" w:rsidRPr="0021550A">
        <w:tab/>
        <w:t>Are the quires in Cluster 3a and Cluster 3b typeset by the same compositor?</w:t>
      </w:r>
    </w:p>
    <w:p w14:paraId="3DED71D4" w14:textId="0CE464AC" w:rsidR="00134872" w:rsidRPr="0021550A" w:rsidRDefault="00453776" w:rsidP="00134872">
      <w:pPr>
        <w:ind w:left="1170" w:hanging="450"/>
        <w:rPr>
          <w:i/>
        </w:rPr>
      </w:pPr>
      <w:r>
        <w:lastRenderedPageBreak/>
        <w:t>H</w:t>
      </w:r>
      <w:r w:rsidR="00134872" w:rsidRPr="0021550A">
        <w:t>:</w:t>
      </w:r>
      <w:r w:rsidR="00134872" w:rsidRPr="0021550A">
        <w:tab/>
        <w:t xml:space="preserve">To what extent did Caxton copy sections of his edition of the </w:t>
      </w:r>
      <w:r w:rsidR="00134872" w:rsidRPr="0021550A">
        <w:rPr>
          <w:i/>
        </w:rPr>
        <w:t>Golden Legend</w:t>
      </w:r>
      <w:r w:rsidR="00134872" w:rsidRPr="0021550A">
        <w:t xml:space="preserve"> from the English </w:t>
      </w:r>
      <w:r w:rsidR="00134872" w:rsidRPr="0021550A">
        <w:rPr>
          <w:i/>
        </w:rPr>
        <w:t>Gilte Legende?</w:t>
      </w:r>
    </w:p>
    <w:p w14:paraId="59349719" w14:textId="07F1C06A" w:rsidR="00134872" w:rsidRPr="0021550A" w:rsidRDefault="00453776" w:rsidP="00134872">
      <w:pPr>
        <w:ind w:left="1170" w:hanging="450"/>
      </w:pPr>
      <w:r>
        <w:t>I</w:t>
      </w:r>
      <w:r w:rsidR="00134872" w:rsidRPr="0021550A">
        <w:t>:</w:t>
      </w:r>
      <w:r w:rsidR="00134872" w:rsidRPr="0021550A">
        <w:tab/>
        <w:t xml:space="preserve">Are the differences between Cluster 1 and Cluster 2 in the </w:t>
      </w:r>
      <w:r w:rsidR="00134872" w:rsidRPr="0021550A">
        <w:rPr>
          <w:i/>
        </w:rPr>
        <w:t>Golden Legend</w:t>
      </w:r>
      <w:r w:rsidR="00134872" w:rsidRPr="0021550A">
        <w:t xml:space="preserve"> caused by Caxton’s editing practices?</w:t>
      </w:r>
    </w:p>
    <w:p w14:paraId="5195860E" w14:textId="355AD70D" w:rsidR="00134872" w:rsidRPr="0021550A" w:rsidRDefault="00134872" w:rsidP="00134872">
      <w:r w:rsidRPr="0021550A">
        <w:t xml:space="preserve">Through undertaking cluster analysis and similarity measurements on the quires and the resulting clusters of the </w:t>
      </w:r>
      <w:r w:rsidRPr="0021550A">
        <w:rPr>
          <w:i/>
        </w:rPr>
        <w:t>Golden Legend</w:t>
      </w:r>
      <w:r w:rsidRPr="0021550A">
        <w:t xml:space="preserve"> it has been possible to show how the spellings that changed in the text were caused by changes in the copy text </w:t>
      </w:r>
      <w:r>
        <w:t xml:space="preserve">and the compositor. In Section </w:t>
      </w:r>
      <w:r>
        <w:fldChar w:fldCharType="begin"/>
      </w:r>
      <w:r>
        <w:instrText xml:space="preserve"> REF _Ref492911846 \r </w:instrText>
      </w:r>
      <w:r>
        <w:fldChar w:fldCharType="separate"/>
      </w:r>
      <w:r w:rsidR="00D11844">
        <w:t>7.5.1</w:t>
      </w:r>
      <w:r>
        <w:fldChar w:fldCharType="end"/>
      </w:r>
      <w:r w:rsidRPr="0021550A">
        <w:t xml:space="preserve">, I showed that the </w:t>
      </w:r>
      <w:r w:rsidRPr="0021550A">
        <w:rPr>
          <w:i/>
        </w:rPr>
        <w:t>Golden Legend</w:t>
      </w:r>
      <w:r w:rsidRPr="0021550A">
        <w:t xml:space="preserve"> can be divided into clusters based on whether the quires were from the first or second imprint, and based on changes in compositor</w:t>
      </w:r>
      <w:r>
        <w:t xml:space="preserve"> and the copy text. In Section </w:t>
      </w:r>
      <w:r>
        <w:fldChar w:fldCharType="begin"/>
      </w:r>
      <w:r>
        <w:instrText xml:space="preserve"> REF _Ref497210748 \r </w:instrText>
      </w:r>
      <w:r>
        <w:fldChar w:fldCharType="separate"/>
      </w:r>
      <w:r w:rsidR="00D11844">
        <w:t>8.3.2</w:t>
      </w:r>
      <w:r>
        <w:fldChar w:fldCharType="end"/>
      </w:r>
      <w:r w:rsidRPr="0021550A">
        <w:t>, I used similarity measurements to demonstrate that the quires that form Cluster 3a and Cluster 3b were likely set by the same compositor, in</w:t>
      </w:r>
      <w:r>
        <w:t xml:space="preserve"> response to Research Question </w:t>
      </w:r>
      <w:r w:rsidR="00FA1D64">
        <w:t xml:space="preserve">G. </w:t>
      </w:r>
      <w:r w:rsidRPr="0021550A">
        <w:t>However, when looking at the internal structure of the text, it is not possible to draw conclusions about the copy text that was used for the text.</w:t>
      </w:r>
      <w:r>
        <w:t xml:space="preserve"> </w:t>
      </w:r>
      <w:r w:rsidRPr="0021550A">
        <w:t xml:space="preserve">This section uses hierarchical cluster analysis on the wider Caxton dataset and the Clusters of the </w:t>
      </w:r>
      <w:r w:rsidRPr="0021550A">
        <w:rPr>
          <w:i/>
        </w:rPr>
        <w:t>Golden Legend</w:t>
      </w:r>
      <w:r w:rsidRPr="0021550A">
        <w:t xml:space="preserve"> that arose in Chapter</w:t>
      </w:r>
      <w:r>
        <w:t xml:space="preserve"> 7</w:t>
      </w:r>
      <w:r w:rsidR="00F6408F">
        <w:t xml:space="preserve"> to answer Research Question </w:t>
      </w:r>
      <w:r w:rsidR="00453776">
        <w:t>F</w:t>
      </w:r>
      <w:r>
        <w:t xml:space="preserve">, </w:t>
      </w:r>
      <w:r w:rsidR="00453776">
        <w:t>H</w:t>
      </w:r>
      <w:r>
        <w:t xml:space="preserve">, and </w:t>
      </w:r>
      <w:r w:rsidR="00453776">
        <w:t>I</w:t>
      </w:r>
      <w:r w:rsidRPr="0021550A">
        <w:t xml:space="preserve">. </w:t>
      </w:r>
    </w:p>
    <w:p w14:paraId="7044971B" w14:textId="78F8D234" w:rsidR="00134872" w:rsidRDefault="00134872" w:rsidP="00134872">
      <w:r w:rsidRPr="0021550A">
        <w:t xml:space="preserve">When the spellings used in different clusters of the </w:t>
      </w:r>
      <w:r w:rsidRPr="0021550A">
        <w:rPr>
          <w:i/>
        </w:rPr>
        <w:t>Golden Legend</w:t>
      </w:r>
      <w:r w:rsidRPr="0021550A">
        <w:t xml:space="preserve"> are combined to represent the text as a whole, the </w:t>
      </w:r>
      <w:r w:rsidRPr="0021550A">
        <w:rPr>
          <w:i/>
        </w:rPr>
        <w:t>Golden Legend</w:t>
      </w:r>
      <w:r w:rsidRPr="0021550A">
        <w:t xml:space="preserve"> is </w:t>
      </w:r>
      <w:r>
        <w:t>grouped with</w:t>
      </w:r>
      <w:r w:rsidRPr="0021550A">
        <w:t xml:space="preserve"> the texts that were translated by Caxton, including </w:t>
      </w:r>
      <w:r w:rsidRPr="0021550A">
        <w:rPr>
          <w:i/>
        </w:rPr>
        <w:t>Game of Chess, Paris and Vienne, Reynard the Fox</w:t>
      </w:r>
      <w:r w:rsidRPr="0021550A">
        <w:t xml:space="preserve"> and the </w:t>
      </w:r>
      <w:r w:rsidRPr="0021550A">
        <w:rPr>
          <w:i/>
        </w:rPr>
        <w:t>Book of Good Manners</w:t>
      </w:r>
      <w:r>
        <w:t>, shown in</w:t>
      </w:r>
      <w:r w:rsidR="00F24F6B">
        <w:t xml:space="preserve"> </w:t>
      </w:r>
      <w:r w:rsidR="00FA1D64">
        <w:t>Figure 9.16</w:t>
      </w:r>
      <w:r w:rsidRPr="0021550A">
        <w:t xml:space="preserve">. While the text as a whole is grouped with texts that presumably contain Caxton’s spellings, it may not be the case that the individual clusters that form the </w:t>
      </w:r>
      <w:r w:rsidRPr="0021550A">
        <w:rPr>
          <w:i/>
        </w:rPr>
        <w:t>Golden Legend</w:t>
      </w:r>
      <w:r w:rsidRPr="0021550A">
        <w:t xml:space="preserve"> all include the same spellings. We can explore the contents of the </w:t>
      </w:r>
      <w:r w:rsidRPr="0021550A">
        <w:rPr>
          <w:i/>
        </w:rPr>
        <w:t>Golden Legend</w:t>
      </w:r>
      <w:r w:rsidRPr="0021550A">
        <w:t xml:space="preserve"> more closely by clustering the five clusters of the </w:t>
      </w:r>
      <w:r w:rsidRPr="0021550A">
        <w:rPr>
          <w:i/>
        </w:rPr>
        <w:t>Golden Legend</w:t>
      </w:r>
      <w:r>
        <w:t xml:space="preserve"> that arose in Chapter 7</w:t>
      </w:r>
      <w:r w:rsidRPr="0021550A">
        <w:t xml:space="preserve"> alongside the other texts in the Caxton dataset. The other texts in the dataset act as a wider clustering context that the Clusters of the </w:t>
      </w:r>
      <w:r w:rsidRPr="0021550A">
        <w:rPr>
          <w:i/>
        </w:rPr>
        <w:t>Golden Legend</w:t>
      </w:r>
      <w:r w:rsidRPr="0021550A">
        <w:t xml:space="preserve"> can be compared against. By comparing the clusters of the text against whole texts in the wider dataset, it is possible to see the extent to which the clusters differ to one another, and align with other texts that were produced by Caxton. </w:t>
      </w:r>
    </w:p>
    <w:p w14:paraId="36E8B49A" w14:textId="77777777" w:rsidR="00134872" w:rsidRDefault="00134872" w:rsidP="00134872"/>
    <w:p w14:paraId="7B189BD6" w14:textId="2069F34F" w:rsidR="00134872" w:rsidRPr="0021550A" w:rsidRDefault="00134872" w:rsidP="00134872">
      <w:pPr>
        <w:ind w:firstLine="0"/>
      </w:pPr>
      <w:r w:rsidRPr="0021550A">
        <w:rPr>
          <w:noProof/>
          <w:lang w:eastAsia="en-GB"/>
        </w:rPr>
        <w:lastRenderedPageBreak/>
        <w:drawing>
          <wp:inline distT="0" distB="0" distL="0" distR="0" wp14:anchorId="1E6CF165" wp14:editId="54756677">
            <wp:extent cx="4985385" cy="2991687"/>
            <wp:effectExtent l="0" t="0" r="0" b="571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ll texts dendrogram four clusters.pdf"/>
                    <pic:cNvPicPr/>
                  </pic:nvPicPr>
                  <pic:blipFill rotWithShape="1">
                    <a:blip r:embed="rId85">
                      <a:extLst>
                        <a:ext uri="{28A0092B-C50C-407E-A947-70E740481C1C}">
                          <a14:useLocalDpi xmlns:a14="http://schemas.microsoft.com/office/drawing/2010/main"/>
                        </a:ext>
                      </a:extLst>
                    </a:blip>
                    <a:srcRect t="1747" r="7897"/>
                    <a:stretch/>
                  </pic:blipFill>
                  <pic:spPr bwMode="auto">
                    <a:xfrm>
                      <a:off x="0" y="0"/>
                      <a:ext cx="5021552" cy="3013390"/>
                    </a:xfrm>
                    <a:prstGeom prst="rect">
                      <a:avLst/>
                    </a:prstGeom>
                    <a:ln>
                      <a:noFill/>
                    </a:ln>
                    <a:extLst>
                      <a:ext uri="{53640926-AAD7-44D8-BBD7-CCE9431645EC}">
                        <a14:shadowObscured xmlns:a14="http://schemas.microsoft.com/office/drawing/2010/main"/>
                      </a:ext>
                    </a:extLst>
                  </pic:spPr>
                </pic:pic>
              </a:graphicData>
            </a:graphic>
          </wp:inline>
        </w:drawing>
      </w:r>
    </w:p>
    <w:p w14:paraId="7A1F50D5" w14:textId="71725312" w:rsidR="00134872" w:rsidRPr="0021550A" w:rsidRDefault="00453776" w:rsidP="00134872">
      <w:pPr>
        <w:pStyle w:val="Caption"/>
      </w:pPr>
      <w:bookmarkStart w:id="270" w:name="_Toc499753574"/>
      <w:r>
        <w:t>Figure 9.16:</w:t>
      </w:r>
      <w:r w:rsidR="00134872" w:rsidRPr="0021550A">
        <w:t xml:space="preserve"> Hierarchical clustering of Caxton's texts into four clusters</w:t>
      </w:r>
      <w:bookmarkEnd w:id="270"/>
    </w:p>
    <w:p w14:paraId="045CE70D" w14:textId="77777777" w:rsidR="00134872" w:rsidRPr="0021550A" w:rsidRDefault="00134872" w:rsidP="00134872"/>
    <w:p w14:paraId="1265E6B7" w14:textId="6C413F76" w:rsidR="00134872" w:rsidRPr="0021550A" w:rsidRDefault="00134872" w:rsidP="00134872">
      <w:r w:rsidRPr="0021550A">
        <w:t xml:space="preserve">Studies into Caxton’s edition of the text have shown that Caxton used the French text as his base text, and made amendments to this text from the Latin and English editions </w:t>
      </w:r>
      <w:r w:rsidRPr="00072828">
        <w:t>(Blake 1969:</w:t>
      </w:r>
      <w:r>
        <w:t xml:space="preserve"> </w:t>
      </w:r>
      <w:r w:rsidRPr="00072828">
        <w:t>119).</w:t>
      </w:r>
      <w:r w:rsidRPr="0021550A">
        <w:t xml:space="preserve"> It is not clear which sections of the text were copied directly from the English edition, and which sections of the text Caxton translated from French and Latin. The cluster analysis can be used to show which texts—or sections of texts—contain different spellings. In the case of the </w:t>
      </w:r>
      <w:r w:rsidRPr="0021550A">
        <w:rPr>
          <w:i/>
        </w:rPr>
        <w:t>Golden Legend</w:t>
      </w:r>
      <w:r w:rsidRPr="0021550A">
        <w:t xml:space="preserve">, the section of text that Caxton copied from the English </w:t>
      </w:r>
      <w:r w:rsidRPr="0021550A">
        <w:rPr>
          <w:i/>
        </w:rPr>
        <w:t>Gilte Legende</w:t>
      </w:r>
      <w:r w:rsidRPr="0021550A">
        <w:t xml:space="preserve"> is likely to contain some </w:t>
      </w:r>
      <w:r w:rsidR="005400A8">
        <w:t>different spellings to</w:t>
      </w:r>
      <w:r w:rsidRPr="0021550A">
        <w:t xml:space="preserve"> the section of text that Caxton translated from the French and Latin editions of the same text. By clustering the sections of the </w:t>
      </w:r>
      <w:r w:rsidRPr="0021550A">
        <w:rPr>
          <w:i/>
        </w:rPr>
        <w:t>Golden Legend</w:t>
      </w:r>
      <w:r w:rsidRPr="0021550A">
        <w:t xml:space="preserve"> against the wider dataset, it is possible to see how the sections of the text are distributed. The </w:t>
      </w:r>
      <w:r w:rsidR="002F017B">
        <w:t>results</w:t>
      </w:r>
      <w:r w:rsidR="002F017B" w:rsidRPr="0021550A">
        <w:t xml:space="preserve"> </w:t>
      </w:r>
      <w:r w:rsidRPr="0021550A">
        <w:t xml:space="preserve">of clustering the five clusters of the </w:t>
      </w:r>
      <w:r w:rsidRPr="0021550A">
        <w:rPr>
          <w:i/>
        </w:rPr>
        <w:t>Golden Legend</w:t>
      </w:r>
      <w:r w:rsidRPr="0021550A">
        <w:t xml:space="preserve"> alongside the other texts in the Caxton dataset are demonstrated in </w:t>
      </w:r>
      <w:r w:rsidR="00FA1D64">
        <w:t>Figure 9.17</w:t>
      </w:r>
      <w:r w:rsidR="00F24F6B">
        <w:t>, overleaf</w:t>
      </w:r>
      <w:r w:rsidRPr="0021550A">
        <w:t>.</w:t>
      </w:r>
    </w:p>
    <w:p w14:paraId="08FCB450" w14:textId="2B887558" w:rsidR="00F24F6B" w:rsidRDefault="00FA1D64" w:rsidP="00F24F6B">
      <w:r>
        <w:t>Figure 9.17</w:t>
      </w:r>
      <w:r w:rsidR="00F24F6B" w:rsidRPr="0021550A">
        <w:t xml:space="preserve"> shows the dendrogram of the clusters of the </w:t>
      </w:r>
      <w:r w:rsidR="00F24F6B" w:rsidRPr="0021550A">
        <w:rPr>
          <w:i/>
        </w:rPr>
        <w:t>Golden Legend</w:t>
      </w:r>
      <w:r w:rsidR="00F24F6B" w:rsidRPr="0021550A">
        <w:t xml:space="preserve"> after hierarchical cluster analysis alongside the wider Caxton dataset. When the whole text of the </w:t>
      </w:r>
      <w:r w:rsidR="00F24F6B" w:rsidRPr="0021550A">
        <w:rPr>
          <w:i/>
        </w:rPr>
        <w:t>Golden Legend</w:t>
      </w:r>
      <w:r w:rsidR="00F24F6B" w:rsidRPr="0021550A">
        <w:t xml:space="preserve"> was clustered with the rest of the dataset</w:t>
      </w:r>
      <w:r w:rsidR="00F24F6B">
        <w:t xml:space="preserve"> in Section 9.1</w:t>
      </w:r>
      <w:r w:rsidR="00F24F6B" w:rsidRPr="0021550A">
        <w:t xml:space="preserve">, the text is grouped with the books that Caxton translated: </w:t>
      </w:r>
      <w:r w:rsidR="00F24F6B" w:rsidRPr="0021550A">
        <w:rPr>
          <w:i/>
        </w:rPr>
        <w:t>Paris and Vienne</w:t>
      </w:r>
      <w:r w:rsidR="00F24F6B" w:rsidRPr="0021550A">
        <w:t xml:space="preserve">, </w:t>
      </w:r>
      <w:r w:rsidR="00F24F6B" w:rsidRPr="0021550A">
        <w:rPr>
          <w:i/>
        </w:rPr>
        <w:t>Book of Good Manners</w:t>
      </w:r>
      <w:r w:rsidR="00F24F6B" w:rsidRPr="0021550A">
        <w:t xml:space="preserve">, </w:t>
      </w:r>
      <w:r w:rsidR="00F24F6B" w:rsidRPr="0021550A">
        <w:rPr>
          <w:i/>
        </w:rPr>
        <w:t>Game of Chess</w:t>
      </w:r>
      <w:r w:rsidR="00F24F6B" w:rsidRPr="0021550A">
        <w:t xml:space="preserve">, and </w:t>
      </w:r>
      <w:r w:rsidR="00F24F6B" w:rsidRPr="0021550A">
        <w:rPr>
          <w:i/>
        </w:rPr>
        <w:t>Reynard the Fox</w:t>
      </w:r>
      <w:r w:rsidR="00F24F6B" w:rsidRPr="0021550A">
        <w:t xml:space="preserve">. In </w:t>
      </w:r>
      <w:r>
        <w:t>Figure 9.17</w:t>
      </w:r>
      <w:r w:rsidR="00F24F6B" w:rsidRPr="0021550A">
        <w:t xml:space="preserve"> when the </w:t>
      </w:r>
      <w:r w:rsidR="00F24F6B" w:rsidRPr="0021550A">
        <w:rPr>
          <w:i/>
        </w:rPr>
        <w:t>Golden Legend</w:t>
      </w:r>
      <w:r w:rsidR="00F24F6B" w:rsidRPr="0021550A">
        <w:t xml:space="preserve"> is divided into its constituent clusters, Cluster 2 and Cluster 4 remain grouped with these texts, but Cluster 5, Cluster 1, and Cluster 3a and 3b are grouped with other texts. The two rightmost clusters are closely related, because both clusters come from the same parent branch on the dendrogram. </w:t>
      </w:r>
    </w:p>
    <w:p w14:paraId="6A50B05A" w14:textId="77777777" w:rsidR="00134872" w:rsidRPr="0021550A" w:rsidRDefault="00134872" w:rsidP="00134872"/>
    <w:p w14:paraId="348A5D8A" w14:textId="143E8C6B" w:rsidR="00134872" w:rsidRPr="0021550A" w:rsidRDefault="00134872" w:rsidP="00134872">
      <w:pPr>
        <w:ind w:firstLine="0"/>
      </w:pPr>
      <w:r w:rsidRPr="0021550A">
        <w:rPr>
          <w:noProof/>
          <w:lang w:eastAsia="en-GB"/>
        </w:rPr>
        <w:lastRenderedPageBreak/>
        <w:drawing>
          <wp:inline distT="0" distB="0" distL="0" distR="0" wp14:anchorId="0E589D0A" wp14:editId="788D4C84">
            <wp:extent cx="5002242" cy="2997403"/>
            <wp:effectExtent l="0" t="0" r="1905"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olden Legend 5 clusters highlighted.pdf"/>
                    <pic:cNvPicPr/>
                  </pic:nvPicPr>
                  <pic:blipFill rotWithShape="1">
                    <a:blip r:embed="rId93">
                      <a:extLst>
                        <a:ext uri="{28A0092B-C50C-407E-A947-70E740481C1C}">
                          <a14:useLocalDpi xmlns:a14="http://schemas.microsoft.com/office/drawing/2010/main"/>
                        </a:ext>
                      </a:extLst>
                    </a:blip>
                    <a:srcRect r="9336" b="3423"/>
                    <a:stretch/>
                  </pic:blipFill>
                  <pic:spPr bwMode="auto">
                    <a:xfrm>
                      <a:off x="0" y="0"/>
                      <a:ext cx="5048657" cy="3025216"/>
                    </a:xfrm>
                    <a:prstGeom prst="rect">
                      <a:avLst/>
                    </a:prstGeom>
                    <a:ln>
                      <a:noFill/>
                    </a:ln>
                    <a:extLst>
                      <a:ext uri="{53640926-AAD7-44D8-BBD7-CCE9431645EC}">
                        <a14:shadowObscured xmlns:a14="http://schemas.microsoft.com/office/drawing/2010/main"/>
                      </a:ext>
                    </a:extLst>
                  </pic:spPr>
                </pic:pic>
              </a:graphicData>
            </a:graphic>
          </wp:inline>
        </w:drawing>
      </w:r>
    </w:p>
    <w:p w14:paraId="3B333FBD" w14:textId="26218044" w:rsidR="00134872" w:rsidRPr="0021550A" w:rsidRDefault="00453776" w:rsidP="00134872">
      <w:pPr>
        <w:pStyle w:val="Caption"/>
      </w:pPr>
      <w:bookmarkStart w:id="271" w:name="_Toc499753575"/>
      <w:r>
        <w:t>Figure 9.17:</w:t>
      </w:r>
      <w:r w:rsidR="00134872" w:rsidRPr="0021550A">
        <w:t xml:space="preserve"> Hierarchical clustering of the </w:t>
      </w:r>
      <w:r w:rsidR="00134872" w:rsidRPr="0021550A">
        <w:rPr>
          <w:i/>
        </w:rPr>
        <w:t>Golden Legend</w:t>
      </w:r>
      <w:bookmarkEnd w:id="271"/>
      <w:r w:rsidR="00134872" w:rsidRPr="0021550A">
        <w:t xml:space="preserve"> </w:t>
      </w:r>
    </w:p>
    <w:p w14:paraId="38210FE0" w14:textId="77777777" w:rsidR="00134872" w:rsidRPr="0021550A" w:rsidRDefault="00134872" w:rsidP="00134872"/>
    <w:p w14:paraId="2E7B0D63" w14:textId="495C4A84" w:rsidR="00A31419" w:rsidRPr="0021550A" w:rsidRDefault="00A31419" w:rsidP="000737CB">
      <w:r w:rsidRPr="0021550A">
        <w:t xml:space="preserve">This </w:t>
      </w:r>
      <w:r w:rsidR="00F6408F">
        <w:t xml:space="preserve">chapter </w:t>
      </w:r>
      <w:r w:rsidRPr="0021550A">
        <w:t xml:space="preserve">began by asking several research questions about the </w:t>
      </w:r>
      <w:r w:rsidRPr="0021550A">
        <w:rPr>
          <w:i/>
        </w:rPr>
        <w:t>Golden Legend</w:t>
      </w:r>
      <w:r w:rsidRPr="0021550A">
        <w:t xml:space="preserve">. </w:t>
      </w:r>
      <w:r w:rsidR="00F6408F" w:rsidRPr="0021550A">
        <w:t xml:space="preserve">We can reconsider these questions now that we have more information about the wider clustering context. </w:t>
      </w:r>
    </w:p>
    <w:p w14:paraId="41BD52DA" w14:textId="6305DF7C" w:rsidR="00A31419" w:rsidRPr="0021550A" w:rsidRDefault="00453776" w:rsidP="00753267">
      <w:pPr>
        <w:ind w:left="720" w:hanging="450"/>
      </w:pPr>
      <w:r>
        <w:t>F</w:t>
      </w:r>
      <w:r w:rsidR="00A31419" w:rsidRPr="0021550A">
        <w:t>:</w:t>
      </w:r>
      <w:r w:rsidR="00A31419" w:rsidRPr="0021550A">
        <w:tab/>
        <w:t xml:space="preserve">Are the differences between Cluster 3a and 3b and Cluster 5 in the </w:t>
      </w:r>
      <w:r w:rsidR="00A31419" w:rsidRPr="0021550A">
        <w:rPr>
          <w:i/>
        </w:rPr>
        <w:t>Golden Legend</w:t>
      </w:r>
      <w:r w:rsidR="00A31419" w:rsidRPr="0021550A">
        <w:t xml:space="preserve"> caused by a change in compositor? </w:t>
      </w:r>
    </w:p>
    <w:p w14:paraId="17203E67" w14:textId="18C20565" w:rsidR="00A31419" w:rsidRPr="0021550A" w:rsidRDefault="00453776" w:rsidP="00753267">
      <w:pPr>
        <w:ind w:left="720" w:hanging="450"/>
        <w:rPr>
          <w:i/>
        </w:rPr>
      </w:pPr>
      <w:r>
        <w:t>H</w:t>
      </w:r>
      <w:r w:rsidR="00A31419" w:rsidRPr="0021550A">
        <w:t>:</w:t>
      </w:r>
      <w:r w:rsidR="00A31419" w:rsidRPr="0021550A">
        <w:tab/>
        <w:t xml:space="preserve">To what extent did Caxton copy sections of his edition of the </w:t>
      </w:r>
      <w:r w:rsidR="00A31419" w:rsidRPr="0021550A">
        <w:rPr>
          <w:i/>
        </w:rPr>
        <w:t>Golden Legend</w:t>
      </w:r>
      <w:r w:rsidR="00A31419" w:rsidRPr="0021550A">
        <w:t xml:space="preserve"> from the English </w:t>
      </w:r>
      <w:r w:rsidR="00A31419" w:rsidRPr="0021550A">
        <w:rPr>
          <w:i/>
        </w:rPr>
        <w:t>Gilte Legende?</w:t>
      </w:r>
    </w:p>
    <w:p w14:paraId="4B06BAA7" w14:textId="0098DBAD" w:rsidR="00A31419" w:rsidRPr="0021550A" w:rsidRDefault="00453776" w:rsidP="00753267">
      <w:pPr>
        <w:ind w:left="720" w:hanging="450"/>
      </w:pPr>
      <w:r>
        <w:t>I</w:t>
      </w:r>
      <w:r w:rsidR="00A31419" w:rsidRPr="0021550A">
        <w:t>:</w:t>
      </w:r>
      <w:r w:rsidR="00A31419" w:rsidRPr="0021550A">
        <w:tab/>
        <w:t xml:space="preserve">Are the differences between Cluster 1 and Cluster 2 in the </w:t>
      </w:r>
      <w:r w:rsidR="00A31419" w:rsidRPr="0021550A">
        <w:rPr>
          <w:i/>
        </w:rPr>
        <w:t>Golden Legend</w:t>
      </w:r>
      <w:r w:rsidR="00A31419" w:rsidRPr="0021550A">
        <w:t xml:space="preserve"> caused by Caxton’s editing practices?</w:t>
      </w:r>
    </w:p>
    <w:p w14:paraId="7C0B2F1D" w14:textId="5E0D50B9" w:rsidR="0066009E" w:rsidRDefault="00A11845" w:rsidP="0066009E">
      <w:r>
        <w:t xml:space="preserve">This section </w:t>
      </w:r>
      <w:r w:rsidR="003D0B11" w:rsidRPr="0021550A">
        <w:t xml:space="preserve">shows the distribution of the clusters of the </w:t>
      </w:r>
      <w:r w:rsidR="003D0B11" w:rsidRPr="0021550A">
        <w:rPr>
          <w:i/>
        </w:rPr>
        <w:t>Golden Legend</w:t>
      </w:r>
      <w:r w:rsidR="003D0B11" w:rsidRPr="0021550A">
        <w:t xml:space="preserve"> when grouped with other texts as part of the cluster analysis. </w:t>
      </w:r>
      <w:r w:rsidR="00F6408F">
        <w:t xml:space="preserve">I suggest </w:t>
      </w:r>
      <w:r w:rsidR="003D0B11" w:rsidRPr="0021550A">
        <w:t xml:space="preserve">that Cluster 2 and Cluster 4 of the </w:t>
      </w:r>
      <w:r w:rsidR="003D0B11" w:rsidRPr="0021550A">
        <w:rPr>
          <w:i/>
        </w:rPr>
        <w:t>Golden Legend</w:t>
      </w:r>
      <w:r w:rsidR="003D0B11" w:rsidRPr="0021550A">
        <w:t xml:space="preserve"> </w:t>
      </w:r>
      <w:r w:rsidR="00F6408F">
        <w:t>are</w:t>
      </w:r>
      <w:r w:rsidR="003D0B11" w:rsidRPr="0021550A">
        <w:t xml:space="preserve"> likely to have been translated by Caxton because these clusters are grouped with the </w:t>
      </w:r>
      <w:r w:rsidR="00F6408F">
        <w:t xml:space="preserve">other </w:t>
      </w:r>
      <w:r w:rsidR="003D0B11" w:rsidRPr="0021550A">
        <w:t xml:space="preserve">texts that Caxton translated. </w:t>
      </w:r>
      <w:r w:rsidR="0066009E">
        <w:t xml:space="preserve">I turn now to assess whether the other clusters within the </w:t>
      </w:r>
      <w:r w:rsidR="0066009E">
        <w:rPr>
          <w:i/>
        </w:rPr>
        <w:t>Golden Legend</w:t>
      </w:r>
      <w:r w:rsidR="0066009E">
        <w:t xml:space="preserve"> were likely to have been translated from French or Latin sources, or whether they were copied from the English </w:t>
      </w:r>
      <w:r w:rsidR="0066009E">
        <w:rPr>
          <w:i/>
        </w:rPr>
        <w:t>Gilte Legende</w:t>
      </w:r>
      <w:r w:rsidR="0066009E">
        <w:t xml:space="preserve">. </w:t>
      </w:r>
    </w:p>
    <w:p w14:paraId="2DE06DD6" w14:textId="2DCA4EF7" w:rsidR="00A31419" w:rsidRDefault="003D0B11" w:rsidP="0066009E">
      <w:r w:rsidRPr="0021550A">
        <w:t xml:space="preserve">Cluster 5 of the </w:t>
      </w:r>
      <w:r w:rsidRPr="0021550A">
        <w:rPr>
          <w:i/>
        </w:rPr>
        <w:t>Golden Legend</w:t>
      </w:r>
      <w:r w:rsidRPr="0021550A">
        <w:t xml:space="preserve"> is clustered with the texts that also contain some of Caxton’s spellings—such as the prologues and epilogues, and the </w:t>
      </w:r>
      <w:r w:rsidRPr="0021550A">
        <w:rPr>
          <w:i/>
        </w:rPr>
        <w:t>Polychronicon</w:t>
      </w:r>
      <w:r w:rsidRPr="0021550A">
        <w:t xml:space="preserve">—though the spellings </w:t>
      </w:r>
      <w:r>
        <w:t xml:space="preserve">Caxton used when copying or writing English </w:t>
      </w:r>
      <w:r w:rsidRPr="0021550A">
        <w:t>are not the same as the spellings used when Caxton translated text</w:t>
      </w:r>
      <w:r>
        <w:t xml:space="preserve"> into English</w:t>
      </w:r>
      <w:r w:rsidRPr="0021550A">
        <w:t xml:space="preserve">. Like the </w:t>
      </w:r>
      <w:r w:rsidRPr="0021550A">
        <w:rPr>
          <w:i/>
        </w:rPr>
        <w:t>Polychronicon</w:t>
      </w:r>
      <w:r w:rsidRPr="0021550A">
        <w:t xml:space="preserve">, it is likely that Cluster 5 of the </w:t>
      </w:r>
      <w:r w:rsidRPr="0021550A">
        <w:rPr>
          <w:i/>
        </w:rPr>
        <w:t>Golden Legend</w:t>
      </w:r>
      <w:r w:rsidRPr="0021550A">
        <w:t xml:space="preserve"> was copied out in full by Caxton from the English </w:t>
      </w:r>
      <w:r w:rsidRPr="0021550A">
        <w:rPr>
          <w:i/>
        </w:rPr>
        <w:t>Gilte Legende</w:t>
      </w:r>
      <w:r w:rsidRPr="0021550A">
        <w:t xml:space="preserve">. </w:t>
      </w:r>
      <w:r w:rsidR="00A31419" w:rsidRPr="0021550A">
        <w:t xml:space="preserve">In comparison, Cluster 1 from the </w:t>
      </w:r>
      <w:r w:rsidR="00A31419" w:rsidRPr="0021550A">
        <w:rPr>
          <w:i/>
        </w:rPr>
        <w:t>Golden Legend</w:t>
      </w:r>
      <w:r w:rsidR="00A31419" w:rsidRPr="0021550A">
        <w:t xml:space="preserve"> does not appear to have had any intervention from Caxton—the text clusters with texts that do not contain </w:t>
      </w:r>
      <w:r w:rsidR="00A31419" w:rsidRPr="0021550A">
        <w:lastRenderedPageBreak/>
        <w:t>any of Caxton’s spellings</w:t>
      </w:r>
      <w:r w:rsidR="002C5315">
        <w:t xml:space="preserve">, such as </w:t>
      </w:r>
      <w:r w:rsidR="002C5315">
        <w:rPr>
          <w:i/>
        </w:rPr>
        <w:t>Boethius</w:t>
      </w:r>
      <w:r w:rsidR="002C5315">
        <w:t xml:space="preserve"> and the </w:t>
      </w:r>
      <w:r w:rsidR="002C5315">
        <w:rPr>
          <w:i/>
        </w:rPr>
        <w:t>Canterbury Tales</w:t>
      </w:r>
      <w:r w:rsidR="00A31419" w:rsidRPr="0021550A">
        <w:t xml:space="preserve">. In this case, it appears likely that the first section of the </w:t>
      </w:r>
      <w:r w:rsidR="00A31419" w:rsidRPr="0021550A">
        <w:rPr>
          <w:i/>
        </w:rPr>
        <w:t>Golden Legend</w:t>
      </w:r>
      <w:r w:rsidR="00A31419" w:rsidRPr="0021550A">
        <w:t xml:space="preserve">, up to the beginning of Quire m, was given to the compositors directly and Caxton did not undertake any editorial work on this section of text. The observation that the earlier part of the text differs from the later part of the text has also been noted by Norman Blake, who notes that all the stories including and following on from Joshua “contain references to non-Biblical sources” </w:t>
      </w:r>
      <w:r w:rsidR="002C5315" w:rsidRPr="002C5315">
        <w:t>(Blake 1991b:</w:t>
      </w:r>
      <w:r w:rsidR="002C5315">
        <w:t xml:space="preserve"> </w:t>
      </w:r>
      <w:r w:rsidR="002C5315" w:rsidRPr="002C5315">
        <w:t xml:space="preserve">222). </w:t>
      </w:r>
      <w:r w:rsidR="00A31419" w:rsidRPr="0021550A">
        <w:t xml:space="preserve">The section of the </w:t>
      </w:r>
      <w:r w:rsidR="00A31419" w:rsidRPr="0021550A">
        <w:rPr>
          <w:i/>
        </w:rPr>
        <w:t>Golden Legend</w:t>
      </w:r>
      <w:r w:rsidR="00A31419" w:rsidRPr="0021550A">
        <w:t xml:space="preserve"> that covers Joshua falls in Quire h, which is slightly earlier than the change that I note takes place in or around Quire l. These results suggest that the compositors followed the </w:t>
      </w:r>
      <w:r w:rsidR="00A31419" w:rsidRPr="0021550A">
        <w:rPr>
          <w:i/>
        </w:rPr>
        <w:t>Gilte Legende</w:t>
      </w:r>
      <w:r w:rsidR="00A31419" w:rsidRPr="0021550A">
        <w:t xml:space="preserve"> until Quire m, and after this point the compositors used a copy text provided by Caxton that included his editorial interventions. </w:t>
      </w:r>
    </w:p>
    <w:p w14:paraId="44F95F50" w14:textId="67D134A3" w:rsidR="00007978" w:rsidRDefault="00007978" w:rsidP="0066009E">
      <w:r>
        <w:t xml:space="preserve">In response to Research Question </w:t>
      </w:r>
      <w:r w:rsidR="005D310C">
        <w:t>H</w:t>
      </w:r>
      <w:r>
        <w:t xml:space="preserve">, it appears that Caxton did not copy a great deal of the text from the </w:t>
      </w:r>
      <w:r>
        <w:rPr>
          <w:i/>
        </w:rPr>
        <w:t>Gilte Legende</w:t>
      </w:r>
      <w:r>
        <w:t xml:space="preserve">, likely only using the material towards the end of the text that makes up Cluster 5. In answer to Research Question </w:t>
      </w:r>
      <w:r w:rsidR="005D310C">
        <w:t>I</w:t>
      </w:r>
      <w:r>
        <w:t xml:space="preserve"> which asked what had caused the difference between the idiolects in Cluster 1 and Cluster 2, Cluster 1 appears to include quires that were unedited by Caxton, and the remaining clusters appear to have been translated by Caxton from either the French or Latin editions of the text. </w:t>
      </w:r>
    </w:p>
    <w:p w14:paraId="3FE84FB2" w14:textId="46E41386" w:rsidR="00007978" w:rsidRPr="0021550A" w:rsidRDefault="00007978" w:rsidP="0066009E">
      <w:r>
        <w:t xml:space="preserve">Research Question </w:t>
      </w:r>
      <w:r w:rsidR="005D310C">
        <w:t>F</w:t>
      </w:r>
      <w:r>
        <w:t xml:space="preserve"> asked whether the distinction between Cluster 5 and Clusters 3a and 3b was caused by a change in compositor. </w:t>
      </w:r>
      <w:r w:rsidR="005D310C">
        <w:t>Figure 9.18</w:t>
      </w:r>
      <w:r w:rsidR="00C72888">
        <w:rPr>
          <w:noProof/>
        </w:rPr>
        <w:t xml:space="preserve"> shows </w:t>
      </w:r>
      <w:r w:rsidR="00C72888" w:rsidRPr="0021550A">
        <w:t>the clustering for all the texts and subtexts that were used in this study.</w:t>
      </w:r>
      <w:r w:rsidR="00C72888">
        <w:t xml:space="preserve"> Cluster 5 is grouped in with the other texts that were copied out by Caxton from English texts. Clusters 3a and 3b are grouped in to a separate cluster, which different to both the texts that were translated, and the texts that were written out in full. </w:t>
      </w:r>
    </w:p>
    <w:p w14:paraId="35EE5308" w14:textId="36CDD78B" w:rsidR="005A0507" w:rsidRPr="0021550A" w:rsidRDefault="005D310C" w:rsidP="000737CB">
      <w:r>
        <w:t>Figure 9.18</w:t>
      </w:r>
      <w:r w:rsidR="005A0507" w:rsidRPr="0021550A">
        <w:t xml:space="preserve"> shows the clustering for all the texts and subtexts that were used in this study. The section of this dendrogram that is of interest for this study is the cluster that includes the full text of </w:t>
      </w:r>
      <w:r w:rsidR="005A0507" w:rsidRPr="0021550A">
        <w:rPr>
          <w:i/>
        </w:rPr>
        <w:t>Paris and Vienne</w:t>
      </w:r>
      <w:r w:rsidR="005A0507" w:rsidRPr="0021550A">
        <w:t xml:space="preserve">, alongside sections of the </w:t>
      </w:r>
      <w:r w:rsidR="005A0507" w:rsidRPr="0021550A">
        <w:rPr>
          <w:i/>
        </w:rPr>
        <w:t xml:space="preserve">Golden Legend </w:t>
      </w:r>
      <w:r w:rsidR="005A0507" w:rsidRPr="0021550A">
        <w:t xml:space="preserve">and the </w:t>
      </w:r>
      <w:r w:rsidR="005A0507" w:rsidRPr="0021550A">
        <w:rPr>
          <w:i/>
        </w:rPr>
        <w:t>Book of Good Manners</w:t>
      </w:r>
      <w:r w:rsidR="005A0507" w:rsidRPr="0021550A">
        <w:t>, highlighted in yellow.</w:t>
      </w:r>
      <w:r w:rsidR="005A0507">
        <w:t xml:space="preserve"> We know that these texts and sections of texts all contain many spellings in common</w:t>
      </w:r>
      <w:r w:rsidR="0066009E">
        <w:t xml:space="preserve"> because they cluster together.</w:t>
      </w:r>
    </w:p>
    <w:p w14:paraId="2C9DC9F8" w14:textId="77777777" w:rsidR="00A31419" w:rsidRPr="0021550A" w:rsidRDefault="00A31419" w:rsidP="000737CB">
      <w:pPr>
        <w:sectPr w:rsidR="00A31419" w:rsidRPr="0021550A" w:rsidSect="00BB5184">
          <w:footerReference w:type="default" r:id="rId94"/>
          <w:pgSz w:w="11900" w:h="16840"/>
          <w:pgMar w:top="1440" w:right="1440" w:bottom="1440" w:left="1440" w:header="720" w:footer="1008" w:gutter="1152"/>
          <w:cols w:space="720"/>
          <w:docGrid w:linePitch="360"/>
        </w:sectPr>
      </w:pPr>
    </w:p>
    <w:p w14:paraId="3C59F288" w14:textId="7BDB73CC" w:rsidR="00A31419" w:rsidRPr="0021550A" w:rsidRDefault="00A31419" w:rsidP="002C5315">
      <w:pPr>
        <w:ind w:firstLine="0"/>
      </w:pPr>
      <w:r w:rsidRPr="0021550A">
        <w:rPr>
          <w:noProof/>
          <w:lang w:eastAsia="en-GB"/>
        </w:rPr>
        <w:lastRenderedPageBreak/>
        <w:drawing>
          <wp:inline distT="0" distB="0" distL="0" distR="0" wp14:anchorId="4E64B6C8" wp14:editId="5BE4596B">
            <wp:extent cx="8058785" cy="4533355"/>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ll texts paris compositor highlighted.pdf"/>
                    <pic:cNvPicPr/>
                  </pic:nvPicPr>
                  <pic:blipFill>
                    <a:blip r:embed="rId95">
                      <a:extLst>
                        <a:ext uri="{28A0092B-C50C-407E-A947-70E740481C1C}">
                          <a14:useLocalDpi xmlns:a14="http://schemas.microsoft.com/office/drawing/2010/main"/>
                        </a:ext>
                      </a:extLst>
                    </a:blip>
                    <a:stretch>
                      <a:fillRect/>
                    </a:stretch>
                  </pic:blipFill>
                  <pic:spPr>
                    <a:xfrm>
                      <a:off x="0" y="0"/>
                      <a:ext cx="8106452" cy="4560170"/>
                    </a:xfrm>
                    <a:prstGeom prst="rect">
                      <a:avLst/>
                    </a:prstGeom>
                  </pic:spPr>
                </pic:pic>
              </a:graphicData>
            </a:graphic>
          </wp:inline>
        </w:drawing>
      </w:r>
    </w:p>
    <w:p w14:paraId="61BA112A" w14:textId="4AE75B9B" w:rsidR="00A31419" w:rsidRPr="0021550A" w:rsidRDefault="004B7F3E" w:rsidP="005A0507">
      <w:pPr>
        <w:pStyle w:val="Caption"/>
        <w:ind w:left="0" w:firstLine="0"/>
      </w:pPr>
      <w:bookmarkStart w:id="272" w:name="_Toc499753576"/>
      <w:r>
        <w:t>Figure 9.18:</w:t>
      </w:r>
      <w:r w:rsidR="00A31419" w:rsidRPr="0021550A">
        <w:t xml:space="preserve"> Hierarchical clustering of all subsections of text and whole texts</w:t>
      </w:r>
      <w:bookmarkEnd w:id="272"/>
    </w:p>
    <w:p w14:paraId="3A315638" w14:textId="77777777" w:rsidR="00A31419" w:rsidRPr="0021550A" w:rsidRDefault="00A31419" w:rsidP="000737CB">
      <w:pPr>
        <w:sectPr w:rsidR="00A31419" w:rsidRPr="0021550A" w:rsidSect="00DD0828">
          <w:footerReference w:type="default" r:id="rId96"/>
          <w:pgSz w:w="16840" w:h="11900" w:orient="landscape"/>
          <w:pgMar w:top="1440" w:right="1440" w:bottom="1440" w:left="1440" w:header="720" w:footer="720" w:gutter="1152"/>
          <w:cols w:space="720"/>
          <w:docGrid w:linePitch="360"/>
        </w:sectPr>
      </w:pPr>
    </w:p>
    <w:p w14:paraId="5369F1CE" w14:textId="7812D14B" w:rsidR="0066009E" w:rsidRPr="0021550A" w:rsidRDefault="00C72888" w:rsidP="0066009E">
      <w:r>
        <w:lastRenderedPageBreak/>
        <w:t xml:space="preserve">I suggest that these texts group together because they were typeset by the same compositor. </w:t>
      </w:r>
      <w:r w:rsidR="0066009E" w:rsidRPr="0021550A">
        <w:t xml:space="preserve">The cluster analysis alone does not provide enough evidence to suggest that these texts were typeset by the same compositor, but we can use the similarity measurements to provide further support. Comparisons between the similarity between the texts that </w:t>
      </w:r>
      <w:r w:rsidR="0066009E">
        <w:t>may have been</w:t>
      </w:r>
      <w:r w:rsidR="0066009E" w:rsidRPr="0021550A">
        <w:t xml:space="preserve"> typeset by one compositor are shown in the table below. </w:t>
      </w:r>
    </w:p>
    <w:p w14:paraId="226E53EA" w14:textId="77777777" w:rsidR="0066009E" w:rsidRPr="0021550A" w:rsidRDefault="0066009E" w:rsidP="0066009E"/>
    <w:tbl>
      <w:tblPr>
        <w:tblStyle w:val="GridTable1Light"/>
        <w:tblW w:w="0" w:type="auto"/>
        <w:tblLook w:val="04A0" w:firstRow="1" w:lastRow="0" w:firstColumn="1" w:lastColumn="0" w:noHBand="0" w:noVBand="1"/>
      </w:tblPr>
      <w:tblGrid>
        <w:gridCol w:w="2982"/>
        <w:gridCol w:w="2977"/>
        <w:gridCol w:w="1899"/>
      </w:tblGrid>
      <w:tr w:rsidR="0066009E" w:rsidRPr="0021550A" w14:paraId="49E683FE" w14:textId="77777777" w:rsidTr="003670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3" w:type="dxa"/>
            <w:vAlign w:val="center"/>
          </w:tcPr>
          <w:p w14:paraId="7D95F6F2" w14:textId="77777777" w:rsidR="0066009E" w:rsidRPr="0021550A" w:rsidRDefault="0066009E" w:rsidP="0036702E">
            <w:pPr>
              <w:ind w:firstLine="0"/>
              <w:jc w:val="center"/>
              <w:rPr>
                <w:b w:val="0"/>
              </w:rPr>
            </w:pPr>
            <w:r w:rsidRPr="0021550A">
              <w:t>Text under comparison</w:t>
            </w:r>
          </w:p>
        </w:tc>
        <w:tc>
          <w:tcPr>
            <w:tcW w:w="3003" w:type="dxa"/>
            <w:vAlign w:val="center"/>
          </w:tcPr>
          <w:p w14:paraId="7D2F91EE" w14:textId="77777777" w:rsidR="0066009E" w:rsidRPr="0021550A" w:rsidRDefault="0066009E" w:rsidP="0036702E">
            <w:pPr>
              <w:ind w:firstLine="0"/>
              <w:jc w:val="center"/>
              <w:cnfStyle w:val="100000000000" w:firstRow="1" w:lastRow="0" w:firstColumn="0" w:lastColumn="0" w:oddVBand="0" w:evenVBand="0" w:oddHBand="0" w:evenHBand="0" w:firstRowFirstColumn="0" w:firstRowLastColumn="0" w:lastRowFirstColumn="0" w:lastRowLastColumn="0"/>
              <w:rPr>
                <w:b w:val="0"/>
              </w:rPr>
            </w:pPr>
            <w:r w:rsidRPr="0021550A">
              <w:t>Other text</w:t>
            </w:r>
          </w:p>
        </w:tc>
        <w:tc>
          <w:tcPr>
            <w:tcW w:w="1909" w:type="dxa"/>
            <w:vAlign w:val="center"/>
          </w:tcPr>
          <w:p w14:paraId="24FE4695" w14:textId="77777777" w:rsidR="0066009E" w:rsidRPr="0021550A" w:rsidRDefault="0066009E" w:rsidP="0036702E">
            <w:pPr>
              <w:ind w:firstLine="0"/>
              <w:jc w:val="center"/>
              <w:cnfStyle w:val="100000000000" w:firstRow="1" w:lastRow="0" w:firstColumn="0" w:lastColumn="0" w:oddVBand="0" w:evenVBand="0" w:oddHBand="0" w:evenHBand="0" w:firstRowFirstColumn="0" w:firstRowLastColumn="0" w:lastRowFirstColumn="0" w:lastRowLastColumn="0"/>
              <w:rPr>
                <w:b w:val="0"/>
              </w:rPr>
            </w:pPr>
            <w:r w:rsidRPr="0021550A">
              <w:t>Similarity score</w:t>
            </w:r>
          </w:p>
        </w:tc>
      </w:tr>
      <w:tr w:rsidR="0066009E" w:rsidRPr="0021550A" w14:paraId="304D3617" w14:textId="77777777" w:rsidTr="0036702E">
        <w:tc>
          <w:tcPr>
            <w:cnfStyle w:val="001000000000" w:firstRow="0" w:lastRow="0" w:firstColumn="1" w:lastColumn="0" w:oddVBand="0" w:evenVBand="0" w:oddHBand="0" w:evenHBand="0" w:firstRowFirstColumn="0" w:firstRowLastColumn="0" w:lastRowFirstColumn="0" w:lastRowLastColumn="0"/>
            <w:tcW w:w="3003" w:type="dxa"/>
            <w:vAlign w:val="center"/>
          </w:tcPr>
          <w:p w14:paraId="2B627427" w14:textId="77777777" w:rsidR="0066009E" w:rsidRPr="00AF58D5" w:rsidRDefault="0066009E" w:rsidP="0036702E">
            <w:pPr>
              <w:ind w:firstLine="0"/>
              <w:jc w:val="center"/>
              <w:rPr>
                <w:b w:val="0"/>
              </w:rPr>
            </w:pPr>
            <w:r w:rsidRPr="00AF58D5">
              <w:rPr>
                <w:b w:val="0"/>
              </w:rPr>
              <w:t>Paris and Vienne</w:t>
            </w:r>
          </w:p>
        </w:tc>
        <w:tc>
          <w:tcPr>
            <w:tcW w:w="3003" w:type="dxa"/>
            <w:vAlign w:val="center"/>
          </w:tcPr>
          <w:p w14:paraId="7B0EBD94" w14:textId="77777777" w:rsidR="0066009E" w:rsidRPr="0021550A" w:rsidRDefault="0066009E" w:rsidP="0036702E">
            <w:pPr>
              <w:ind w:firstLine="0"/>
              <w:jc w:val="center"/>
              <w:cnfStyle w:val="000000000000" w:firstRow="0" w:lastRow="0" w:firstColumn="0" w:lastColumn="0" w:oddVBand="0" w:evenVBand="0" w:oddHBand="0" w:evenHBand="0" w:firstRowFirstColumn="0" w:firstRowLastColumn="0" w:lastRowFirstColumn="0" w:lastRowLastColumn="0"/>
            </w:pPr>
            <w:r w:rsidRPr="0021550A">
              <w:t>Golden Legend cluster 3a</w:t>
            </w:r>
          </w:p>
        </w:tc>
        <w:tc>
          <w:tcPr>
            <w:tcW w:w="1909" w:type="dxa"/>
            <w:vAlign w:val="center"/>
          </w:tcPr>
          <w:p w14:paraId="7F8BC68E" w14:textId="77777777" w:rsidR="0066009E" w:rsidRPr="0021550A" w:rsidRDefault="0066009E" w:rsidP="0036702E">
            <w:pPr>
              <w:ind w:firstLine="0"/>
              <w:jc w:val="center"/>
              <w:cnfStyle w:val="000000000000" w:firstRow="0" w:lastRow="0" w:firstColumn="0" w:lastColumn="0" w:oddVBand="0" w:evenVBand="0" w:oddHBand="0" w:evenHBand="0" w:firstRowFirstColumn="0" w:firstRowLastColumn="0" w:lastRowFirstColumn="0" w:lastRowLastColumn="0"/>
            </w:pPr>
            <w:r w:rsidRPr="0021550A">
              <w:t>0.91</w:t>
            </w:r>
          </w:p>
        </w:tc>
      </w:tr>
      <w:tr w:rsidR="0066009E" w:rsidRPr="0021550A" w14:paraId="4C112C4A" w14:textId="77777777" w:rsidTr="0036702E">
        <w:tc>
          <w:tcPr>
            <w:cnfStyle w:val="001000000000" w:firstRow="0" w:lastRow="0" w:firstColumn="1" w:lastColumn="0" w:oddVBand="0" w:evenVBand="0" w:oddHBand="0" w:evenHBand="0" w:firstRowFirstColumn="0" w:firstRowLastColumn="0" w:lastRowFirstColumn="0" w:lastRowLastColumn="0"/>
            <w:tcW w:w="3003" w:type="dxa"/>
            <w:vAlign w:val="center"/>
          </w:tcPr>
          <w:p w14:paraId="1D20D79D" w14:textId="77777777" w:rsidR="0066009E" w:rsidRPr="00AF58D5" w:rsidRDefault="0066009E" w:rsidP="0036702E">
            <w:pPr>
              <w:ind w:firstLine="0"/>
              <w:jc w:val="center"/>
              <w:rPr>
                <w:b w:val="0"/>
              </w:rPr>
            </w:pPr>
            <w:r w:rsidRPr="00AF58D5">
              <w:rPr>
                <w:b w:val="0"/>
              </w:rPr>
              <w:t>Paris and Vienne</w:t>
            </w:r>
          </w:p>
        </w:tc>
        <w:tc>
          <w:tcPr>
            <w:tcW w:w="3003" w:type="dxa"/>
            <w:vAlign w:val="center"/>
          </w:tcPr>
          <w:p w14:paraId="0FFC71E9" w14:textId="77777777" w:rsidR="0066009E" w:rsidRPr="0021550A" w:rsidRDefault="0066009E" w:rsidP="0036702E">
            <w:pPr>
              <w:ind w:firstLine="0"/>
              <w:jc w:val="center"/>
              <w:cnfStyle w:val="000000000000" w:firstRow="0" w:lastRow="0" w:firstColumn="0" w:lastColumn="0" w:oddVBand="0" w:evenVBand="0" w:oddHBand="0" w:evenHBand="0" w:firstRowFirstColumn="0" w:firstRowLastColumn="0" w:lastRowFirstColumn="0" w:lastRowLastColumn="0"/>
            </w:pPr>
            <w:r w:rsidRPr="0021550A">
              <w:t>Golden Legend cluster 3b</w:t>
            </w:r>
          </w:p>
        </w:tc>
        <w:tc>
          <w:tcPr>
            <w:tcW w:w="1909" w:type="dxa"/>
            <w:vAlign w:val="center"/>
          </w:tcPr>
          <w:p w14:paraId="62AAC33F" w14:textId="77777777" w:rsidR="0066009E" w:rsidRPr="0021550A" w:rsidRDefault="0066009E" w:rsidP="0036702E">
            <w:pPr>
              <w:ind w:firstLine="0"/>
              <w:jc w:val="center"/>
              <w:cnfStyle w:val="000000000000" w:firstRow="0" w:lastRow="0" w:firstColumn="0" w:lastColumn="0" w:oddVBand="0" w:evenVBand="0" w:oddHBand="0" w:evenHBand="0" w:firstRowFirstColumn="0" w:firstRowLastColumn="0" w:lastRowFirstColumn="0" w:lastRowLastColumn="0"/>
            </w:pPr>
            <w:r w:rsidRPr="0021550A">
              <w:t>0.91</w:t>
            </w:r>
          </w:p>
        </w:tc>
      </w:tr>
      <w:tr w:rsidR="0066009E" w:rsidRPr="0021550A" w14:paraId="49B94C94" w14:textId="77777777" w:rsidTr="0036702E">
        <w:tc>
          <w:tcPr>
            <w:cnfStyle w:val="001000000000" w:firstRow="0" w:lastRow="0" w:firstColumn="1" w:lastColumn="0" w:oddVBand="0" w:evenVBand="0" w:oddHBand="0" w:evenHBand="0" w:firstRowFirstColumn="0" w:firstRowLastColumn="0" w:lastRowFirstColumn="0" w:lastRowLastColumn="0"/>
            <w:tcW w:w="3003" w:type="dxa"/>
            <w:vAlign w:val="center"/>
          </w:tcPr>
          <w:p w14:paraId="49DCFC02" w14:textId="77777777" w:rsidR="0066009E" w:rsidRPr="00AF58D5" w:rsidRDefault="0066009E" w:rsidP="0036702E">
            <w:pPr>
              <w:ind w:firstLine="0"/>
              <w:jc w:val="center"/>
              <w:rPr>
                <w:b w:val="0"/>
              </w:rPr>
            </w:pPr>
            <w:r w:rsidRPr="00AF58D5">
              <w:rPr>
                <w:b w:val="0"/>
              </w:rPr>
              <w:t>Paris and Vienne</w:t>
            </w:r>
          </w:p>
        </w:tc>
        <w:tc>
          <w:tcPr>
            <w:tcW w:w="3003" w:type="dxa"/>
            <w:vAlign w:val="center"/>
          </w:tcPr>
          <w:p w14:paraId="3DBCAC7F" w14:textId="77777777" w:rsidR="0066009E" w:rsidRPr="0021550A" w:rsidRDefault="0066009E" w:rsidP="0036702E">
            <w:pPr>
              <w:ind w:firstLine="0"/>
              <w:jc w:val="center"/>
              <w:cnfStyle w:val="000000000000" w:firstRow="0" w:lastRow="0" w:firstColumn="0" w:lastColumn="0" w:oddVBand="0" w:evenVBand="0" w:oddHBand="0" w:evenHBand="0" w:firstRowFirstColumn="0" w:firstRowLastColumn="0" w:lastRowFirstColumn="0" w:lastRowLastColumn="0"/>
            </w:pPr>
            <w:r w:rsidRPr="0021550A">
              <w:t>Book of Good Manners 1</w:t>
            </w:r>
          </w:p>
        </w:tc>
        <w:tc>
          <w:tcPr>
            <w:tcW w:w="1909" w:type="dxa"/>
            <w:vAlign w:val="center"/>
          </w:tcPr>
          <w:p w14:paraId="0A3260D4" w14:textId="77777777" w:rsidR="0066009E" w:rsidRPr="0021550A" w:rsidRDefault="0066009E" w:rsidP="0036702E">
            <w:pPr>
              <w:ind w:firstLine="0"/>
              <w:jc w:val="center"/>
              <w:cnfStyle w:val="000000000000" w:firstRow="0" w:lastRow="0" w:firstColumn="0" w:lastColumn="0" w:oddVBand="0" w:evenVBand="0" w:oddHBand="0" w:evenHBand="0" w:firstRowFirstColumn="0" w:firstRowLastColumn="0" w:lastRowFirstColumn="0" w:lastRowLastColumn="0"/>
            </w:pPr>
            <w:r w:rsidRPr="0021550A">
              <w:t>0.97</w:t>
            </w:r>
          </w:p>
        </w:tc>
      </w:tr>
      <w:tr w:rsidR="0066009E" w:rsidRPr="0021550A" w14:paraId="641A7BE5" w14:textId="77777777" w:rsidTr="0036702E">
        <w:tc>
          <w:tcPr>
            <w:cnfStyle w:val="001000000000" w:firstRow="0" w:lastRow="0" w:firstColumn="1" w:lastColumn="0" w:oddVBand="0" w:evenVBand="0" w:oddHBand="0" w:evenHBand="0" w:firstRowFirstColumn="0" w:firstRowLastColumn="0" w:lastRowFirstColumn="0" w:lastRowLastColumn="0"/>
            <w:tcW w:w="3003" w:type="dxa"/>
            <w:vAlign w:val="center"/>
          </w:tcPr>
          <w:p w14:paraId="64BBA002" w14:textId="77777777" w:rsidR="0066009E" w:rsidRPr="00AF58D5" w:rsidRDefault="0066009E" w:rsidP="0036702E">
            <w:pPr>
              <w:ind w:firstLine="0"/>
              <w:jc w:val="center"/>
              <w:rPr>
                <w:b w:val="0"/>
              </w:rPr>
            </w:pPr>
            <w:r w:rsidRPr="00AF58D5">
              <w:rPr>
                <w:b w:val="0"/>
              </w:rPr>
              <w:t>Book of Good Manners 1</w:t>
            </w:r>
          </w:p>
        </w:tc>
        <w:tc>
          <w:tcPr>
            <w:tcW w:w="3003" w:type="dxa"/>
            <w:vAlign w:val="center"/>
          </w:tcPr>
          <w:p w14:paraId="0CF64931" w14:textId="77777777" w:rsidR="0066009E" w:rsidRPr="0021550A" w:rsidRDefault="0066009E" w:rsidP="0036702E">
            <w:pPr>
              <w:ind w:firstLine="0"/>
              <w:jc w:val="center"/>
              <w:cnfStyle w:val="000000000000" w:firstRow="0" w:lastRow="0" w:firstColumn="0" w:lastColumn="0" w:oddVBand="0" w:evenVBand="0" w:oddHBand="0" w:evenHBand="0" w:firstRowFirstColumn="0" w:firstRowLastColumn="0" w:lastRowFirstColumn="0" w:lastRowLastColumn="0"/>
            </w:pPr>
            <w:r w:rsidRPr="0021550A">
              <w:t>Golden Legend cluster 3a</w:t>
            </w:r>
          </w:p>
        </w:tc>
        <w:tc>
          <w:tcPr>
            <w:tcW w:w="1909" w:type="dxa"/>
            <w:vAlign w:val="center"/>
          </w:tcPr>
          <w:p w14:paraId="5F6295D2" w14:textId="77777777" w:rsidR="0066009E" w:rsidRPr="0021550A" w:rsidRDefault="0066009E" w:rsidP="0036702E">
            <w:pPr>
              <w:ind w:firstLine="0"/>
              <w:jc w:val="center"/>
              <w:cnfStyle w:val="000000000000" w:firstRow="0" w:lastRow="0" w:firstColumn="0" w:lastColumn="0" w:oddVBand="0" w:evenVBand="0" w:oddHBand="0" w:evenHBand="0" w:firstRowFirstColumn="0" w:firstRowLastColumn="0" w:lastRowFirstColumn="0" w:lastRowLastColumn="0"/>
            </w:pPr>
            <w:r w:rsidRPr="0021550A">
              <w:t>0.91</w:t>
            </w:r>
          </w:p>
        </w:tc>
      </w:tr>
      <w:tr w:rsidR="0066009E" w:rsidRPr="0021550A" w14:paraId="126101D1" w14:textId="77777777" w:rsidTr="0036702E">
        <w:tc>
          <w:tcPr>
            <w:cnfStyle w:val="001000000000" w:firstRow="0" w:lastRow="0" w:firstColumn="1" w:lastColumn="0" w:oddVBand="0" w:evenVBand="0" w:oddHBand="0" w:evenHBand="0" w:firstRowFirstColumn="0" w:firstRowLastColumn="0" w:lastRowFirstColumn="0" w:lastRowLastColumn="0"/>
            <w:tcW w:w="3003" w:type="dxa"/>
            <w:vAlign w:val="center"/>
          </w:tcPr>
          <w:p w14:paraId="670FDB87" w14:textId="77777777" w:rsidR="0066009E" w:rsidRPr="00AF58D5" w:rsidRDefault="0066009E" w:rsidP="0036702E">
            <w:pPr>
              <w:ind w:firstLine="0"/>
              <w:jc w:val="center"/>
              <w:rPr>
                <w:b w:val="0"/>
              </w:rPr>
            </w:pPr>
            <w:r w:rsidRPr="00AF58D5">
              <w:rPr>
                <w:b w:val="0"/>
              </w:rPr>
              <w:t>Book of Good Manners 1</w:t>
            </w:r>
          </w:p>
        </w:tc>
        <w:tc>
          <w:tcPr>
            <w:tcW w:w="3003" w:type="dxa"/>
            <w:vAlign w:val="center"/>
          </w:tcPr>
          <w:p w14:paraId="6665B3FD" w14:textId="77777777" w:rsidR="0066009E" w:rsidRPr="0021550A" w:rsidRDefault="0066009E" w:rsidP="0036702E">
            <w:pPr>
              <w:ind w:firstLine="0"/>
              <w:jc w:val="center"/>
              <w:cnfStyle w:val="000000000000" w:firstRow="0" w:lastRow="0" w:firstColumn="0" w:lastColumn="0" w:oddVBand="0" w:evenVBand="0" w:oddHBand="0" w:evenHBand="0" w:firstRowFirstColumn="0" w:firstRowLastColumn="0" w:lastRowFirstColumn="0" w:lastRowLastColumn="0"/>
            </w:pPr>
            <w:r w:rsidRPr="0021550A">
              <w:t>Golden Legend cluster 3b</w:t>
            </w:r>
          </w:p>
        </w:tc>
        <w:tc>
          <w:tcPr>
            <w:tcW w:w="1909" w:type="dxa"/>
            <w:vAlign w:val="center"/>
          </w:tcPr>
          <w:p w14:paraId="66B6EAF7" w14:textId="77777777" w:rsidR="0066009E" w:rsidRPr="0021550A" w:rsidRDefault="0066009E" w:rsidP="0036702E">
            <w:pPr>
              <w:ind w:firstLine="0"/>
              <w:jc w:val="center"/>
              <w:cnfStyle w:val="000000000000" w:firstRow="0" w:lastRow="0" w:firstColumn="0" w:lastColumn="0" w:oddVBand="0" w:evenVBand="0" w:oddHBand="0" w:evenHBand="0" w:firstRowFirstColumn="0" w:firstRowLastColumn="0" w:lastRowFirstColumn="0" w:lastRowLastColumn="0"/>
            </w:pPr>
            <w:r w:rsidRPr="0021550A">
              <w:t>0.90</w:t>
            </w:r>
          </w:p>
        </w:tc>
      </w:tr>
      <w:tr w:rsidR="0066009E" w:rsidRPr="0021550A" w14:paraId="5BBF0A86" w14:textId="77777777" w:rsidTr="0036702E">
        <w:tc>
          <w:tcPr>
            <w:cnfStyle w:val="001000000000" w:firstRow="0" w:lastRow="0" w:firstColumn="1" w:lastColumn="0" w:oddVBand="0" w:evenVBand="0" w:oddHBand="0" w:evenHBand="0" w:firstRowFirstColumn="0" w:firstRowLastColumn="0" w:lastRowFirstColumn="0" w:lastRowLastColumn="0"/>
            <w:tcW w:w="3003" w:type="dxa"/>
            <w:vAlign w:val="center"/>
          </w:tcPr>
          <w:p w14:paraId="2E8F5A9C" w14:textId="77777777" w:rsidR="0066009E" w:rsidRPr="00AF58D5" w:rsidRDefault="0066009E" w:rsidP="0036702E">
            <w:pPr>
              <w:ind w:firstLine="0"/>
              <w:jc w:val="center"/>
              <w:rPr>
                <w:b w:val="0"/>
              </w:rPr>
            </w:pPr>
            <w:r w:rsidRPr="00AF58D5">
              <w:rPr>
                <w:b w:val="0"/>
              </w:rPr>
              <w:t>Golden Legend cluster 3a</w:t>
            </w:r>
          </w:p>
        </w:tc>
        <w:tc>
          <w:tcPr>
            <w:tcW w:w="3003" w:type="dxa"/>
            <w:vAlign w:val="center"/>
          </w:tcPr>
          <w:p w14:paraId="4C93E88A" w14:textId="77777777" w:rsidR="0066009E" w:rsidRPr="0021550A" w:rsidRDefault="0066009E" w:rsidP="0036702E">
            <w:pPr>
              <w:ind w:firstLine="0"/>
              <w:jc w:val="center"/>
              <w:cnfStyle w:val="000000000000" w:firstRow="0" w:lastRow="0" w:firstColumn="0" w:lastColumn="0" w:oddVBand="0" w:evenVBand="0" w:oddHBand="0" w:evenHBand="0" w:firstRowFirstColumn="0" w:firstRowLastColumn="0" w:lastRowFirstColumn="0" w:lastRowLastColumn="0"/>
            </w:pPr>
            <w:r w:rsidRPr="0021550A">
              <w:t>Golden Legend cluster 3b</w:t>
            </w:r>
          </w:p>
        </w:tc>
        <w:tc>
          <w:tcPr>
            <w:tcW w:w="1909" w:type="dxa"/>
            <w:vAlign w:val="center"/>
          </w:tcPr>
          <w:p w14:paraId="614CD61D" w14:textId="77777777" w:rsidR="0066009E" w:rsidRPr="0021550A" w:rsidRDefault="0066009E" w:rsidP="0036702E">
            <w:pPr>
              <w:ind w:firstLine="0"/>
              <w:jc w:val="center"/>
              <w:cnfStyle w:val="000000000000" w:firstRow="0" w:lastRow="0" w:firstColumn="0" w:lastColumn="0" w:oddVBand="0" w:evenVBand="0" w:oddHBand="0" w:evenHBand="0" w:firstRowFirstColumn="0" w:firstRowLastColumn="0" w:lastRowFirstColumn="0" w:lastRowLastColumn="0"/>
            </w:pPr>
            <w:r w:rsidRPr="0021550A">
              <w:t>0.96</w:t>
            </w:r>
          </w:p>
        </w:tc>
      </w:tr>
    </w:tbl>
    <w:p w14:paraId="4B039769" w14:textId="534D0385" w:rsidR="0066009E" w:rsidRPr="0021550A" w:rsidRDefault="004B7F3E" w:rsidP="0066009E">
      <w:pPr>
        <w:pStyle w:val="Caption"/>
      </w:pPr>
      <w:bookmarkStart w:id="273" w:name="_Toc499753500"/>
      <w:r>
        <w:t>Table 9.19:</w:t>
      </w:r>
      <w:r w:rsidR="0066009E" w:rsidRPr="0021550A">
        <w:t xml:space="preserve"> Similarity scores for texts typeset by one compositor</w:t>
      </w:r>
      <w:bookmarkEnd w:id="273"/>
    </w:p>
    <w:p w14:paraId="1F32C8DB" w14:textId="77777777" w:rsidR="0066009E" w:rsidRDefault="0066009E" w:rsidP="005A0507"/>
    <w:p w14:paraId="6A10DDAB" w14:textId="65E66BD3" w:rsidR="005A0507" w:rsidRDefault="005D310C" w:rsidP="005A0507">
      <w:r>
        <w:t>Table 9.19</w:t>
      </w:r>
      <w:r w:rsidR="005A0507" w:rsidRPr="0021550A">
        <w:t xml:space="preserve"> shows the similarity scores for the sections of text that cluster alongside </w:t>
      </w:r>
      <w:r w:rsidR="005A0507" w:rsidRPr="0021550A">
        <w:rPr>
          <w:i/>
        </w:rPr>
        <w:t>Paris and Vienne</w:t>
      </w:r>
      <w:r w:rsidR="005A0507" w:rsidRPr="0021550A">
        <w:t xml:space="preserve">. The similarity scores for these sections of text are in line with the scores for texts that have been typeset by one compositor and which use a stable copy text. Both the two sections of the </w:t>
      </w:r>
      <w:r w:rsidR="005A0507" w:rsidRPr="0021550A">
        <w:rPr>
          <w:i/>
        </w:rPr>
        <w:t>Golden Legend</w:t>
      </w:r>
      <w:r w:rsidR="005A0507" w:rsidRPr="0021550A">
        <w:t xml:space="preserve"> and the </w:t>
      </w:r>
      <w:r w:rsidR="005A0507" w:rsidRPr="0021550A">
        <w:rPr>
          <w:i/>
        </w:rPr>
        <w:t>Book of Good Manners</w:t>
      </w:r>
      <w:r w:rsidR="005A0507" w:rsidRPr="0021550A">
        <w:t xml:space="preserve"> first section are extremely alike the spelling variants found in </w:t>
      </w:r>
      <w:r w:rsidR="005A0507" w:rsidRPr="0021550A">
        <w:rPr>
          <w:i/>
        </w:rPr>
        <w:t>Paris and Vienne</w:t>
      </w:r>
      <w:r w:rsidR="005A0507" w:rsidRPr="0021550A">
        <w:t xml:space="preserve">, which suggests that the same sources of input were used in creating the text, in this case the same writer of the copy text, Caxton, and the same person setting the type. In the case of the </w:t>
      </w:r>
      <w:r w:rsidR="005A0507" w:rsidRPr="0021550A">
        <w:rPr>
          <w:i/>
        </w:rPr>
        <w:t>Golden Legend</w:t>
      </w:r>
      <w:r w:rsidR="005A0507" w:rsidRPr="0021550A">
        <w:t xml:space="preserve">, the likelihood is that Caxton translated the text in Cluster 3a and 3b from either Latin or French, because the spellings in this section of the </w:t>
      </w:r>
      <w:r w:rsidR="005A0507" w:rsidRPr="0021550A">
        <w:rPr>
          <w:i/>
        </w:rPr>
        <w:t>Golden Legend</w:t>
      </w:r>
      <w:r w:rsidR="005A0507" w:rsidRPr="0021550A">
        <w:t xml:space="preserve"> match the spellings used in other texts that were translated by Caxton. These results also have ramifications for the unresolved issues within the </w:t>
      </w:r>
      <w:r w:rsidR="005A0507" w:rsidRPr="0021550A">
        <w:rPr>
          <w:i/>
        </w:rPr>
        <w:t>Book of Good Manners</w:t>
      </w:r>
      <w:r w:rsidR="005A0507" w:rsidRPr="0021550A">
        <w:t>.</w:t>
      </w:r>
    </w:p>
    <w:p w14:paraId="21B6E860" w14:textId="490F50CA" w:rsidR="006E7D55" w:rsidRDefault="006E7D55" w:rsidP="000737CB">
      <w:r>
        <w:t xml:space="preserve">The </w:t>
      </w:r>
      <w:r>
        <w:rPr>
          <w:i/>
        </w:rPr>
        <w:t>Book of Good Manners</w:t>
      </w:r>
      <w:r>
        <w:t xml:space="preserve"> </w:t>
      </w:r>
      <w:r w:rsidRPr="0021550A">
        <w:t>has</w:t>
      </w:r>
      <w:r>
        <w:t xml:space="preserve"> not behaved as we would expect</w:t>
      </w:r>
      <w:r w:rsidRPr="0021550A">
        <w:t xml:space="preserve"> during the cluster </w:t>
      </w:r>
      <w:r>
        <w:t>analysis undertaken in Chapter 7</w:t>
      </w:r>
      <w:r w:rsidRPr="0021550A">
        <w:t xml:space="preserve"> and the similarity measurements in Chapt</w:t>
      </w:r>
      <w:r>
        <w:t>er 8</w:t>
      </w:r>
      <w:r w:rsidRPr="0021550A">
        <w:t xml:space="preserve">. The text shows a change in spelling variants midway through the text within Quire e. It is unlikely that the difference between the two sections of the </w:t>
      </w:r>
      <w:r w:rsidRPr="0021550A">
        <w:rPr>
          <w:i/>
        </w:rPr>
        <w:t>Book of Good Manners</w:t>
      </w:r>
      <w:r w:rsidRPr="0021550A">
        <w:t xml:space="preserve"> is caused by a change in the copy text, because Caxton’s spelling variants appear in both sections of the text.</w:t>
      </w:r>
      <w:r>
        <w:t xml:space="preserve"> </w:t>
      </w:r>
      <w:r w:rsidR="00A31419" w:rsidRPr="0021550A">
        <w:t xml:space="preserve">While there is the possibility that Caxton translated the second part of the </w:t>
      </w:r>
      <w:r w:rsidR="00A31419" w:rsidRPr="0021550A">
        <w:rPr>
          <w:i/>
        </w:rPr>
        <w:t>Book of Good Manners</w:t>
      </w:r>
      <w:r w:rsidR="00A31419" w:rsidRPr="0021550A">
        <w:t xml:space="preserve"> from a French edition of the text but merely copied out the fir</w:t>
      </w:r>
      <w:r w:rsidR="00A978DD">
        <w:t>st part from an English edition</w:t>
      </w:r>
      <w:r w:rsidR="00A31419" w:rsidRPr="0021550A">
        <w:t xml:space="preserve"> </w:t>
      </w:r>
      <w:r w:rsidR="00A978DD">
        <w:t xml:space="preserve">or vice versa, </w:t>
      </w:r>
      <w:r w:rsidR="00A31419" w:rsidRPr="0021550A">
        <w:t xml:space="preserve">this scenario is unlikely. There is no known English version of the </w:t>
      </w:r>
      <w:r w:rsidR="00A31419" w:rsidRPr="0021550A">
        <w:rPr>
          <w:i/>
        </w:rPr>
        <w:t xml:space="preserve">Book of Good Manners </w:t>
      </w:r>
      <w:r w:rsidR="00A31419" w:rsidRPr="0021550A">
        <w:t xml:space="preserve">prior to Caxton’s edition of the text. However, were this the case, we would expect the second part of the </w:t>
      </w:r>
      <w:r w:rsidR="00A31419" w:rsidRPr="0021550A">
        <w:rPr>
          <w:i/>
        </w:rPr>
        <w:t>Book of Good Manners</w:t>
      </w:r>
      <w:r w:rsidR="00A31419" w:rsidRPr="0021550A">
        <w:t xml:space="preserve"> to cluster </w:t>
      </w:r>
      <w:r w:rsidR="00A31419" w:rsidRPr="0021550A">
        <w:lastRenderedPageBreak/>
        <w:t xml:space="preserve">with the section of texts that were copied out in their entirety by Caxton or were written by him from scratch, that is, the cluster containing the </w:t>
      </w:r>
      <w:r w:rsidR="00A31419" w:rsidRPr="0021550A">
        <w:rPr>
          <w:i/>
        </w:rPr>
        <w:t>Polychronicon</w:t>
      </w:r>
      <w:r w:rsidR="00A31419" w:rsidRPr="0021550A">
        <w:t xml:space="preserve"> and the prologues and epilogues, but this is not the case. </w:t>
      </w:r>
    </w:p>
    <w:p w14:paraId="3A5ACA7B" w14:textId="651BE1D0" w:rsidR="00A31419" w:rsidRPr="0021550A" w:rsidRDefault="00A31419" w:rsidP="000737CB">
      <w:r w:rsidRPr="0021550A">
        <w:t xml:space="preserve">The only other layer of spelling variation is introduced by the compositor. </w:t>
      </w:r>
      <w:r w:rsidR="006E7D55">
        <w:t xml:space="preserve">I argue that the single compositor </w:t>
      </w:r>
      <w:r w:rsidRPr="0021550A">
        <w:t xml:space="preserve">who set the type for </w:t>
      </w:r>
      <w:r w:rsidRPr="0021550A">
        <w:rPr>
          <w:i/>
        </w:rPr>
        <w:t>Paris and Vienne</w:t>
      </w:r>
      <w:r w:rsidR="006E7D55">
        <w:t xml:space="preserve"> is the </w:t>
      </w:r>
      <w:r w:rsidRPr="0021550A">
        <w:t xml:space="preserve">same compositor who typeset Cluster 3a and 3b for the </w:t>
      </w:r>
      <w:r w:rsidRPr="0021550A">
        <w:rPr>
          <w:i/>
        </w:rPr>
        <w:t>Golden Legend</w:t>
      </w:r>
      <w:r w:rsidR="006E7D55">
        <w:t xml:space="preserve">. I suggest that this compositor also </w:t>
      </w:r>
      <w:r w:rsidRPr="0021550A">
        <w:t>set the type for</w:t>
      </w:r>
      <w:r w:rsidRPr="0021550A">
        <w:rPr>
          <w:i/>
        </w:rPr>
        <w:t xml:space="preserve"> </w:t>
      </w:r>
      <w:r w:rsidRPr="0021550A">
        <w:t>the</w:t>
      </w:r>
      <w:r w:rsidR="006E7D55">
        <w:t xml:space="preserve"> first section of the</w:t>
      </w:r>
      <w:r w:rsidRPr="0021550A">
        <w:t xml:space="preserve"> </w:t>
      </w:r>
      <w:r w:rsidRPr="0021550A">
        <w:rPr>
          <w:i/>
        </w:rPr>
        <w:t>Book of Good Manners</w:t>
      </w:r>
      <w:r w:rsidR="006E7D55">
        <w:t>, before being replaced by a different compositor partway through the text</w:t>
      </w:r>
      <w:r w:rsidRPr="0021550A">
        <w:t>. In this case, the two layers of spelling variation are almost the same: the first layer is Caxton’s spelling variation, and the second is one compositor.</w:t>
      </w:r>
    </w:p>
    <w:p w14:paraId="4816B6A9" w14:textId="77777777" w:rsidR="00A31419" w:rsidRPr="0021550A" w:rsidRDefault="00A31419" w:rsidP="000737CB"/>
    <w:p w14:paraId="2A6A5367" w14:textId="11753851" w:rsidR="00A31419" w:rsidRPr="0021550A" w:rsidRDefault="00A31419" w:rsidP="000737CB">
      <w:pPr>
        <w:pStyle w:val="Heading2"/>
      </w:pPr>
      <w:bookmarkStart w:id="274" w:name="_Toc497899885"/>
      <w:r w:rsidRPr="0021550A">
        <w:t xml:space="preserve">Chapter </w:t>
      </w:r>
      <w:bookmarkEnd w:id="274"/>
      <w:r w:rsidR="006A2745">
        <w:t>conclusions</w:t>
      </w:r>
    </w:p>
    <w:p w14:paraId="124DC6F4" w14:textId="683216C1" w:rsidR="00EC284D" w:rsidRPr="0021550A" w:rsidRDefault="00A31419" w:rsidP="00EC284D">
      <w:r w:rsidRPr="0021550A">
        <w:t xml:space="preserve">This chapter began by asking </w:t>
      </w:r>
      <w:r w:rsidR="00A978DD">
        <w:t>whether it is</w:t>
      </w:r>
      <w:r w:rsidRPr="0021550A">
        <w:t xml:space="preserve"> possible to isolate </w:t>
      </w:r>
      <w:r w:rsidR="00A978DD">
        <w:t>sections of Caxton’s texts that contain his input, based on an exploration of the or</w:t>
      </w:r>
      <w:r w:rsidR="005C4AB9">
        <w:t>thography used within the texts, and</w:t>
      </w:r>
      <w:r w:rsidR="00E841D9">
        <w:t xml:space="preserve"> expands our knowledge of Caxton’s approach towards editing and translating</w:t>
      </w:r>
      <w:r w:rsidR="005C4AB9">
        <w:t xml:space="preserve">. </w:t>
      </w:r>
      <w:r w:rsidR="00EC284D" w:rsidRPr="0021550A">
        <w:t xml:space="preserve">In the case of the </w:t>
      </w:r>
      <w:r w:rsidR="00EC284D" w:rsidRPr="0021550A">
        <w:rPr>
          <w:i/>
        </w:rPr>
        <w:t>Polychronicon</w:t>
      </w:r>
      <w:r w:rsidR="00EC284D" w:rsidRPr="0021550A">
        <w:t>, Caxton’s editorial practice was to write out the entirety of the text in order to amend the text in the way that he thought necessary</w:t>
      </w:r>
      <w:r w:rsidR="00EC284D">
        <w:t xml:space="preserve"> (Section </w:t>
      </w:r>
      <w:r w:rsidR="00EC284D">
        <w:fldChar w:fldCharType="begin"/>
      </w:r>
      <w:r w:rsidR="00EC284D">
        <w:instrText xml:space="preserve"> REF _Ref492709736 \r </w:instrText>
      </w:r>
      <w:r w:rsidR="00EC284D">
        <w:fldChar w:fldCharType="separate"/>
      </w:r>
      <w:r w:rsidR="00D11844">
        <w:t>9.3</w:t>
      </w:r>
      <w:r w:rsidR="00EC284D">
        <w:fldChar w:fldCharType="end"/>
      </w:r>
      <w:r w:rsidR="00EC284D">
        <w:t>)</w:t>
      </w:r>
      <w:r w:rsidR="00EC284D" w:rsidRPr="0021550A">
        <w:t xml:space="preserve">. The cluster analysis shows that the same may be true of other texts that contain similar spellings to the </w:t>
      </w:r>
      <w:r w:rsidR="00EC284D" w:rsidRPr="0021550A">
        <w:rPr>
          <w:i/>
        </w:rPr>
        <w:t>Polychronicon</w:t>
      </w:r>
      <w:r w:rsidR="00EC284D" w:rsidRPr="0021550A">
        <w:t xml:space="preserve"> and Caxton’s prologues and epilogues; Caxton’s </w:t>
      </w:r>
      <w:r w:rsidR="00EC284D" w:rsidRPr="0021550A">
        <w:rPr>
          <w:i/>
        </w:rPr>
        <w:t>Troilus and Criseyde</w:t>
      </w:r>
      <w:r w:rsidR="00EC284D" w:rsidRPr="0021550A">
        <w:t xml:space="preserve"> and the </w:t>
      </w:r>
      <w:r w:rsidR="00EC284D" w:rsidRPr="0021550A">
        <w:rPr>
          <w:i/>
        </w:rPr>
        <w:t>Confessio Amantis</w:t>
      </w:r>
      <w:r w:rsidR="00EC284D" w:rsidRPr="0021550A">
        <w:t xml:space="preserve"> both contain similar spellings to the prologues and epilogues, which may mean that Caxton wrote these texts out in full, either to make minor amendments or to make a copy text for use in the printing house. Caxton also appears to have created the copy texts used to print the texts that he translated, </w:t>
      </w:r>
      <w:r w:rsidR="00EC284D">
        <w:t>an inference supported</w:t>
      </w:r>
      <w:r w:rsidR="00EC284D" w:rsidRPr="0021550A">
        <w:t xml:space="preserve"> by the high frequency of Caxton’s spellings within those particular texts. Many texts of those examined for this study escaped Caxton’s intervention: his first edition of the </w:t>
      </w:r>
      <w:r w:rsidR="00EC284D" w:rsidRPr="0021550A">
        <w:rPr>
          <w:i/>
        </w:rPr>
        <w:t>Canterbury Tales</w:t>
      </w:r>
      <w:r w:rsidR="00EC284D" w:rsidRPr="0021550A">
        <w:t xml:space="preserve">, </w:t>
      </w:r>
      <w:r w:rsidR="00EC284D" w:rsidRPr="0021550A">
        <w:rPr>
          <w:i/>
        </w:rPr>
        <w:t>Boethius</w:t>
      </w:r>
      <w:r w:rsidR="00EC284D" w:rsidRPr="0021550A">
        <w:t xml:space="preserve">, and the </w:t>
      </w:r>
      <w:r w:rsidR="00EC284D" w:rsidRPr="0021550A">
        <w:rPr>
          <w:i/>
        </w:rPr>
        <w:t>Chronicles of England</w:t>
      </w:r>
      <w:r w:rsidR="00EC284D" w:rsidRPr="0021550A">
        <w:t xml:space="preserve"> do not contain Caxton’s spellings, which suggests that Caxton did not actively amend these texts or write them up himself before publication.</w:t>
      </w:r>
    </w:p>
    <w:p w14:paraId="054A4B7F" w14:textId="15A137F8" w:rsidR="005C4AB9" w:rsidRDefault="005C4AB9" w:rsidP="005C4AB9">
      <w:r w:rsidRPr="0021550A">
        <w:t xml:space="preserve">By clustering the sections of the </w:t>
      </w:r>
      <w:r w:rsidRPr="0021550A">
        <w:rPr>
          <w:i/>
        </w:rPr>
        <w:t>Golden Legend</w:t>
      </w:r>
      <w:r w:rsidRPr="0021550A">
        <w:t xml:space="preserve"> that arose from Chapter </w:t>
      </w:r>
      <w:r>
        <w:t>7</w:t>
      </w:r>
      <w:r w:rsidRPr="0021550A">
        <w:t xml:space="preserve"> against the wider dataset </w:t>
      </w:r>
      <w:r>
        <w:t xml:space="preserve">I suggest that Caxton’s editorial preference was to give some of the early text from the </w:t>
      </w:r>
      <w:r>
        <w:rPr>
          <w:i/>
        </w:rPr>
        <w:t>Gilte Legende</w:t>
      </w:r>
      <w:r>
        <w:t xml:space="preserve"> to the compositors without intervening in the text himself. Later text was translated from either the French or Latin copies, and some further text was likely copied out by Caxton from the </w:t>
      </w:r>
      <w:r>
        <w:rPr>
          <w:i/>
        </w:rPr>
        <w:t>Gilte Legende</w:t>
      </w:r>
      <w:r>
        <w:t xml:space="preserve"> (Section </w:t>
      </w:r>
      <w:r>
        <w:fldChar w:fldCharType="begin"/>
      </w:r>
      <w:r>
        <w:instrText xml:space="preserve"> REF _Ref497210811 \r </w:instrText>
      </w:r>
      <w:r>
        <w:fldChar w:fldCharType="separate"/>
      </w:r>
      <w:r w:rsidR="00D11844">
        <w:t>9.5.2</w:t>
      </w:r>
      <w:r>
        <w:fldChar w:fldCharType="end"/>
      </w:r>
      <w:r>
        <w:t xml:space="preserve">). The use of existing copy by compositors for an early part of the text raises the possibility that the compositors began working before Caxton had finished editing and translating the other parts of the text. </w:t>
      </w:r>
    </w:p>
    <w:p w14:paraId="040EF72B" w14:textId="64ECE05C" w:rsidR="00A31419" w:rsidRDefault="00EC284D" w:rsidP="002C697C">
      <w:r>
        <w:lastRenderedPageBreak/>
        <w:t>This</w:t>
      </w:r>
      <w:r w:rsidRPr="0021550A">
        <w:t xml:space="preserve"> study has shown that in the texts that Caxton translated, Caxton’s spellings remain in the text</w:t>
      </w:r>
      <w:r>
        <w:t>.</w:t>
      </w:r>
      <w:r w:rsidRPr="0021550A">
        <w:t xml:space="preserve"> </w:t>
      </w:r>
      <w:r w:rsidR="00A31419" w:rsidRPr="0021550A">
        <w:t>However, the spellings that Caxton used when translating a text do not appear to be identical to the spellings used when writing new English texts or copying manuscripts that were written in English</w:t>
      </w:r>
      <w:r w:rsidR="006E7D55">
        <w:t xml:space="preserve"> (Section </w:t>
      </w:r>
      <w:r w:rsidR="006E7D55">
        <w:fldChar w:fldCharType="begin"/>
      </w:r>
      <w:r w:rsidR="006E7D55">
        <w:instrText xml:space="preserve"> REF _Ref499720178 \r </w:instrText>
      </w:r>
      <w:r w:rsidR="006E7D55">
        <w:fldChar w:fldCharType="separate"/>
      </w:r>
      <w:r w:rsidR="00D11844">
        <w:t>9.5</w:t>
      </w:r>
      <w:r w:rsidR="006E7D55">
        <w:fldChar w:fldCharType="end"/>
      </w:r>
      <w:r w:rsidR="006E7D55">
        <w:t>)</w:t>
      </w:r>
      <w:r w:rsidR="00A31419" w:rsidRPr="0021550A">
        <w:t xml:space="preserve">. I suggest that the difference in spellings used by Caxton is caused by the influence of the copy text. Norman Blake has shown that some of Caxton’s spellings in </w:t>
      </w:r>
      <w:r w:rsidR="00A31419" w:rsidRPr="0021550A">
        <w:rPr>
          <w:i/>
        </w:rPr>
        <w:t>Reynard the Fox</w:t>
      </w:r>
      <w:r w:rsidR="00A31419" w:rsidRPr="0021550A">
        <w:t xml:space="preserve"> were influenced by the Dutch copy text; the results from the present study suggest that in all the texts that Caxton translated, the spellings differ to when he wrote text in English. </w:t>
      </w:r>
      <w:r w:rsidR="005C4AB9">
        <w:t xml:space="preserve">This chapter also expands our knowledge of the approaches taken in the printing house to the use of copy texts and the way that compositors worked together. Through examination of the </w:t>
      </w:r>
      <w:r w:rsidR="005C4AB9">
        <w:rPr>
          <w:i/>
        </w:rPr>
        <w:t>Book of Good Manners</w:t>
      </w:r>
      <w:r w:rsidR="005C4AB9">
        <w:t xml:space="preserve"> (at the end of Section </w:t>
      </w:r>
      <w:r w:rsidR="005C4AB9">
        <w:fldChar w:fldCharType="begin"/>
      </w:r>
      <w:r w:rsidR="005C4AB9">
        <w:instrText xml:space="preserve"> REF _Ref497210811 \r </w:instrText>
      </w:r>
      <w:r w:rsidR="005C4AB9">
        <w:fldChar w:fldCharType="separate"/>
      </w:r>
      <w:r w:rsidR="00D11844">
        <w:t>9.5.2</w:t>
      </w:r>
      <w:r w:rsidR="005C4AB9">
        <w:fldChar w:fldCharType="end"/>
      </w:r>
      <w:r w:rsidR="005C4AB9">
        <w:t xml:space="preserve">), </w:t>
      </w:r>
      <w:r w:rsidR="006E7D55">
        <w:t>I argue</w:t>
      </w:r>
      <w:r w:rsidR="00A31419" w:rsidRPr="0021550A">
        <w:t xml:space="preserve"> that the copy texts for </w:t>
      </w:r>
      <w:r w:rsidR="006E7D55">
        <w:t xml:space="preserve">the </w:t>
      </w:r>
      <w:r w:rsidR="006E7D55">
        <w:rPr>
          <w:i/>
        </w:rPr>
        <w:t>Book of Good Manners</w:t>
      </w:r>
      <w:r w:rsidR="006E7D55">
        <w:t xml:space="preserve">, </w:t>
      </w:r>
      <w:r w:rsidR="006E7D55">
        <w:rPr>
          <w:i/>
        </w:rPr>
        <w:t>Paris and Vienne</w:t>
      </w:r>
      <w:r w:rsidR="006E7D55">
        <w:t xml:space="preserve">, and part of the </w:t>
      </w:r>
      <w:r w:rsidR="006E7D55">
        <w:rPr>
          <w:i/>
        </w:rPr>
        <w:t>Golden Legend</w:t>
      </w:r>
      <w:r w:rsidR="00A31419" w:rsidRPr="0021550A">
        <w:t xml:space="preserve"> were translated into English by Caxton, and that one individual</w:t>
      </w:r>
      <w:r w:rsidR="006E7D55">
        <w:t xml:space="preserve"> compositor set the type for the first half of the </w:t>
      </w:r>
      <w:r w:rsidR="006E7D55">
        <w:rPr>
          <w:i/>
        </w:rPr>
        <w:t>Book of Good Manners</w:t>
      </w:r>
      <w:r w:rsidR="006E7D55">
        <w:t xml:space="preserve"> before being replaced by a different compositor partway through setting the type for Quire e. </w:t>
      </w:r>
    </w:p>
    <w:p w14:paraId="70C729EA" w14:textId="3099222F" w:rsidR="00A31419" w:rsidRPr="0021550A" w:rsidRDefault="00EC284D" w:rsidP="002C697C">
      <w:r w:rsidRPr="0021550A">
        <w:t xml:space="preserve">This chapter set out to test the limits of the methods developed within this thesis and to resolve the uncertainties that arose during studies in earlier chapters. </w:t>
      </w:r>
      <w:r w:rsidR="002C697C">
        <w:t xml:space="preserve">Through combining cluster analysis and similarity testing, this chapter demonstrates how we can use quantitative methods to research the impact of an individual on sections of text. In this case, </w:t>
      </w:r>
      <w:r>
        <w:t>I used</w:t>
      </w:r>
      <w:r w:rsidR="002C697C">
        <w:t xml:space="preserve"> spellings to find out the extent to which Caxton was involved in the creation of the texts produced by his printing house.</w:t>
      </w:r>
      <w:r w:rsidR="00A31419" w:rsidRPr="0021550A">
        <w:t xml:space="preserve"> </w:t>
      </w:r>
      <w:r w:rsidR="00A978DD">
        <w:t xml:space="preserve">Spelling variation as a source of authorship attribution is not ideal because it covers only one aspect of the linguistic features used by an individual. A full authorship attribution study into the texts written by Caxton would include other linguistic features, lexis and syntax in particular, though such work is well beyond the scope of this thesis. </w:t>
      </w:r>
      <w:r w:rsidR="00A978DD" w:rsidRPr="0021550A">
        <w:t>It was not the intention of this study to develop a method for authorship analysis; this chapter aims to demonstrate the wider ranging use that these methods could be put to when applied to early printing.</w:t>
      </w:r>
      <w:r w:rsidR="00A978DD">
        <w:t xml:space="preserve"> </w:t>
      </w:r>
      <w:r>
        <w:t>The</w:t>
      </w:r>
      <w:r w:rsidR="00A978DD">
        <w:t xml:space="preserve"> use of spellings to explore the contribution made by individuals to Caxton’s texts has provided evidence to support my argument that </w:t>
      </w:r>
      <w:r w:rsidR="00A31419" w:rsidRPr="0021550A">
        <w:t xml:space="preserve">Caxton </w:t>
      </w:r>
      <w:r w:rsidR="006470B9">
        <w:t>was the translator for</w:t>
      </w:r>
      <w:r w:rsidR="00A31419" w:rsidRPr="0021550A">
        <w:t xml:space="preserve"> the </w:t>
      </w:r>
      <w:r w:rsidR="00A31419" w:rsidRPr="0021550A">
        <w:rPr>
          <w:i/>
        </w:rPr>
        <w:t>Book of Good Manners</w:t>
      </w:r>
      <w:r w:rsidR="006470B9">
        <w:t xml:space="preserve">. Additionally, </w:t>
      </w:r>
      <w:r w:rsidR="001E1E68">
        <w:t>I argue that Caxton did not</w:t>
      </w:r>
      <w:r w:rsidR="00A31419" w:rsidRPr="0021550A">
        <w:t xml:space="preserve"> personally write the </w:t>
      </w:r>
      <w:r w:rsidR="001E1E68">
        <w:t xml:space="preserve">Liber Ultimus section within the </w:t>
      </w:r>
      <w:r w:rsidR="001E1E68">
        <w:rPr>
          <w:i/>
        </w:rPr>
        <w:t>Polychronicon</w:t>
      </w:r>
      <w:r w:rsidR="001E1E68">
        <w:t xml:space="preserve">. Instead, it is more likely that Caxton received a copy of the </w:t>
      </w:r>
      <w:r w:rsidR="001E1E68">
        <w:rPr>
          <w:i/>
        </w:rPr>
        <w:t>Chronicles of England</w:t>
      </w:r>
      <w:r w:rsidR="001E1E68">
        <w:t xml:space="preserve"> complete with the 1419 continuation, </w:t>
      </w:r>
      <w:r w:rsidR="002C697C">
        <w:t>reprinted</w:t>
      </w:r>
      <w:r w:rsidR="001E1E68">
        <w:t xml:space="preserve"> the continuation under the name of Liber Ultimus in the </w:t>
      </w:r>
      <w:r w:rsidR="001E1E68">
        <w:rPr>
          <w:i/>
        </w:rPr>
        <w:t>Polychronicon</w:t>
      </w:r>
      <w:r w:rsidR="002C697C">
        <w:t xml:space="preserve"> in 1482.</w:t>
      </w:r>
      <w:r w:rsidR="001E1E68">
        <w:t xml:space="preserve"> </w:t>
      </w:r>
    </w:p>
    <w:p w14:paraId="281E50DB" w14:textId="769E2F73" w:rsidR="00E13B92" w:rsidRDefault="00A31419" w:rsidP="006C38BF">
      <w:r w:rsidRPr="0021550A">
        <w:t xml:space="preserve">Through combining the quantitative methods introduced in earlier chapters, this study </w:t>
      </w:r>
      <w:r w:rsidR="00EC284D">
        <w:t xml:space="preserve">explores Caxton’s approach to editing and translation, expands our knowledge of the processes used in dividing copy and the work of compositors, and shows that Caxton’s </w:t>
      </w:r>
      <w:r w:rsidR="00EC284D">
        <w:lastRenderedPageBreak/>
        <w:t xml:space="preserve">own idiolect has remained stable throughout the texts that he printed. </w:t>
      </w:r>
      <w:r w:rsidR="006C38BF">
        <w:t xml:space="preserve">The next and final chapter draws together the concepts and themes that have underpinned this thesis to discuss the conclusions and the implications and possibilities presented by this work for future research. </w:t>
      </w:r>
      <w:r w:rsidR="00E13B92">
        <w:br w:type="page"/>
      </w:r>
    </w:p>
    <w:p w14:paraId="06940B30" w14:textId="01F88534" w:rsidR="002A3EE8" w:rsidRPr="002C6B02" w:rsidRDefault="00E13B92" w:rsidP="00173DDA">
      <w:pPr>
        <w:pStyle w:val="Heading1"/>
      </w:pPr>
      <w:bookmarkStart w:id="275" w:name="_Toc497899886"/>
      <w:r w:rsidRPr="002C6B02">
        <w:lastRenderedPageBreak/>
        <w:t>Conclu</w:t>
      </w:r>
      <w:r w:rsidR="008D5154">
        <w:t>sions</w:t>
      </w:r>
      <w:bookmarkEnd w:id="275"/>
    </w:p>
    <w:p w14:paraId="26D7A3A8" w14:textId="0D726FBA" w:rsidR="002C6B02" w:rsidRDefault="00394F64" w:rsidP="0063541F">
      <w:r>
        <w:t xml:space="preserve">This thesis </w:t>
      </w:r>
      <w:r w:rsidR="00C822A0">
        <w:t xml:space="preserve">was guided by three research questions: (i) how does spelling variation operate at the level of the individual in fifteenth-century English? (ii) what were Caxton’s practices as an editor and a translator? and (iii) what quantitative methods are most suitable for investigating (i) and (ii)? Through the investigation of these research questions, I </w:t>
      </w:r>
      <w:r w:rsidR="00055EEC">
        <w:t>present new quantitative methods for the exploration of spelling variation in William Caxton’</w:t>
      </w:r>
      <w:r w:rsidR="008F61A9">
        <w:t>s early printed texts. T</w:t>
      </w:r>
      <w:r w:rsidR="00D4188E">
        <w:t xml:space="preserve">hrough the application </w:t>
      </w:r>
      <w:r w:rsidR="008F61A9">
        <w:t>of these methods, this work broadens</w:t>
      </w:r>
      <w:r w:rsidR="00A112DA">
        <w:t xml:space="preserve"> our understanding of spelling variation in fifteenth-century print and </w:t>
      </w:r>
      <w:r w:rsidR="008F61A9">
        <w:t xml:space="preserve">provides new knowledge </w:t>
      </w:r>
      <w:r w:rsidR="001E1E68">
        <w:t>about</w:t>
      </w:r>
      <w:r w:rsidR="008F61A9">
        <w:t xml:space="preserve"> Caxton’s practices as an editor and translator </w:t>
      </w:r>
      <w:r w:rsidR="001E1E68">
        <w:t xml:space="preserve">on the one hand </w:t>
      </w:r>
      <w:r w:rsidR="008F61A9">
        <w:t xml:space="preserve">and </w:t>
      </w:r>
      <w:r w:rsidR="001E1E68">
        <w:t xml:space="preserve">about </w:t>
      </w:r>
      <w:r w:rsidR="008F61A9">
        <w:t>the printing processes undertaken in Caxton’s printing house</w:t>
      </w:r>
      <w:r w:rsidR="001E1E68">
        <w:t xml:space="preserve"> on the other</w:t>
      </w:r>
      <w:r w:rsidR="008F61A9">
        <w:t xml:space="preserve">. This work </w:t>
      </w:r>
      <w:r w:rsidR="00C822A0">
        <w:t xml:space="preserve">pilots </w:t>
      </w:r>
      <w:r w:rsidR="008F61A9">
        <w:t xml:space="preserve">the use of bottom-up quantitative approaches to analysing spelling variation in early print, </w:t>
      </w:r>
      <w:r w:rsidR="000E4417">
        <w:t xml:space="preserve">and provides new insights into the quantitative study of spelling in early print. </w:t>
      </w:r>
      <w:r w:rsidR="00E2096C">
        <w:t xml:space="preserve">This chapter discusses </w:t>
      </w:r>
      <w:r w:rsidR="000E4417">
        <w:t>my</w:t>
      </w:r>
      <w:r w:rsidR="00E2096C">
        <w:t xml:space="preserve"> contribut</w:t>
      </w:r>
      <w:r w:rsidR="00795C1D">
        <w:t xml:space="preserve">ions to our knowledge of English historical spelling variation (Section </w:t>
      </w:r>
      <w:r w:rsidR="00795C1D">
        <w:fldChar w:fldCharType="begin"/>
      </w:r>
      <w:r w:rsidR="00795C1D">
        <w:instrText xml:space="preserve"> REF _Ref497289220 \r </w:instrText>
      </w:r>
      <w:r w:rsidR="00795C1D">
        <w:fldChar w:fldCharType="separate"/>
      </w:r>
      <w:r w:rsidR="00D11844">
        <w:t>10.1</w:t>
      </w:r>
      <w:r w:rsidR="00795C1D">
        <w:fldChar w:fldCharType="end"/>
      </w:r>
      <w:r w:rsidR="00795C1D">
        <w:t xml:space="preserve">), </w:t>
      </w:r>
      <w:r w:rsidR="00B606F2">
        <w:t xml:space="preserve">contributions to the study of spelling variation in English (Section </w:t>
      </w:r>
      <w:r w:rsidR="00B606F2">
        <w:fldChar w:fldCharType="begin"/>
      </w:r>
      <w:r w:rsidR="00B606F2">
        <w:instrText xml:space="preserve"> REF _Ref497289512 \r </w:instrText>
      </w:r>
      <w:r w:rsidR="00B606F2">
        <w:fldChar w:fldCharType="separate"/>
      </w:r>
      <w:r w:rsidR="00D11844">
        <w:t>10.2</w:t>
      </w:r>
      <w:r w:rsidR="00B606F2">
        <w:fldChar w:fldCharType="end"/>
      </w:r>
      <w:r w:rsidR="00B606F2">
        <w:t xml:space="preserve">), and contributions to our understanding of the editorial practices and printing processes undertaken in Caxton’s printing house (Section </w:t>
      </w:r>
      <w:r w:rsidR="00B606F2">
        <w:fldChar w:fldCharType="begin"/>
      </w:r>
      <w:r w:rsidR="00B606F2">
        <w:instrText xml:space="preserve"> REF _Ref497289549 \r </w:instrText>
      </w:r>
      <w:r w:rsidR="00B606F2">
        <w:fldChar w:fldCharType="separate"/>
      </w:r>
      <w:r w:rsidR="00D11844">
        <w:t>10.3</w:t>
      </w:r>
      <w:r w:rsidR="00B606F2">
        <w:fldChar w:fldCharType="end"/>
      </w:r>
      <w:r w:rsidR="00B606F2">
        <w:t xml:space="preserve">). In Section </w:t>
      </w:r>
      <w:r w:rsidR="00B606F2">
        <w:fldChar w:fldCharType="begin"/>
      </w:r>
      <w:r w:rsidR="00B606F2">
        <w:instrText xml:space="preserve"> REF _Ref497289557 \r </w:instrText>
      </w:r>
      <w:r w:rsidR="00B606F2">
        <w:fldChar w:fldCharType="separate"/>
      </w:r>
      <w:r w:rsidR="00D11844">
        <w:t>10.4</w:t>
      </w:r>
      <w:r w:rsidR="00B606F2">
        <w:fldChar w:fldCharType="end"/>
      </w:r>
      <w:r w:rsidR="00B606F2">
        <w:t xml:space="preserve">, I discuss the </w:t>
      </w:r>
      <w:r w:rsidR="0049494D">
        <w:t xml:space="preserve">possibilities </w:t>
      </w:r>
      <w:r w:rsidR="001E1E68">
        <w:t xml:space="preserve">and implications </w:t>
      </w:r>
      <w:r w:rsidR="0049494D">
        <w:t xml:space="preserve">presented by this thesis for future research and provide details of the limitations of the present study. </w:t>
      </w:r>
    </w:p>
    <w:p w14:paraId="387C50BA" w14:textId="77777777" w:rsidR="0063541F" w:rsidRDefault="0063541F" w:rsidP="0063541F"/>
    <w:p w14:paraId="1EE80684" w14:textId="485256A7" w:rsidR="008A5F50" w:rsidRDefault="008A5F50" w:rsidP="00FC56E8">
      <w:pPr>
        <w:pStyle w:val="Heading2"/>
        <w:jc w:val="left"/>
      </w:pPr>
      <w:bookmarkStart w:id="276" w:name="_Ref497289220"/>
      <w:bookmarkStart w:id="277" w:name="_Toc497899887"/>
      <w:r>
        <w:t xml:space="preserve">Contributions to our </w:t>
      </w:r>
      <w:r w:rsidR="00DE25D9">
        <w:t>knowledge</w:t>
      </w:r>
      <w:r>
        <w:t xml:space="preserve"> of English spelling</w:t>
      </w:r>
      <w:bookmarkEnd w:id="276"/>
      <w:r>
        <w:t xml:space="preserve"> </w:t>
      </w:r>
      <w:r w:rsidR="00DE25D9">
        <w:t>variation</w:t>
      </w:r>
      <w:bookmarkEnd w:id="277"/>
    </w:p>
    <w:p w14:paraId="3AF04626" w14:textId="7A34E1C6" w:rsidR="0006500C" w:rsidRDefault="000F0E89" w:rsidP="0054650B">
      <w:r>
        <w:t xml:space="preserve">This thesis makes several contributions to our knowledge of spelling variation in fifteenth-century printed texts. </w:t>
      </w:r>
      <w:r w:rsidR="0054650B">
        <w:t xml:space="preserve">While it has been widely assumed that spelling variation was influenced by printing processes in the era in which Caxton was printing, instead the results from this study show that this is true only later. </w:t>
      </w:r>
      <w:r w:rsidR="001E1E68">
        <w:t xml:space="preserve">Chapter 3 demonstrated that compositors did not change their spellings as a result of the processes involved in printing. </w:t>
      </w:r>
      <w:r w:rsidR="0006500C">
        <w:t>As a result, the copying processes undertaken during printing involve the same sources of orthography as in their scribally-handwritten counterparts</w:t>
      </w:r>
      <w:r w:rsidR="0054650B">
        <w:t>, namely,</w:t>
      </w:r>
      <w:r w:rsidR="0006500C">
        <w:t xml:space="preserve"> the person undertaking the copying (in this case, the compositor), and the manuscript that is being copied.</w:t>
      </w:r>
      <w:r w:rsidR="0054650B">
        <w:t xml:space="preserve"> W</w:t>
      </w:r>
      <w:r w:rsidR="0006500C">
        <w:t>hile spellings were not changed to justify type in the era that Caxton was printing, changing spellings become a method of justifying texts in later periods when abbreviations became consid</w:t>
      </w:r>
      <w:r w:rsidR="002900DA">
        <w:t>ered as a marker of shoddy work (Voeste 2007)</w:t>
      </w:r>
      <w:r w:rsidR="0006500C">
        <w:t xml:space="preserve">. These findings show that the transmission of spelling variants in fifteenth-century print </w:t>
      </w:r>
      <w:r w:rsidR="002F017B">
        <w:t xml:space="preserve">was </w:t>
      </w:r>
      <w:r w:rsidR="0006500C">
        <w:t xml:space="preserve">not affected by printing processes. Instead, spellings in early print were transmitted by the people </w:t>
      </w:r>
      <w:r w:rsidR="0006500C">
        <w:lastRenderedPageBreak/>
        <w:t xml:space="preserve">undertaking the copying—the compositors who set the type and the scribes who wrote out the copy text. </w:t>
      </w:r>
    </w:p>
    <w:p w14:paraId="31878532" w14:textId="3830A213" w:rsidR="00150D1C" w:rsidRDefault="0098406D" w:rsidP="00A4693E">
      <w:r>
        <w:t xml:space="preserve">To explore the spellings used by the compositor and the scribes who created the copy text, I </w:t>
      </w:r>
      <w:r w:rsidR="00BA2C88">
        <w:t xml:space="preserve">further </w:t>
      </w:r>
      <w:r>
        <w:t xml:space="preserve">develop the existing concept of orthographic idiolects. In </w:t>
      </w:r>
      <w:r w:rsidR="00EE6A7F">
        <w:t xml:space="preserve">Section </w:t>
      </w:r>
      <w:r w:rsidR="00EE6A7F">
        <w:fldChar w:fldCharType="begin"/>
      </w:r>
      <w:r w:rsidR="00EE6A7F">
        <w:instrText xml:space="preserve"> REF _Ref497481545 \r </w:instrText>
      </w:r>
      <w:r w:rsidR="00EE6A7F">
        <w:fldChar w:fldCharType="separate"/>
      </w:r>
      <w:r w:rsidR="00D11844">
        <w:t>1.2</w:t>
      </w:r>
      <w:r w:rsidR="00EE6A7F">
        <w:fldChar w:fldCharType="end"/>
      </w:r>
      <w:r w:rsidR="00EE6A7F">
        <w:t xml:space="preserve"> I define</w:t>
      </w:r>
      <w:r w:rsidR="0054650B">
        <w:t>d</w:t>
      </w:r>
      <w:r w:rsidR="00EE6A7F">
        <w:t xml:space="preserve"> orthographic idiolects as being the orthographic preferences of an individual writer (or typesetter), which includes all the spellings </w:t>
      </w:r>
      <w:r w:rsidR="00110810">
        <w:t>used by an individual and the extent to which each spelling is used relative to other spelling</w:t>
      </w:r>
      <w:r w:rsidR="007E01D4">
        <w:t xml:space="preserve">s that represent the same word. </w:t>
      </w:r>
      <w:r w:rsidR="00B07DD5">
        <w:t xml:space="preserve">Throughout this thesis research </w:t>
      </w:r>
      <w:r w:rsidR="0054650B">
        <w:t>has</w:t>
      </w:r>
      <w:r w:rsidR="00B07DD5">
        <w:t xml:space="preserve"> focused on the spelling variation at the level of idiolect. </w:t>
      </w:r>
      <w:r w:rsidR="0054650B">
        <w:t>Accordingly</w:t>
      </w:r>
      <w:r w:rsidR="007E01D4">
        <w:t xml:space="preserve">, this research </w:t>
      </w:r>
      <w:r w:rsidR="007D3D52">
        <w:t>expands our knowledge of the extent to which spelling variation</w:t>
      </w:r>
      <w:r w:rsidR="00701B2C">
        <w:t xml:space="preserve"> operates at the level of the individual in the fifteenth century</w:t>
      </w:r>
      <w:r w:rsidR="007D3D52">
        <w:t xml:space="preserve">. </w:t>
      </w:r>
    </w:p>
    <w:p w14:paraId="723BF020" w14:textId="1AF921CF" w:rsidR="009D4BE7" w:rsidRDefault="00EC07C8" w:rsidP="00995B34">
      <w:r>
        <w:t xml:space="preserve">One of the key findings of this research </w:t>
      </w:r>
      <w:r w:rsidR="000E4417">
        <w:t xml:space="preserve">is the stability </w:t>
      </w:r>
      <w:r w:rsidR="00701B2C">
        <w:t>of</w:t>
      </w:r>
      <w:r w:rsidR="000E4417">
        <w:t xml:space="preserve"> spellings used </w:t>
      </w:r>
      <w:r w:rsidR="00B07DD5">
        <w:t xml:space="preserve">by individuals </w:t>
      </w:r>
      <w:r w:rsidR="000E4417">
        <w:t xml:space="preserve">in early print. </w:t>
      </w:r>
      <w:r w:rsidR="0057161B">
        <w:t xml:space="preserve">In Section </w:t>
      </w:r>
      <w:r w:rsidR="00A11845">
        <w:fldChar w:fldCharType="begin"/>
      </w:r>
      <w:r w:rsidR="00A11845">
        <w:instrText xml:space="preserve"> REF _Ref498622569 \r </w:instrText>
      </w:r>
      <w:r w:rsidR="00A11845">
        <w:fldChar w:fldCharType="separate"/>
      </w:r>
      <w:r w:rsidR="00D11844">
        <w:t>8.1</w:t>
      </w:r>
      <w:r w:rsidR="00A11845">
        <w:fldChar w:fldCharType="end"/>
      </w:r>
      <w:r w:rsidR="00A11845">
        <w:t xml:space="preserve"> </w:t>
      </w:r>
      <w:r w:rsidR="0057161B">
        <w:t>I show</w:t>
      </w:r>
      <w:r w:rsidR="0054650B">
        <w:t>ed</w:t>
      </w:r>
      <w:r w:rsidR="0057161B">
        <w:t xml:space="preserve"> that the </w:t>
      </w:r>
      <w:r w:rsidR="00E519DD">
        <w:t xml:space="preserve">spellings used by </w:t>
      </w:r>
      <w:r w:rsidR="00A31F9A">
        <w:t xml:space="preserve">compositors and the scribes who wrote the copy text are stable throughout the text that </w:t>
      </w:r>
      <w:r w:rsidR="004661B7">
        <w:t>they were involved in creating.</w:t>
      </w:r>
      <w:r w:rsidR="00373AC5">
        <w:t xml:space="preserve"> </w:t>
      </w:r>
      <w:r w:rsidR="00C56D65">
        <w:t xml:space="preserve">That is, while the compositors and scribes do not necessarily represent one word with one spelling, the spellings that they do use and the ratios in which they are used relative to one another remain the same throughout their work. </w:t>
      </w:r>
      <w:r w:rsidR="00701B2C">
        <w:t>T</w:t>
      </w:r>
      <w:r w:rsidR="00404E16">
        <w:t xml:space="preserve">his thesis argues that the idiolects of Caxton’s compositors—and the idiolects of the scribes who worked on the copy texts—are stable. </w:t>
      </w:r>
      <w:r w:rsidR="0074458C">
        <w:t xml:space="preserve">However, while the spellings used by individuals are stable, the spellings that they use are not the same as one another. </w:t>
      </w:r>
      <w:r w:rsidR="00790FBD">
        <w:t xml:space="preserve">When multiple people were working on a book at once, their individual sections were put together to form the finished text. Thus, in the finished text the sections that were typeset (or written in the copy text) by different people will contain the spellings of each person involved with creating that section of the book. In these books that were created by multiple people, Section  </w:t>
      </w:r>
      <w:r w:rsidR="00790FBD">
        <w:fldChar w:fldCharType="begin"/>
      </w:r>
      <w:r w:rsidR="00790FBD">
        <w:instrText xml:space="preserve"> REF _Ref497478756 \r </w:instrText>
      </w:r>
      <w:r w:rsidR="00790FBD">
        <w:fldChar w:fldCharType="separate"/>
      </w:r>
      <w:r w:rsidR="00D11844">
        <w:t>5.4</w:t>
      </w:r>
      <w:r w:rsidR="00790FBD">
        <w:fldChar w:fldCharType="end"/>
      </w:r>
      <w:r w:rsidR="00790FBD">
        <w:t xml:space="preserve"> and Section </w:t>
      </w:r>
      <w:r w:rsidR="00790FBD">
        <w:fldChar w:fldCharType="begin"/>
      </w:r>
      <w:r w:rsidR="00790FBD">
        <w:instrText xml:space="preserve"> REF _Ref497478760 \r </w:instrText>
      </w:r>
      <w:r w:rsidR="00790FBD">
        <w:fldChar w:fldCharType="separate"/>
      </w:r>
      <w:r w:rsidR="00D11844">
        <w:t>7.2</w:t>
      </w:r>
      <w:r w:rsidR="00790FBD">
        <w:fldChar w:fldCharType="end"/>
      </w:r>
      <w:r w:rsidR="00790FBD">
        <w:t xml:space="preserve"> showed that changes in spellings take place when a change in the person creating the text takes place. </w:t>
      </w:r>
      <w:r w:rsidR="00404E16">
        <w:t>This change in spellings marks a change in the orthographic idiolects used at that point in the text</w:t>
      </w:r>
      <w:r w:rsidR="00E70077">
        <w:t xml:space="preserve">, </w:t>
      </w:r>
      <w:r w:rsidR="00995B34">
        <w:t xml:space="preserve">and therefore this change in spellings shows that the compositors changed some of the spellings in the texts that they typeset. </w:t>
      </w:r>
    </w:p>
    <w:p w14:paraId="3E8FC53C" w14:textId="317A65E2" w:rsidR="00C042F4" w:rsidRDefault="002367F1" w:rsidP="00995B34">
      <w:r>
        <w:t xml:space="preserve">Compositors did not change spellings due to pressures from the processes of typesetting, but the changes are more likely to be unconscious changes into their own idiolect (see Section </w:t>
      </w:r>
      <w:r>
        <w:fldChar w:fldCharType="begin"/>
      </w:r>
      <w:r>
        <w:instrText xml:space="preserve"> REF _Ref496620128 \r </w:instrText>
      </w:r>
      <w:r>
        <w:fldChar w:fldCharType="separate"/>
      </w:r>
      <w:r w:rsidR="00D11844">
        <w:t>2.3</w:t>
      </w:r>
      <w:r>
        <w:fldChar w:fldCharType="end"/>
      </w:r>
      <w:r>
        <w:t xml:space="preserve"> for further discussion). </w:t>
      </w:r>
      <w:r w:rsidR="00995B34">
        <w:t>T</w:t>
      </w:r>
      <w:r w:rsidR="00E70077">
        <w:t>he work undertaken in Chapter 5 develop</w:t>
      </w:r>
      <w:r w:rsidR="0054650B">
        <w:t>ed</w:t>
      </w:r>
      <w:r w:rsidR="00E70077">
        <w:t xml:space="preserve"> a method to locate these points in which a change in idiolects takes place. </w:t>
      </w:r>
      <w:r w:rsidR="00BD3A3F">
        <w:t xml:space="preserve">Section </w:t>
      </w:r>
      <w:r w:rsidR="00BD3A3F">
        <w:fldChar w:fldCharType="begin"/>
      </w:r>
      <w:r w:rsidR="00BD3A3F">
        <w:instrText xml:space="preserve"> REF _Ref497480647 \r </w:instrText>
      </w:r>
      <w:r w:rsidR="00BD3A3F">
        <w:fldChar w:fldCharType="separate"/>
      </w:r>
      <w:r w:rsidR="00D11844">
        <w:t>5.4</w:t>
      </w:r>
      <w:r w:rsidR="00BD3A3F">
        <w:fldChar w:fldCharType="end"/>
      </w:r>
      <w:r w:rsidR="00BD3A3F">
        <w:t xml:space="preserve"> and Section </w:t>
      </w:r>
      <w:r w:rsidR="00BD3A3F">
        <w:fldChar w:fldCharType="begin"/>
      </w:r>
      <w:r w:rsidR="00BD3A3F">
        <w:instrText xml:space="preserve"> REF _Ref497480685 \r </w:instrText>
      </w:r>
      <w:r w:rsidR="00BD3A3F">
        <w:fldChar w:fldCharType="separate"/>
      </w:r>
      <w:r w:rsidR="00D11844">
        <w:t>7.2</w:t>
      </w:r>
      <w:r w:rsidR="00BD3A3F">
        <w:fldChar w:fldCharType="end"/>
      </w:r>
      <w:r w:rsidR="00BD3A3F">
        <w:t xml:space="preserve"> show</w:t>
      </w:r>
      <w:r w:rsidR="0054650B">
        <w:t>ed</w:t>
      </w:r>
      <w:r w:rsidR="00BD3A3F">
        <w:t xml:space="preserve"> that the orthographic idiolects used by Caxton’s compositors and the scribes who worked on the copy texts are sufficiently </w:t>
      </w:r>
      <w:r w:rsidR="00077EE6">
        <w:t xml:space="preserve">different </w:t>
      </w:r>
      <w:r w:rsidR="0054650B">
        <w:t>from</w:t>
      </w:r>
      <w:r w:rsidR="00077EE6">
        <w:t xml:space="preserve"> one another</w:t>
      </w:r>
      <w:r w:rsidR="00BD3A3F">
        <w:t xml:space="preserve"> for quantitative analysis to detect when a change in the individual working on the text has taken place.</w:t>
      </w:r>
      <w:r w:rsidR="0054650B">
        <w:t xml:space="preserve"> Chapter 6 developed</w:t>
      </w:r>
      <w:r w:rsidR="00995B34">
        <w:t xml:space="preserve"> a method for exploring the extent to which spellings differ between sections of text and </w:t>
      </w:r>
      <w:r w:rsidR="00A11845">
        <w:t xml:space="preserve">the application of this method in Section </w:t>
      </w:r>
      <w:r w:rsidR="00A11845">
        <w:fldChar w:fldCharType="begin"/>
      </w:r>
      <w:r w:rsidR="00A11845">
        <w:instrText xml:space="preserve"> REF _Ref499624231 \r </w:instrText>
      </w:r>
      <w:r w:rsidR="00A11845">
        <w:fldChar w:fldCharType="separate"/>
      </w:r>
      <w:r w:rsidR="00D11844">
        <w:t>8.2</w:t>
      </w:r>
      <w:r w:rsidR="00A11845">
        <w:fldChar w:fldCharType="end"/>
      </w:r>
      <w:r w:rsidR="00A11845">
        <w:t xml:space="preserve"> </w:t>
      </w:r>
      <w:r w:rsidR="00995B34">
        <w:lastRenderedPageBreak/>
        <w:t>show</w:t>
      </w:r>
      <w:r w:rsidR="0054650B">
        <w:t>ed</w:t>
      </w:r>
      <w:r w:rsidR="00995B34">
        <w:t xml:space="preserve"> that the two compositors who set the type for Caxton’s second edition of the </w:t>
      </w:r>
      <w:r w:rsidR="00995B34">
        <w:rPr>
          <w:i/>
        </w:rPr>
        <w:t>Canterbury Tales</w:t>
      </w:r>
      <w:r w:rsidR="00995B34">
        <w:t xml:space="preserve"> mostly used different spellings to one another. </w:t>
      </w:r>
    </w:p>
    <w:p w14:paraId="55382AC7" w14:textId="7E069B9B" w:rsidR="00B24E22" w:rsidRDefault="001940EB" w:rsidP="001940EB">
      <w:r>
        <w:t xml:space="preserve">Finally, this thesis contributes to our knowledge of Caxton’s own spelling practices. Section </w:t>
      </w:r>
      <w:r>
        <w:fldChar w:fldCharType="begin"/>
      </w:r>
      <w:r>
        <w:instrText xml:space="preserve"> REF _Ref497727838 \r </w:instrText>
      </w:r>
      <w:r>
        <w:fldChar w:fldCharType="separate"/>
      </w:r>
      <w:r w:rsidR="00D11844">
        <w:t>9.5</w:t>
      </w:r>
      <w:r>
        <w:fldChar w:fldCharType="end"/>
      </w:r>
      <w:r w:rsidR="0054650B">
        <w:t xml:space="preserve"> showed</w:t>
      </w:r>
      <w:r>
        <w:t xml:space="preserve"> that Caxton’s orthographic idiolect can be detected in the texts that he translated and edited. </w:t>
      </w:r>
      <w:r w:rsidR="001D4166">
        <w:t>It</w:t>
      </w:r>
      <w:r w:rsidR="00EE7C55">
        <w:t xml:space="preserve"> i</w:t>
      </w:r>
      <w:r w:rsidR="001D4166">
        <w:t xml:space="preserve">s not within the scope of this research to isolate the spellings </w:t>
      </w:r>
      <w:r w:rsidR="00EE7C55">
        <w:t>in Caxton’s orthographic idiolect (though this study paves the way for such research to be undertaken).</w:t>
      </w:r>
      <w:r w:rsidR="00B24E22">
        <w:t xml:space="preserve"> Section </w:t>
      </w:r>
      <w:r w:rsidR="00B24E22">
        <w:fldChar w:fldCharType="begin"/>
      </w:r>
      <w:r w:rsidR="00B24E22">
        <w:instrText xml:space="preserve"> REF _Ref497481040 \r </w:instrText>
      </w:r>
      <w:r w:rsidR="00B24E22">
        <w:fldChar w:fldCharType="separate"/>
      </w:r>
      <w:r w:rsidR="00D11844">
        <w:t>9.5</w:t>
      </w:r>
      <w:r w:rsidR="00B24E22">
        <w:fldChar w:fldCharType="end"/>
      </w:r>
      <w:r w:rsidR="0054650B">
        <w:t xml:space="preserve"> showed</w:t>
      </w:r>
      <w:r w:rsidR="00B24E22">
        <w:t xml:space="preserve"> that, like the spellings used by the compositors and the copy texts, the spellings used by Caxton remain stable in the texts that he translated and edited throughout his time as a printer. However, Section </w:t>
      </w:r>
      <w:r w:rsidR="003D37AA">
        <w:fldChar w:fldCharType="begin"/>
      </w:r>
      <w:r w:rsidR="003D37AA">
        <w:instrText xml:space="preserve"> REF _Ref497223855 \r </w:instrText>
      </w:r>
      <w:r w:rsidR="003D37AA">
        <w:fldChar w:fldCharType="separate"/>
      </w:r>
      <w:r w:rsidR="00D11844">
        <w:t>9.5.1</w:t>
      </w:r>
      <w:r w:rsidR="003D37AA">
        <w:fldChar w:fldCharType="end"/>
      </w:r>
      <w:r w:rsidR="0054650B">
        <w:t xml:space="preserve"> showed</w:t>
      </w:r>
      <w:r w:rsidR="003D37AA">
        <w:t xml:space="preserve"> that the spellings that Caxton uses when translating a text into English are not the same as the spellings that he uses when copying from an English copy text or writing his own English (such as in the prologues and epilogues to </w:t>
      </w:r>
      <w:r w:rsidR="0059390F">
        <w:t>his texts).</w:t>
      </w:r>
      <w:r w:rsidR="003D37AA">
        <w:t xml:space="preserve"> It is possible that Caxton’s spellings are influenced by the non-English copy text he uses when translating into English, but further study is required to determine whether this is the case.</w:t>
      </w:r>
    </w:p>
    <w:p w14:paraId="7588C7BD" w14:textId="55AF4377" w:rsidR="008A5F50" w:rsidRDefault="008A5F50" w:rsidP="003D37AA">
      <w:pPr>
        <w:ind w:firstLine="0"/>
      </w:pPr>
    </w:p>
    <w:p w14:paraId="6C128AFC" w14:textId="22600CDF" w:rsidR="002C6B02" w:rsidRDefault="00152EBC" w:rsidP="007E5A1E">
      <w:pPr>
        <w:pStyle w:val="Heading2"/>
        <w:jc w:val="left"/>
      </w:pPr>
      <w:bookmarkStart w:id="278" w:name="_Ref497289512"/>
      <w:bookmarkStart w:id="279" w:name="_Toc497899888"/>
      <w:r>
        <w:t>Contributions to the study of spelling variation in English</w:t>
      </w:r>
      <w:bookmarkEnd w:id="278"/>
      <w:bookmarkEnd w:id="279"/>
      <w:r>
        <w:t xml:space="preserve"> </w:t>
      </w:r>
    </w:p>
    <w:p w14:paraId="5E8DB92D" w14:textId="43259273" w:rsidR="00FB532E" w:rsidRDefault="00FB532E" w:rsidP="00FB532E">
      <w:r>
        <w:t>One of the key contributions of this thesis is the collection of methods developed for the exploration of spelling variation in early printed texts.</w:t>
      </w:r>
      <w:r w:rsidRPr="00FB532E">
        <w:t xml:space="preserve"> </w:t>
      </w:r>
      <w:r>
        <w:t>Section Two was devoted to the development and testing of quantitative methods, and Sectio</w:t>
      </w:r>
      <w:r w:rsidR="0054650B">
        <w:t xml:space="preserve">n Three applies these methods </w:t>
      </w:r>
      <w:r>
        <w:t xml:space="preserve">to Caxton’s texts. The approach I have taken to this research is a bottom-up, data-driven approach. Rather than picking out a set of spellings to look for in the data, this study makes use of all the spellings in the data to assess where in the text a change in spellings takes place and the extent to which the spellings change. This study makes use of quantitative methods to simultaneously track the changes in the rates that thousands of spellings were used, and to determine the extent that spellings changes throughout texts. As such, this study can be considered a big-data study. The number of spelling variants in use means that the number of dimensions that the data inhabits runs into the thousands, incurring a set of issues known collectively as the curse of dimensionality. Section </w:t>
      </w:r>
      <w:r>
        <w:fldChar w:fldCharType="begin"/>
      </w:r>
      <w:r>
        <w:instrText xml:space="preserve"> REF _Ref490836644 \r </w:instrText>
      </w:r>
      <w:r>
        <w:fldChar w:fldCharType="separate"/>
      </w:r>
      <w:r w:rsidR="00D11844">
        <w:t>4.4.1</w:t>
      </w:r>
      <w:r>
        <w:fldChar w:fldCharType="end"/>
      </w:r>
      <w:r>
        <w:t xml:space="preserve"> and Section </w:t>
      </w:r>
      <w:r>
        <w:fldChar w:fldCharType="begin"/>
      </w:r>
      <w:r>
        <w:instrText xml:space="preserve"> REF _Ref497746474 \r </w:instrText>
      </w:r>
      <w:r>
        <w:fldChar w:fldCharType="separate"/>
      </w:r>
      <w:r w:rsidR="00D11844">
        <w:t>4.4.2</w:t>
      </w:r>
      <w:r>
        <w:fldChar w:fldCharType="end"/>
      </w:r>
      <w:r>
        <w:t xml:space="preserve"> discuss</w:t>
      </w:r>
      <w:r w:rsidR="0054650B">
        <w:t>ed</w:t>
      </w:r>
      <w:r>
        <w:t xml:space="preserve"> the issues introduced into </w:t>
      </w:r>
      <w:r w:rsidR="001460E8">
        <w:t xml:space="preserve">the </w:t>
      </w:r>
      <w:r w:rsidR="00CD0AA0">
        <w:t>analysis</w:t>
      </w:r>
      <w:r w:rsidR="001460E8">
        <w:t xml:space="preserve"> </w:t>
      </w:r>
      <w:r w:rsidR="00CD0AA0">
        <w:t>because of</w:t>
      </w:r>
      <w:r w:rsidR="001460E8">
        <w:t xml:space="preserve"> the h</w:t>
      </w:r>
      <w:r w:rsidR="00CD0AA0">
        <w:t>igh dimensionality of the data, and provide</w:t>
      </w:r>
      <w:r w:rsidR="00E93A3C">
        <w:t>d</w:t>
      </w:r>
      <w:r w:rsidR="00CD0AA0">
        <w:t xml:space="preserve"> solutions to try to mitigate these effects. </w:t>
      </w:r>
    </w:p>
    <w:p w14:paraId="5D2B4281" w14:textId="26E4095C" w:rsidR="004121D8" w:rsidRDefault="00746355" w:rsidP="00940EEE">
      <w:r>
        <w:t xml:space="preserve">This thesis also contributes to our knowledge of </w:t>
      </w:r>
      <w:r w:rsidR="0069540E">
        <w:t xml:space="preserve">undertaking research into </w:t>
      </w:r>
      <w:r>
        <w:t>historical spe</w:t>
      </w:r>
      <w:r w:rsidR="00661BCA">
        <w:t xml:space="preserve">lling at the level of idiolect. </w:t>
      </w:r>
      <w:r w:rsidR="00615B45">
        <w:t>Investigating spelling at the level of idiolect has theoretical implications that are accounted for in the research design.</w:t>
      </w:r>
      <w:r w:rsidR="00615B45" w:rsidRPr="00615B45">
        <w:t xml:space="preserve"> </w:t>
      </w:r>
      <w:r w:rsidR="00615B45">
        <w:t xml:space="preserve">In studies where dialect is the primary orthographic level of enquiry, greater importance is given to spellings that are linked to a dialect, and the spellings that are linked to dialect are a subset </w:t>
      </w:r>
      <w:r w:rsidR="00615B45">
        <w:lastRenderedPageBreak/>
        <w:t>of the overall spellings used by an individual. In this thesis, enquiry is undertaken at the level of idiolect, and so the spellings we are interested in are those that are linked with the idiolect of an individual, such as the compositor or the scribe who wrote out the copy text. Idiolect spellings are</w:t>
      </w:r>
      <w:r w:rsidR="00615B45" w:rsidRPr="00B33673">
        <w:t xml:space="preserve"> </w:t>
      </w:r>
      <w:r w:rsidR="00615B45">
        <w:t>made up of all the spellings that the individual compositor or scribe ever use</w:t>
      </w:r>
      <w:r w:rsidR="008F4201">
        <w:t>d</w:t>
      </w:r>
      <w:r w:rsidR="00615B45">
        <w:t xml:space="preserve">, rather than a subset of spellings as is the case with dialect spellings. The difference between studying dialect and studying idiolect affects the number of spellings that the research is interested in. In Section </w:t>
      </w:r>
      <w:r w:rsidR="00615B45">
        <w:fldChar w:fldCharType="begin"/>
      </w:r>
      <w:r w:rsidR="00615B45">
        <w:instrText xml:space="preserve"> REF _Ref497481545 \r </w:instrText>
      </w:r>
      <w:r w:rsidR="00615B45">
        <w:fldChar w:fldCharType="separate"/>
      </w:r>
      <w:r w:rsidR="00D11844">
        <w:t>1.2</w:t>
      </w:r>
      <w:r w:rsidR="00615B45">
        <w:fldChar w:fldCharType="end"/>
      </w:r>
      <w:r w:rsidR="00661BCA">
        <w:t xml:space="preserve"> I argue</w:t>
      </w:r>
      <w:r w:rsidR="0054650B">
        <w:t>d</w:t>
      </w:r>
      <w:r w:rsidR="00661BCA">
        <w:t xml:space="preserve"> that when undertaking research into spelling variation at the level of idiolect, </w:t>
      </w:r>
      <w:r w:rsidR="00615B45">
        <w:t xml:space="preserve">all the spellings in the text must be considered during the analysis because the idiolect spellings comprise all the spellings used by an individual. </w:t>
      </w:r>
      <w:r w:rsidR="00940EEE">
        <w:t>Furthermore</w:t>
      </w:r>
      <w:r w:rsidR="00615B45">
        <w:t>, while dialect spellings are of greater importance in studies of dialect, in this study all spellings are of equal importance.</w:t>
      </w:r>
      <w:r w:rsidR="00940EEE">
        <w:t xml:space="preserve"> </w:t>
      </w:r>
      <w:r w:rsidR="004121D8">
        <w:t xml:space="preserve">As such, this thesis assesses all the spellings used in the texts and sections of texts undergoing analysis to identify places in the text where the orthographic idiolects change and to determine the extent to which the spellings differ. The methods developed in Section Two include as many spellings as possible (within methodological constraints) and </w:t>
      </w:r>
      <w:r w:rsidR="00940EEE">
        <w:t>are</w:t>
      </w:r>
      <w:r w:rsidR="004121D8">
        <w:t xml:space="preserve"> designed to treat all spellings as being of equal importance to the analysis. </w:t>
      </w:r>
    </w:p>
    <w:p w14:paraId="0DBCE357" w14:textId="77777777" w:rsidR="00940EEE" w:rsidRDefault="00940EEE" w:rsidP="00940EEE">
      <w:pPr>
        <w:ind w:firstLine="576"/>
      </w:pPr>
    </w:p>
    <w:p w14:paraId="75323844" w14:textId="77777777" w:rsidR="00940EEE" w:rsidRDefault="00940EEE" w:rsidP="00940EEE">
      <w:pPr>
        <w:pStyle w:val="Heading3"/>
      </w:pPr>
      <w:r>
        <w:t>Research design</w:t>
      </w:r>
    </w:p>
    <w:p w14:paraId="2D19AFEF" w14:textId="76FB401C" w:rsidR="003800BF" w:rsidRDefault="00F475F1" w:rsidP="00F278AF">
      <w:r>
        <w:t xml:space="preserve">The research presented in this thesis is designed to explore the spelling variation present in </w:t>
      </w:r>
      <w:r w:rsidR="005821A9">
        <w:t>early printed texts by taking a data-driven approach that is inclusive of all the spellings in the data, and treats</w:t>
      </w:r>
      <w:r w:rsidR="00833606">
        <w:t xml:space="preserve"> the spellings equally. The methods used in this thesis are developed in Section Two. </w:t>
      </w:r>
      <w:r w:rsidR="00E93A3C">
        <w:t>Chapter 5 presented</w:t>
      </w:r>
      <w:r w:rsidR="003800BF">
        <w:t xml:space="preserve"> the development and testing of cluster analysis for use on quires, and Section </w:t>
      </w:r>
      <w:r w:rsidR="003800BF">
        <w:fldChar w:fldCharType="begin"/>
      </w:r>
      <w:r w:rsidR="003800BF">
        <w:instrText xml:space="preserve"> REF _Ref497745959 \r </w:instrText>
      </w:r>
      <w:r w:rsidR="003800BF">
        <w:fldChar w:fldCharType="separate"/>
      </w:r>
      <w:r w:rsidR="00D11844">
        <w:t>5.5</w:t>
      </w:r>
      <w:r w:rsidR="003800BF">
        <w:fldChar w:fldCharType="end"/>
      </w:r>
      <w:r w:rsidR="00E93A3C">
        <w:t xml:space="preserve"> detailed</w:t>
      </w:r>
      <w:r w:rsidR="003800BF">
        <w:t xml:space="preserve"> the adjustments that are necessary to use cluster analysis on whole texts. </w:t>
      </w:r>
      <w:r w:rsidR="00833606">
        <w:t xml:space="preserve">As part of the development of a form of cluster analysis suitable for analysing spelling variation in quires, in Section </w:t>
      </w:r>
      <w:r w:rsidR="00833606">
        <w:fldChar w:fldCharType="begin"/>
      </w:r>
      <w:r w:rsidR="00833606">
        <w:instrText xml:space="preserve"> REF _Ref497826205 \r </w:instrText>
      </w:r>
      <w:r w:rsidR="00833606">
        <w:fldChar w:fldCharType="separate"/>
      </w:r>
      <w:r w:rsidR="00D11844">
        <w:t>5.2</w:t>
      </w:r>
      <w:r w:rsidR="00833606">
        <w:fldChar w:fldCharType="end"/>
      </w:r>
      <w:r w:rsidR="00833606">
        <w:t xml:space="preserve"> I tested three types of cluster analysis. </w:t>
      </w:r>
      <w:r w:rsidR="007A4430">
        <w:t>Based on</w:t>
      </w:r>
      <w:r w:rsidR="008D4B55">
        <w:t xml:space="preserve"> the testing results, </w:t>
      </w:r>
      <w:r w:rsidR="007A4430">
        <w:t xml:space="preserve">in Section </w:t>
      </w:r>
      <w:r w:rsidR="007A4430">
        <w:fldChar w:fldCharType="begin"/>
      </w:r>
      <w:r w:rsidR="007A4430">
        <w:instrText xml:space="preserve"> REF _Ref497826707 \r </w:instrText>
      </w:r>
      <w:r w:rsidR="007A4430">
        <w:fldChar w:fldCharType="separate"/>
      </w:r>
      <w:r w:rsidR="00D11844">
        <w:t>5.4.4</w:t>
      </w:r>
      <w:r w:rsidR="007A4430">
        <w:fldChar w:fldCharType="end"/>
      </w:r>
      <w:r w:rsidR="007A4430">
        <w:t xml:space="preserve"> </w:t>
      </w:r>
      <w:r w:rsidR="008D4B55">
        <w:t>I argue</w:t>
      </w:r>
      <w:r w:rsidR="00E93A3C">
        <w:t>d</w:t>
      </w:r>
      <w:r w:rsidR="008D4B55">
        <w:t xml:space="preserve"> that </w:t>
      </w:r>
      <w:r w:rsidR="008D4B55" w:rsidRPr="004C3465">
        <w:rPr>
          <w:i/>
        </w:rPr>
        <w:t>k</w:t>
      </w:r>
      <w:r w:rsidR="008D4B55">
        <w:t xml:space="preserve">-means clustering is the most appropriate </w:t>
      </w:r>
      <w:r w:rsidR="007A4430">
        <w:t xml:space="preserve">type of clustering for grouping quires within a text, and that hierarchical clustering methods, such as the Ward error sum of squares method, are better suited to clustering whole texts. </w:t>
      </w:r>
      <w:r w:rsidR="002C5F0B">
        <w:t xml:space="preserve">Cluster analysis has proved to be a useful method in cases where there is uncertainty in the division of copy for compositors, or where a change in copy text may have taken place. Through the application of cluster analysis, it is possible to demonstrate that there is a change in spellings and likely a change in compositor between the prose and verse in Caxton’s first edition of the </w:t>
      </w:r>
      <w:r w:rsidR="002C5F0B">
        <w:rPr>
          <w:i/>
        </w:rPr>
        <w:t>Canterbury Tales</w:t>
      </w:r>
      <w:r w:rsidR="002C5F0B">
        <w:t xml:space="preserve"> (Section</w:t>
      </w:r>
      <w:r w:rsidR="00A11845">
        <w:t xml:space="preserve"> </w:t>
      </w:r>
      <w:r w:rsidR="00A11845">
        <w:fldChar w:fldCharType="begin"/>
      </w:r>
      <w:r w:rsidR="00A11845">
        <w:instrText xml:space="preserve"> REF _Ref499753468 \r </w:instrText>
      </w:r>
      <w:r w:rsidR="00A11845">
        <w:fldChar w:fldCharType="separate"/>
      </w:r>
      <w:r w:rsidR="00D11844">
        <w:t>7.2</w:t>
      </w:r>
      <w:r w:rsidR="00A11845">
        <w:fldChar w:fldCharType="end"/>
      </w:r>
      <w:r w:rsidR="002C5F0B">
        <w:t xml:space="preserve">), and that the underlying copy text used for the </w:t>
      </w:r>
      <w:r w:rsidR="002C5F0B">
        <w:rPr>
          <w:i/>
        </w:rPr>
        <w:t>Polychronicon</w:t>
      </w:r>
      <w:r w:rsidR="002C5F0B">
        <w:t xml:space="preserve"> may have included work from six different scribes (Section </w:t>
      </w:r>
      <w:r w:rsidR="002C5F0B">
        <w:fldChar w:fldCharType="begin"/>
      </w:r>
      <w:r w:rsidR="002C5F0B">
        <w:instrText xml:space="preserve"> REF _Ref495322729 \r </w:instrText>
      </w:r>
      <w:r w:rsidR="002C5F0B">
        <w:fldChar w:fldCharType="separate"/>
      </w:r>
      <w:r w:rsidR="00D11844">
        <w:t>7.5.2</w:t>
      </w:r>
      <w:r w:rsidR="002C5F0B">
        <w:fldChar w:fldCharType="end"/>
      </w:r>
      <w:r w:rsidR="002C5F0B">
        <w:t>).</w:t>
      </w:r>
      <w:r w:rsidR="00F278AF">
        <w:t xml:space="preserve"> </w:t>
      </w:r>
    </w:p>
    <w:p w14:paraId="7245EC4E" w14:textId="14BBA79A" w:rsidR="00F278AF" w:rsidRDefault="00E93A3C" w:rsidP="00F278AF">
      <w:r>
        <w:lastRenderedPageBreak/>
        <w:t>Chapter 6 presented</w:t>
      </w:r>
      <w:r w:rsidR="00F278AF">
        <w:t xml:space="preserve"> the use of similarity measurements as a method for quantifying the extent to which two sections of text use the same spellings, where the necessary adjustments for similarity measurements to work on spelling data are discussed in Section </w:t>
      </w:r>
      <w:r w:rsidR="003F0A91">
        <w:fldChar w:fldCharType="begin"/>
      </w:r>
      <w:r w:rsidR="003F0A91">
        <w:instrText xml:space="preserve"> REF _Ref492365120 \r </w:instrText>
      </w:r>
      <w:r w:rsidR="003F0A91">
        <w:fldChar w:fldCharType="separate"/>
      </w:r>
      <w:r w:rsidR="00D11844">
        <w:t>6.2</w:t>
      </w:r>
      <w:r w:rsidR="003F0A91">
        <w:fldChar w:fldCharType="end"/>
      </w:r>
      <w:r w:rsidR="003F0A91">
        <w:t>. The similarity measurements are applied onto data in</w:t>
      </w:r>
      <w:r w:rsidR="00FC519C">
        <w:t xml:space="preserve"> a case study of </w:t>
      </w:r>
      <w:r w:rsidR="00FC519C">
        <w:rPr>
          <w:i/>
        </w:rPr>
        <w:t xml:space="preserve">Reynard the Fox </w:t>
      </w:r>
      <w:r w:rsidR="00FC519C">
        <w:t xml:space="preserve">in Section </w:t>
      </w:r>
      <w:r w:rsidR="00FC519C">
        <w:fldChar w:fldCharType="begin"/>
      </w:r>
      <w:r w:rsidR="00FC519C">
        <w:instrText xml:space="preserve"> REF _Ref499629608 \r </w:instrText>
      </w:r>
      <w:r w:rsidR="00FC519C">
        <w:fldChar w:fldCharType="separate"/>
      </w:r>
      <w:r w:rsidR="00D11844">
        <w:t>6.3</w:t>
      </w:r>
      <w:r w:rsidR="00FC519C">
        <w:fldChar w:fldCharType="end"/>
      </w:r>
      <w:r w:rsidR="00FC519C">
        <w:t>, and then expanded onto a wider range of texts in</w:t>
      </w:r>
      <w:r w:rsidR="003F0A91">
        <w:t xml:space="preserve"> Chapter 8, </w:t>
      </w:r>
      <w:r w:rsidR="00D71506">
        <w:t xml:space="preserve">where similarity testing was used in two different ways: In Section </w:t>
      </w:r>
      <w:r w:rsidR="00FC519C">
        <w:fldChar w:fldCharType="begin"/>
      </w:r>
      <w:r w:rsidR="00FC519C">
        <w:instrText xml:space="preserve"> REF _Ref498622569 \r </w:instrText>
      </w:r>
      <w:r w:rsidR="00FC519C">
        <w:fldChar w:fldCharType="separate"/>
      </w:r>
      <w:r w:rsidR="00D11844">
        <w:t>8.1</w:t>
      </w:r>
      <w:r w:rsidR="00FC519C">
        <w:fldChar w:fldCharType="end"/>
      </w:r>
      <w:r w:rsidR="00CD1038">
        <w:t xml:space="preserve"> </w:t>
      </w:r>
      <w:r w:rsidR="00D71506">
        <w:t xml:space="preserve">I </w:t>
      </w:r>
      <w:r w:rsidR="00430E81">
        <w:t>show</w:t>
      </w:r>
      <w:r>
        <w:t>ed</w:t>
      </w:r>
      <w:r w:rsidR="00430E81">
        <w:t xml:space="preserve"> that </w:t>
      </w:r>
      <w:r w:rsidR="00D71506">
        <w:t>similarity testing</w:t>
      </w:r>
      <w:r w:rsidR="00430E81">
        <w:t xml:space="preserve"> can be used</w:t>
      </w:r>
      <w:r w:rsidR="00D71506">
        <w:t xml:space="preserve"> to show whether the same spellings are used throughout a section of text, and in Section </w:t>
      </w:r>
      <w:r w:rsidR="00A11845">
        <w:fldChar w:fldCharType="begin"/>
      </w:r>
      <w:r w:rsidR="00A11845">
        <w:instrText xml:space="preserve"> REF _Ref499624231 \r </w:instrText>
      </w:r>
      <w:r w:rsidR="00A11845">
        <w:fldChar w:fldCharType="separate"/>
      </w:r>
      <w:r w:rsidR="00D11844">
        <w:t>8.2</w:t>
      </w:r>
      <w:r w:rsidR="00A11845">
        <w:fldChar w:fldCharType="end"/>
      </w:r>
      <w:r w:rsidR="00A11845">
        <w:t xml:space="preserve"> </w:t>
      </w:r>
      <w:r w:rsidR="00D71506">
        <w:t>I use</w:t>
      </w:r>
      <w:r>
        <w:t>d</w:t>
      </w:r>
      <w:r w:rsidR="00D71506">
        <w:t xml:space="preserve"> similarity testing to find out the extent to which spellings differ between sections. Where a text was typeset by two compositors Section </w:t>
      </w:r>
      <w:r w:rsidR="00D71506">
        <w:fldChar w:fldCharType="begin"/>
      </w:r>
      <w:r w:rsidR="00D71506">
        <w:instrText xml:space="preserve"> REF _Ref497394504 \r </w:instrText>
      </w:r>
      <w:r w:rsidR="00D71506">
        <w:fldChar w:fldCharType="separate"/>
      </w:r>
      <w:r w:rsidR="00D11844">
        <w:t>8.3</w:t>
      </w:r>
      <w:r w:rsidR="00D71506">
        <w:fldChar w:fldCharType="end"/>
      </w:r>
      <w:r w:rsidR="00D71506">
        <w:t xml:space="preserve"> showed that the spellings used by two different compositors differs even when the same copy text was used. In this way similarity measures provide evidence of compositors changing the spellings in their copy texts even when we cannot compare the text against the copy text that was used to create it.</w:t>
      </w:r>
    </w:p>
    <w:p w14:paraId="4D7F210A" w14:textId="693B6417" w:rsidR="003800BF" w:rsidRDefault="005F13F2" w:rsidP="00581210">
      <w:r>
        <w:t xml:space="preserve">In Chapter 9, I combined the cluster analysis and similarity methods devised and applied in the previous chapters to explore the remaining questions raised during the analysis. </w:t>
      </w:r>
      <w:r w:rsidR="005A6A55">
        <w:t xml:space="preserve">Combining methods makes more complex analysis possible than is possible using one method alone. Section </w:t>
      </w:r>
      <w:r w:rsidR="005A6A55">
        <w:fldChar w:fldCharType="begin"/>
      </w:r>
      <w:r w:rsidR="005A6A55">
        <w:instrText xml:space="preserve"> REF _Ref497397371 \r </w:instrText>
      </w:r>
      <w:r w:rsidR="005A6A55">
        <w:fldChar w:fldCharType="separate"/>
      </w:r>
      <w:r w:rsidR="00D11844">
        <w:t>9.2</w:t>
      </w:r>
      <w:r w:rsidR="005A6A55">
        <w:fldChar w:fldCharType="end"/>
      </w:r>
      <w:r w:rsidR="005A6A55">
        <w:t xml:space="preserve"> show</w:t>
      </w:r>
      <w:r w:rsidR="00E93A3C">
        <w:t>ed</w:t>
      </w:r>
      <w:r w:rsidR="005A6A55">
        <w:t xml:space="preserve"> how we can use similarity scores and cluster analysis together to </w:t>
      </w:r>
      <w:r w:rsidR="006A4059">
        <w:t>determine whether the cause of a change in spellings is at the level of the</w:t>
      </w:r>
      <w:r w:rsidR="005A6A55">
        <w:t xml:space="preserve"> compositor or the copy text</w:t>
      </w:r>
      <w:r w:rsidR="006A4059">
        <w:t xml:space="preserve">. </w:t>
      </w:r>
      <w:r w:rsidR="005A6A55">
        <w:t xml:space="preserve">Additionally, Section </w:t>
      </w:r>
      <w:r w:rsidR="005A6A55">
        <w:fldChar w:fldCharType="begin"/>
      </w:r>
      <w:r w:rsidR="005A6A55">
        <w:instrText xml:space="preserve"> REF _Ref492564875 \r </w:instrText>
      </w:r>
      <w:r w:rsidR="005A6A55">
        <w:fldChar w:fldCharType="separate"/>
      </w:r>
      <w:r w:rsidR="00D11844">
        <w:t>9.4</w:t>
      </w:r>
      <w:r w:rsidR="005A6A55">
        <w:fldChar w:fldCharType="end"/>
      </w:r>
      <w:r w:rsidR="005A6A55">
        <w:t xml:space="preserve"> demonstrate</w:t>
      </w:r>
      <w:r w:rsidR="00E93A3C">
        <w:t>d</w:t>
      </w:r>
      <w:r w:rsidR="005A6A55">
        <w:t xml:space="preserve"> how we can use these methods to see which of Caxton’s spellings use the same spellings, and the extent to which the same spellings are used</w:t>
      </w:r>
      <w:r w:rsidR="006A4059">
        <w:t>.</w:t>
      </w:r>
      <w:r w:rsidR="005A6A55">
        <w:t xml:space="preserve"> Finally, by combining methods it is possible to examine Caxton’s role in the printing house more widely. Section </w:t>
      </w:r>
      <w:r w:rsidR="005A6A55">
        <w:fldChar w:fldCharType="begin"/>
      </w:r>
      <w:r w:rsidR="005A6A55">
        <w:instrText xml:space="preserve"> REF _Ref497402374 \r </w:instrText>
      </w:r>
      <w:r w:rsidR="005A6A55">
        <w:fldChar w:fldCharType="separate"/>
      </w:r>
      <w:r w:rsidR="00D11844">
        <w:t>9.5</w:t>
      </w:r>
      <w:r w:rsidR="005A6A55">
        <w:fldChar w:fldCharType="end"/>
      </w:r>
      <w:r w:rsidR="00E93A3C">
        <w:t xml:space="preserve"> explored</w:t>
      </w:r>
      <w:r w:rsidR="005A6A55">
        <w:t xml:space="preserve"> Caxton’s </w:t>
      </w:r>
      <w:r w:rsidR="00E93A3C">
        <w:t xml:space="preserve">editing and translation </w:t>
      </w:r>
      <w:r w:rsidR="005A6A55">
        <w:t>practices</w:t>
      </w:r>
      <w:r w:rsidR="000B425A">
        <w:t>, and</w:t>
      </w:r>
      <w:r w:rsidR="005A6A55">
        <w:t xml:space="preserve"> based on the results in this section</w:t>
      </w:r>
      <w:r w:rsidR="00E93A3C">
        <w:t>,</w:t>
      </w:r>
      <w:r w:rsidR="005A6A55">
        <w:t xml:space="preserve"> I argue</w:t>
      </w:r>
      <w:r w:rsidR="00E93A3C">
        <w:t>d</w:t>
      </w:r>
      <w:r w:rsidR="005A6A55">
        <w:t xml:space="preserve"> that Caxton’s preference was to write out texts in full and add amendments and changes as part of this process. </w:t>
      </w:r>
    </w:p>
    <w:p w14:paraId="13C02D21" w14:textId="26961C7F" w:rsidR="009F5D76" w:rsidRPr="005A2698" w:rsidRDefault="004A565C" w:rsidP="004A565C">
      <w:r>
        <w:t>The two methods developed for use with spelling data in this thesis—cluster analysis and similarity measurements—</w:t>
      </w:r>
      <w:r w:rsidR="0009716F">
        <w:t>demonstrate</w:t>
      </w:r>
      <w:r>
        <w:t xml:space="preserve"> the </w:t>
      </w:r>
      <w:r w:rsidR="00C8552C">
        <w:t>utility and value</w:t>
      </w:r>
      <w:r>
        <w:t xml:space="preserve"> of quantitative methods in exploring historical texts and historical spelling variation. This thesis argues that these methods can be used more widely to answer questions within historical linguistics that relate to the differing uses of spelling data. These methods enable the researcher to locate a point in a text where a change in spellings takes place, and then to quantify the extent to which the spellings differ on either side of the divide. Through combining these methods, this thesis has shown that it is possible to explore the composition of Caxton’s</w:t>
      </w:r>
      <w:r w:rsidR="00710912">
        <w:t xml:space="preserve"> texts and his e</w:t>
      </w:r>
      <w:r w:rsidR="002E3731">
        <w:t>ditorial practices more widely.</w:t>
      </w:r>
    </w:p>
    <w:p w14:paraId="28EDE8E1" w14:textId="77777777" w:rsidR="0018246E" w:rsidRDefault="0018246E" w:rsidP="0018246E"/>
    <w:p w14:paraId="3EF54A7F" w14:textId="09C8A703" w:rsidR="0018246E" w:rsidRDefault="0018246E" w:rsidP="0018246E">
      <w:pPr>
        <w:pStyle w:val="Heading3"/>
      </w:pPr>
      <w:r>
        <w:t>Spellings as data for quantitative studies</w:t>
      </w:r>
    </w:p>
    <w:p w14:paraId="34B007CF" w14:textId="2AC93A9E" w:rsidR="00211D98" w:rsidRDefault="00211D98" w:rsidP="009E0BEE">
      <w:r>
        <w:lastRenderedPageBreak/>
        <w:t xml:space="preserve">Section </w:t>
      </w:r>
      <w:r>
        <w:fldChar w:fldCharType="begin"/>
      </w:r>
      <w:r>
        <w:instrText xml:space="preserve"> REF _Ref495654932 \r </w:instrText>
      </w:r>
      <w:r>
        <w:fldChar w:fldCharType="separate"/>
      </w:r>
      <w:r w:rsidR="00D11844">
        <w:t>4.3</w:t>
      </w:r>
      <w:r>
        <w:fldChar w:fldCharType="end"/>
      </w:r>
      <w:r w:rsidR="003C48D1">
        <w:t xml:space="preserve"> developed</w:t>
      </w:r>
      <w:r>
        <w:t xml:space="preserve"> a method for transforming spellings</w:t>
      </w:r>
      <w:r w:rsidR="008F4201">
        <w:t xml:space="preserve"> into numbers</w:t>
      </w:r>
      <w:r>
        <w:t xml:space="preserve"> by representing each spelling in decimal form. The decimal form represents the proportion of time that the spelling in question is used relative to other spellings used to represent the same word, and so the decimals for all spellings that are used to represent a particular word always add up to one. </w:t>
      </w:r>
      <w:r w:rsidR="001C0DD6">
        <w:t xml:space="preserve">Spelling data exists in </w:t>
      </w:r>
      <w:r w:rsidR="009E0BEE">
        <w:t xml:space="preserve">a relationship with the words that they are used to represent. </w:t>
      </w:r>
      <w:r>
        <w:t xml:space="preserve">In Section </w:t>
      </w:r>
      <w:r>
        <w:fldChar w:fldCharType="begin"/>
      </w:r>
      <w:r>
        <w:instrText xml:space="preserve"> REF _Ref497743854 \r </w:instrText>
      </w:r>
      <w:r>
        <w:fldChar w:fldCharType="separate"/>
      </w:r>
      <w:r w:rsidR="00D11844">
        <w:t>4.3.2</w:t>
      </w:r>
      <w:r>
        <w:fldChar w:fldCharType="end"/>
      </w:r>
      <w:r w:rsidR="003C48D1">
        <w:t xml:space="preserve"> I built</w:t>
      </w:r>
      <w:r>
        <w:t xml:space="preserve"> on this method </w:t>
      </w:r>
      <w:r w:rsidR="001C0DD6">
        <w:t xml:space="preserve">by demonstrating the way in which this method can be used to represent the </w:t>
      </w:r>
      <w:r w:rsidR="009E0BEE">
        <w:t>relationship between</w:t>
      </w:r>
      <w:r w:rsidR="001C0DD6">
        <w:t xml:space="preserve"> spelling data</w:t>
      </w:r>
      <w:r w:rsidR="009E0BEE">
        <w:t xml:space="preserve"> and the words they represent</w:t>
      </w:r>
      <w:r w:rsidR="001C0DD6">
        <w:t xml:space="preserve">. Through using decimal form to represent the extent to which spelling variants are used, this method also ensures that all spellings are weighted by their frequency relative to other spellings for the same word. </w:t>
      </w:r>
    </w:p>
    <w:p w14:paraId="7DB22BB0" w14:textId="32867C8D" w:rsidR="00857D62" w:rsidRDefault="00DD7835" w:rsidP="0018246E">
      <w:r>
        <w:t xml:space="preserve">Section Two presents new methods for undertaking cluster analysis on the quires of a text, and these methods were optimised for use on spellings. As part of the design </w:t>
      </w:r>
      <w:r w:rsidR="000B274D">
        <w:t xml:space="preserve">of these methods each spelling is assigned to its own dimension. </w:t>
      </w:r>
      <w:r w:rsidR="00877FA7">
        <w:t xml:space="preserve">Subsequently, during the analysis each dimension is considered in turn, thus giving equal consideration to all spellings in line with the methodological approach taken throughout this thesis. However, there are thousands of spellings in any given text, and so the analysis is undertaken within high-dimensional space. The high dimensionality of the data means that adjustments to the method are required, because high dimensional space has properties that make cluster analysis difficult (see Section </w:t>
      </w:r>
      <w:r w:rsidR="00CD104C">
        <w:fldChar w:fldCharType="begin"/>
      </w:r>
      <w:r w:rsidR="00CD104C">
        <w:instrText xml:space="preserve"> REF _Ref498704164 \r </w:instrText>
      </w:r>
      <w:r w:rsidR="00CD104C">
        <w:fldChar w:fldCharType="separate"/>
      </w:r>
      <w:r w:rsidR="00D11844">
        <w:t>4.4</w:t>
      </w:r>
      <w:r w:rsidR="00CD104C">
        <w:fldChar w:fldCharType="end"/>
      </w:r>
      <w:r w:rsidR="00CD104C">
        <w:t xml:space="preserve"> </w:t>
      </w:r>
      <w:r w:rsidR="00877FA7">
        <w:t>for further discussion).</w:t>
      </w:r>
      <w:r w:rsidR="00AF79E7">
        <w:t xml:space="preserve"> </w:t>
      </w:r>
      <w:r w:rsidR="001045E0">
        <w:t xml:space="preserve">Section </w:t>
      </w:r>
      <w:r w:rsidR="001045E0">
        <w:fldChar w:fldCharType="begin"/>
      </w:r>
      <w:r w:rsidR="001045E0">
        <w:instrText xml:space="preserve"> REF _Ref497745024 \r </w:instrText>
      </w:r>
      <w:r w:rsidR="001045E0">
        <w:fldChar w:fldCharType="separate"/>
      </w:r>
      <w:r w:rsidR="00D11844">
        <w:t>5.3.1</w:t>
      </w:r>
      <w:r w:rsidR="001045E0">
        <w:fldChar w:fldCharType="end"/>
      </w:r>
      <w:r w:rsidR="001045E0">
        <w:t xml:space="preserve"> </w:t>
      </w:r>
      <w:r w:rsidR="003C48D1">
        <w:t>demonstrated</w:t>
      </w:r>
      <w:r w:rsidR="000A14D0">
        <w:t xml:space="preserve"> the value of undertaking the cluster analysis twice—the first time using all the spellings and ensuring a truly data-driven method, and the second clustering using a restricted set </w:t>
      </w:r>
      <w:r w:rsidR="003C48D1">
        <w:t xml:space="preserve">of </w:t>
      </w:r>
      <w:r w:rsidR="000A14D0">
        <w:t>spellings that represent high-frequency words that appeared in at least eighty per cent of quires.</w:t>
      </w:r>
      <w:r w:rsidR="001045E0">
        <w:t xml:space="preserve"> In Chapter 9 the analysis is expanded so that whole texts can be clustered with one another. </w:t>
      </w:r>
      <w:r w:rsidR="000A14D0">
        <w:t xml:space="preserve">For cluster analysis to work on whole texts, Section </w:t>
      </w:r>
      <w:r w:rsidR="000A14D0">
        <w:fldChar w:fldCharType="begin"/>
      </w:r>
      <w:r w:rsidR="000A14D0">
        <w:instrText xml:space="preserve"> REF _Ref497743535 \r </w:instrText>
      </w:r>
      <w:r w:rsidR="000A14D0">
        <w:fldChar w:fldCharType="separate"/>
      </w:r>
      <w:r w:rsidR="00D11844">
        <w:t>5.5</w:t>
      </w:r>
      <w:r w:rsidR="000A14D0">
        <w:fldChar w:fldCharType="end"/>
      </w:r>
      <w:r w:rsidR="003C48D1">
        <w:t xml:space="preserve"> presented</w:t>
      </w:r>
      <w:r w:rsidR="000A14D0">
        <w:t xml:space="preserve"> additional adjustments designed to widen the applicability of the method: </w:t>
      </w:r>
      <w:r w:rsidR="00B27134">
        <w:t xml:space="preserve">Section </w:t>
      </w:r>
      <w:r w:rsidR="00B27134">
        <w:fldChar w:fldCharType="begin"/>
      </w:r>
      <w:r w:rsidR="00B27134">
        <w:instrText xml:space="preserve"> REF _Ref497744748 \r </w:instrText>
      </w:r>
      <w:r w:rsidR="00B27134">
        <w:fldChar w:fldCharType="separate"/>
      </w:r>
      <w:r w:rsidR="00D11844">
        <w:t>5.5.1</w:t>
      </w:r>
      <w:r w:rsidR="00B27134">
        <w:fldChar w:fldCharType="end"/>
      </w:r>
      <w:r w:rsidR="003C48D1">
        <w:t xml:space="preserve"> demonstrated</w:t>
      </w:r>
      <w:r w:rsidR="00B27134">
        <w:t xml:space="preserve"> the value of using hierarchical clustering rather than </w:t>
      </w:r>
      <w:r w:rsidR="00B27134" w:rsidRPr="004C3465">
        <w:rPr>
          <w:i/>
        </w:rPr>
        <w:t>k</w:t>
      </w:r>
      <w:r w:rsidR="00FC519C">
        <w:t>-means</w:t>
      </w:r>
      <w:r w:rsidR="00B27134">
        <w:t xml:space="preserve">, and </w:t>
      </w:r>
      <w:r w:rsidR="007D68AE">
        <w:t>Section</w:t>
      </w:r>
      <w:r w:rsidR="000A14D0">
        <w:t xml:space="preserve"> </w:t>
      </w:r>
      <w:r w:rsidR="000A14D0">
        <w:fldChar w:fldCharType="begin"/>
      </w:r>
      <w:r w:rsidR="000A14D0">
        <w:instrText xml:space="preserve"> REF _Ref492475903 \r </w:instrText>
      </w:r>
      <w:r w:rsidR="000A14D0">
        <w:fldChar w:fldCharType="separate"/>
      </w:r>
      <w:r w:rsidR="00D11844">
        <w:t>5.5.2</w:t>
      </w:r>
      <w:r w:rsidR="000A14D0">
        <w:fldChar w:fldCharType="end"/>
      </w:r>
      <w:r w:rsidR="000A14D0">
        <w:t xml:space="preserve"> establis</w:t>
      </w:r>
      <w:r w:rsidR="003C48D1">
        <w:t>hed</w:t>
      </w:r>
      <w:r w:rsidR="000A14D0">
        <w:t xml:space="preserve"> the necessity of restricting the cluster analysis to the spellings used within the text (or sections of text) that are included in the analysis</w:t>
      </w:r>
      <w:r w:rsidR="00B27134">
        <w:t xml:space="preserve">. </w:t>
      </w:r>
    </w:p>
    <w:p w14:paraId="3876FC41" w14:textId="77777777" w:rsidR="00BF369C" w:rsidRDefault="00BF369C" w:rsidP="0018246E"/>
    <w:p w14:paraId="47B80E19" w14:textId="0ABD241E" w:rsidR="00BF369C" w:rsidRDefault="00BF369C" w:rsidP="00BF369C">
      <w:pPr>
        <w:pStyle w:val="Heading3"/>
      </w:pPr>
      <w:r>
        <w:t xml:space="preserve">Early printed texts as data for quantitative studies </w:t>
      </w:r>
    </w:p>
    <w:p w14:paraId="4A4C1A41" w14:textId="1E0D6741" w:rsidR="00FF08A3" w:rsidRDefault="00F6134E" w:rsidP="006A24D2">
      <w:r>
        <w:t>By using Caxton’s texts as data for analysis of spellings, this thesis provides insight into the use of early printed books for quantitative research</w:t>
      </w:r>
      <w:r w:rsidR="00DD7835">
        <w:t>, but t</w:t>
      </w:r>
      <w:r w:rsidR="00584148">
        <w:t xml:space="preserve">he high-dimensional space created </w:t>
      </w:r>
      <w:r w:rsidR="00B84FC6">
        <w:t>using</w:t>
      </w:r>
      <w:r w:rsidR="00584148">
        <w:t xml:space="preserve"> </w:t>
      </w:r>
      <w:r w:rsidR="002B452F">
        <w:t>spelling data</w:t>
      </w:r>
      <w:r w:rsidR="00B84FC6">
        <w:t xml:space="preserve"> has implications for cluster analysis using books. </w:t>
      </w:r>
      <w:r w:rsidR="00FF08A3">
        <w:t>Cluster analysis of</w:t>
      </w:r>
      <w:r w:rsidR="009217AF">
        <w:t xml:space="preserve"> </w:t>
      </w:r>
      <w:r w:rsidR="009217AF">
        <w:rPr>
          <w:i/>
        </w:rPr>
        <w:t>Troilus and Criseyde</w:t>
      </w:r>
      <w:r w:rsidR="00FF08A3">
        <w:t xml:space="preserve"> in Section </w:t>
      </w:r>
      <w:r w:rsidR="00FF08A3">
        <w:fldChar w:fldCharType="begin"/>
      </w:r>
      <w:r w:rsidR="00FF08A3">
        <w:instrText xml:space="preserve"> REF _Ref497391746 \r </w:instrText>
      </w:r>
      <w:r w:rsidR="00FF08A3">
        <w:fldChar w:fldCharType="separate"/>
      </w:r>
      <w:r w:rsidR="00D11844">
        <w:t>5.4.2</w:t>
      </w:r>
      <w:r w:rsidR="00FF08A3">
        <w:fldChar w:fldCharType="end"/>
      </w:r>
      <w:r w:rsidR="003C48D1">
        <w:t xml:space="preserve"> showed</w:t>
      </w:r>
      <w:r w:rsidR="009217AF">
        <w:t xml:space="preserve"> that </w:t>
      </w:r>
      <w:r w:rsidR="00FF08A3">
        <w:t xml:space="preserve">density-based clustering is unlikely to ever be a useful method for clustering quires based on spelling variation. The quires of </w:t>
      </w:r>
      <w:r w:rsidR="00FF08A3">
        <w:rPr>
          <w:i/>
        </w:rPr>
        <w:t>Troilus and Criseyde</w:t>
      </w:r>
      <w:r w:rsidR="00FF08A3">
        <w:t xml:space="preserve"> are not sufficiently dense for a clustering of </w:t>
      </w:r>
      <w:r w:rsidR="00FF08A3">
        <w:lastRenderedPageBreak/>
        <w:t xml:space="preserve">the data points to take place; as such the ratio of quires to spelling variants is too low for density-based clustering to work. In contrast, clustering works effectively with </w:t>
      </w:r>
      <w:r w:rsidR="00FF08A3" w:rsidRPr="004C3465">
        <w:rPr>
          <w:i/>
        </w:rPr>
        <w:t>k</w:t>
      </w:r>
      <w:r w:rsidR="00FF08A3">
        <w:t>-means and hierarchical clustering methods. These methods work by calculating the distances of the quires from one another and from the centres of the clusters in which they are included. In this case, the distances between quires are varied enough for proximity-based clustering to work effectively.</w:t>
      </w:r>
    </w:p>
    <w:p w14:paraId="49BC0094" w14:textId="310C03FD" w:rsidR="00F6134E" w:rsidRDefault="00DD7835" w:rsidP="006A24D2">
      <w:r>
        <w:t xml:space="preserve">Using whole texts as data introduces further </w:t>
      </w:r>
      <w:r w:rsidR="003C48D1">
        <w:t>challenges</w:t>
      </w:r>
      <w:r>
        <w:t xml:space="preserve"> for quantitative analysis. </w:t>
      </w:r>
      <w:r w:rsidR="00B84FC6">
        <w:t>When using whole texts for cluster analysis</w:t>
      </w:r>
      <w:r w:rsidR="00FB6902">
        <w:t xml:space="preserve"> as opposed to quires</w:t>
      </w:r>
      <w:r w:rsidR="00B84FC6">
        <w:t xml:space="preserve">, Section </w:t>
      </w:r>
      <w:r w:rsidR="00B84FC6">
        <w:fldChar w:fldCharType="begin"/>
      </w:r>
      <w:r w:rsidR="00B84FC6">
        <w:instrText xml:space="preserve"> REF _Ref497734309 \r </w:instrText>
      </w:r>
      <w:r w:rsidR="00B84FC6">
        <w:fldChar w:fldCharType="separate"/>
      </w:r>
      <w:r w:rsidR="00D11844">
        <w:t>5.5.3</w:t>
      </w:r>
      <w:r w:rsidR="00B84FC6">
        <w:fldChar w:fldCharType="end"/>
      </w:r>
      <w:r w:rsidR="003C48D1">
        <w:t xml:space="preserve"> showed</w:t>
      </w:r>
      <w:r w:rsidR="00B84FC6">
        <w:t xml:space="preserve"> that information loss takes place. </w:t>
      </w:r>
      <w:r w:rsidR="00BD1035">
        <w:t>Section</w:t>
      </w:r>
      <w:r w:rsidR="00C34573">
        <w:t xml:space="preserve"> </w:t>
      </w:r>
      <w:r w:rsidR="00C34573">
        <w:fldChar w:fldCharType="begin"/>
      </w:r>
      <w:r w:rsidR="00C34573">
        <w:instrText xml:space="preserve"> REF _Ref497478756 \r </w:instrText>
      </w:r>
      <w:r w:rsidR="00C34573">
        <w:fldChar w:fldCharType="separate"/>
      </w:r>
      <w:r w:rsidR="00D11844">
        <w:t>5.4</w:t>
      </w:r>
      <w:r w:rsidR="00C34573">
        <w:fldChar w:fldCharType="end"/>
      </w:r>
      <w:r w:rsidR="00C34573">
        <w:t xml:space="preserve"> and Section </w:t>
      </w:r>
      <w:r w:rsidR="00C34573">
        <w:fldChar w:fldCharType="begin"/>
      </w:r>
      <w:r w:rsidR="00C34573">
        <w:instrText xml:space="preserve"> REF _Ref497478760 \r </w:instrText>
      </w:r>
      <w:r w:rsidR="00C34573">
        <w:fldChar w:fldCharType="separate"/>
      </w:r>
      <w:r w:rsidR="00D11844">
        <w:t>7.2</w:t>
      </w:r>
      <w:r w:rsidR="00C34573">
        <w:fldChar w:fldCharType="end"/>
      </w:r>
      <w:r w:rsidR="00C34573">
        <w:t xml:space="preserve"> demonstrate</w:t>
      </w:r>
      <w:r w:rsidR="003C48D1">
        <w:t>d</w:t>
      </w:r>
      <w:r w:rsidR="00C34573">
        <w:t xml:space="preserve"> that changes in spellings often take place within printed texts because of a change in the copy text or the compositor. However, these multiple orthographic idiolects are conflated when clustering whole texts</w:t>
      </w:r>
      <w:r w:rsidR="00FB6902">
        <w:t>,</w:t>
      </w:r>
      <w:r w:rsidR="00FB6902" w:rsidRPr="00FB6902">
        <w:t xml:space="preserve"> </w:t>
      </w:r>
      <w:r w:rsidR="00FB6902">
        <w:t>and a weighted mean of the spellings in the text is taken and used to represent the whole.</w:t>
      </w:r>
      <w:r w:rsidR="00F6316B">
        <w:t xml:space="preserve"> While </w:t>
      </w:r>
      <w:r w:rsidR="003C48D1">
        <w:t>Chapter 9 demonstrated</w:t>
      </w:r>
      <w:r w:rsidR="00B31971">
        <w:t xml:space="preserve"> that </w:t>
      </w:r>
      <w:r w:rsidR="00F6316B">
        <w:t xml:space="preserve">clustering whole texts is an effective means of researching similarities between the spellings used in different texts, </w:t>
      </w:r>
      <w:r w:rsidR="00B31971">
        <w:t xml:space="preserve">undertaking cluster analysis on this scale </w:t>
      </w:r>
      <w:r w:rsidR="00AD0668">
        <w:t xml:space="preserve">requires the </w:t>
      </w:r>
      <w:r w:rsidR="002148BA">
        <w:t>conflation</w:t>
      </w:r>
      <w:r w:rsidR="00AD0668">
        <w:t xml:space="preserve"> of </w:t>
      </w:r>
      <w:r w:rsidR="002148BA">
        <w:t xml:space="preserve">changes in idiolect that may take place within the text. </w:t>
      </w:r>
    </w:p>
    <w:p w14:paraId="14B0408C" w14:textId="3385BEF8" w:rsidR="00000483" w:rsidRDefault="00000483" w:rsidP="006A24D2"/>
    <w:p w14:paraId="6DBA90B3" w14:textId="644F051A" w:rsidR="002C6B02" w:rsidRDefault="00152EBC" w:rsidP="002C6B02">
      <w:pPr>
        <w:pStyle w:val="Heading2"/>
      </w:pPr>
      <w:bookmarkStart w:id="280" w:name="_Ref497289549"/>
      <w:bookmarkStart w:id="281" w:name="_Toc497899889"/>
      <w:r>
        <w:t>Contributions to our knowledge of book history</w:t>
      </w:r>
      <w:bookmarkEnd w:id="280"/>
      <w:bookmarkEnd w:id="281"/>
      <w:r>
        <w:t xml:space="preserve"> </w:t>
      </w:r>
    </w:p>
    <w:p w14:paraId="1E4BFC64" w14:textId="4BDA5DB6" w:rsidR="009C1B1F" w:rsidRDefault="009A290F" w:rsidP="009F49BE">
      <w:r>
        <w:t>This thesis makes a significant contribution to our understanding of the printing processes undertaken in Caxton’s printing house</w:t>
      </w:r>
      <w:r w:rsidR="00CA2933">
        <w:t xml:space="preserve">, and provides further insight into Caxton’s editing and translation practices through focusing on several of Caxton’s texts. </w:t>
      </w:r>
      <w:r w:rsidR="009C1B1F">
        <w:t xml:space="preserve">Section </w:t>
      </w:r>
      <w:r w:rsidR="009C1B1F">
        <w:fldChar w:fldCharType="begin"/>
      </w:r>
      <w:r w:rsidR="009C1B1F">
        <w:instrText xml:space="preserve"> REF _Ref497202960 \r \h </w:instrText>
      </w:r>
      <w:r w:rsidR="009C1B1F">
        <w:fldChar w:fldCharType="separate"/>
      </w:r>
      <w:r w:rsidR="00D11844">
        <w:t>3.3.2</w:t>
      </w:r>
      <w:r w:rsidR="009C1B1F">
        <w:fldChar w:fldCharType="end"/>
      </w:r>
      <w:r w:rsidR="009C1B1F">
        <w:t xml:space="preserve"> shows that the processes undertaken in printing, particularly the processes involved in justification of type, are unlikely to have caused a change in the orthography of Caxton’s texts. Instead, compositors justify their text through hyphenating words over lines, abbreviating words near the right-side margin, and expanding or contracting the spacing between words.</w:t>
      </w:r>
    </w:p>
    <w:p w14:paraId="54B88787" w14:textId="2CCBF8A4" w:rsidR="009A290F" w:rsidRDefault="009A290F" w:rsidP="009A290F">
      <w:r>
        <w:t xml:space="preserve">Through the application of the methods devised in Section Two, Section Three expands our knowledge of the way in which compositors worked in Caxton’s printing house. Section </w:t>
      </w:r>
      <w:r>
        <w:fldChar w:fldCharType="begin"/>
      </w:r>
      <w:r>
        <w:instrText xml:space="preserve"> REF _Ref495322729 \r </w:instrText>
      </w:r>
      <w:r>
        <w:fldChar w:fldCharType="separate"/>
      </w:r>
      <w:r w:rsidR="00D11844">
        <w:t>7.5.2</w:t>
      </w:r>
      <w:r>
        <w:fldChar w:fldCharType="end"/>
      </w:r>
      <w:r w:rsidR="003C48D1">
        <w:t xml:space="preserve"> showed</w:t>
      </w:r>
      <w:r>
        <w:t xml:space="preserve"> that the copy text used by Caxton’s compositors were sometimes written by multiple scribes at some point in their transmission. Texts were not always divided for copy based on the order in which the text would be put together. In Section </w:t>
      </w:r>
      <w:r>
        <w:fldChar w:fldCharType="begin"/>
      </w:r>
      <w:r>
        <w:instrText xml:space="preserve"> REF _Ref497210599 \r </w:instrText>
      </w:r>
      <w:r>
        <w:fldChar w:fldCharType="separate"/>
      </w:r>
      <w:r w:rsidR="00D11844">
        <w:t>8.3.1</w:t>
      </w:r>
      <w:r>
        <w:fldChar w:fldCharType="end"/>
      </w:r>
      <w:r>
        <w:t xml:space="preserve"> I argue</w:t>
      </w:r>
      <w:r w:rsidR="003C48D1">
        <w:t>d</w:t>
      </w:r>
      <w:r>
        <w:t xml:space="preserve"> that Caxton’s first edition of the </w:t>
      </w:r>
      <w:r>
        <w:rPr>
          <w:i/>
        </w:rPr>
        <w:t>Canterbury Tales</w:t>
      </w:r>
      <w:r>
        <w:t xml:space="preserve"> was likely divided into prose and verse for typesetting, and when resetting quires of the </w:t>
      </w:r>
      <w:r>
        <w:rPr>
          <w:i/>
        </w:rPr>
        <w:t>Golden Legend</w:t>
      </w:r>
      <w:r>
        <w:t xml:space="preserve">, the compositors were given non-consecutive sections of work to typeset (Section </w:t>
      </w:r>
      <w:r>
        <w:fldChar w:fldCharType="begin"/>
      </w:r>
      <w:r>
        <w:instrText xml:space="preserve"> REF _Ref497210748 \r </w:instrText>
      </w:r>
      <w:r>
        <w:fldChar w:fldCharType="separate"/>
      </w:r>
      <w:r w:rsidR="00D11844">
        <w:t>8.3.2</w:t>
      </w:r>
      <w:r>
        <w:fldChar w:fldCharType="end"/>
      </w:r>
      <w:r>
        <w:t xml:space="preserve">). During typesetting Caxton’s compositors often worked together and set type from the same text concurrently, as in the case of the </w:t>
      </w:r>
      <w:r>
        <w:rPr>
          <w:i/>
        </w:rPr>
        <w:t>Golden Legend</w:t>
      </w:r>
      <w:r>
        <w:t xml:space="preserve"> (Section </w:t>
      </w:r>
      <w:r>
        <w:fldChar w:fldCharType="begin"/>
      </w:r>
      <w:r>
        <w:instrText xml:space="preserve"> REF _Ref497210748 \r </w:instrText>
      </w:r>
      <w:r>
        <w:fldChar w:fldCharType="separate"/>
      </w:r>
      <w:r w:rsidR="00D11844">
        <w:t>8.3.2</w:t>
      </w:r>
      <w:r>
        <w:fldChar w:fldCharType="end"/>
      </w:r>
      <w:r>
        <w:t xml:space="preserve">), but </w:t>
      </w:r>
      <w:r>
        <w:lastRenderedPageBreak/>
        <w:t xml:space="preserve">sometimes one compositor would take over the work of another, as occurred in the </w:t>
      </w:r>
      <w:r>
        <w:rPr>
          <w:i/>
        </w:rPr>
        <w:t>Book of Good Manners</w:t>
      </w:r>
      <w:r>
        <w:t xml:space="preserve"> (Section </w:t>
      </w:r>
      <w:r>
        <w:fldChar w:fldCharType="begin"/>
      </w:r>
      <w:r>
        <w:instrText xml:space="preserve"> REF _Ref497210811 \r </w:instrText>
      </w:r>
      <w:r>
        <w:fldChar w:fldCharType="separate"/>
      </w:r>
      <w:r w:rsidR="00D11844">
        <w:t>9.5.2</w:t>
      </w:r>
      <w:r>
        <w:fldChar w:fldCharType="end"/>
      </w:r>
      <w:r>
        <w:t xml:space="preserve">). Based on similarity scores, in Section </w:t>
      </w:r>
      <w:r>
        <w:fldChar w:fldCharType="begin"/>
      </w:r>
      <w:r>
        <w:instrText xml:space="preserve"> REF _Ref497225586 \r </w:instrText>
      </w:r>
      <w:r>
        <w:fldChar w:fldCharType="separate"/>
      </w:r>
      <w:r w:rsidR="00D11844">
        <w:t>9.5</w:t>
      </w:r>
      <w:r>
        <w:fldChar w:fldCharType="end"/>
      </w:r>
      <w:r>
        <w:t xml:space="preserve"> I argued that it is also possible that the same compositor who typeset some of the </w:t>
      </w:r>
      <w:r>
        <w:rPr>
          <w:i/>
        </w:rPr>
        <w:t xml:space="preserve">Golden Legend </w:t>
      </w:r>
      <w:r>
        <w:t xml:space="preserve">also typeset the first half of the </w:t>
      </w:r>
      <w:r>
        <w:rPr>
          <w:i/>
        </w:rPr>
        <w:t>Book of Good Manners</w:t>
      </w:r>
      <w:r>
        <w:t xml:space="preserve">, and the full text of </w:t>
      </w:r>
      <w:r>
        <w:rPr>
          <w:i/>
        </w:rPr>
        <w:t>Paris and Vienne</w:t>
      </w:r>
      <w:r>
        <w:t xml:space="preserve">. </w:t>
      </w:r>
    </w:p>
    <w:p w14:paraId="68BB341C" w14:textId="77777777" w:rsidR="009F49BE" w:rsidRDefault="009F49BE" w:rsidP="002C6B02"/>
    <w:p w14:paraId="6C65099B" w14:textId="77777777" w:rsidR="00FC519C" w:rsidRDefault="00FC519C" w:rsidP="002C6B02"/>
    <w:p w14:paraId="7B2E7E15" w14:textId="77777777" w:rsidR="00FC519C" w:rsidRDefault="00FC519C" w:rsidP="002C6B02"/>
    <w:p w14:paraId="41A7F8B8" w14:textId="77777777" w:rsidR="00FC519C" w:rsidRDefault="00FC519C" w:rsidP="002C6B02"/>
    <w:p w14:paraId="766EA2CB" w14:textId="5FCE5CF8" w:rsidR="00BA1990" w:rsidRDefault="00BA1990" w:rsidP="00BA1990">
      <w:pPr>
        <w:pStyle w:val="Heading3"/>
      </w:pPr>
      <w:r>
        <w:t xml:space="preserve">Caxton’s practices </w:t>
      </w:r>
      <w:r w:rsidR="006B05BE">
        <w:t xml:space="preserve">as an editor and a translator </w:t>
      </w:r>
    </w:p>
    <w:p w14:paraId="13737FA5" w14:textId="337A9143" w:rsidR="009A290F" w:rsidRDefault="009A290F" w:rsidP="00F6134E">
      <w:r>
        <w:t>This</w:t>
      </w:r>
      <w:r w:rsidR="00BE3A70">
        <w:t xml:space="preserve"> </w:t>
      </w:r>
      <w:r>
        <w:t xml:space="preserve">thesis explores </w:t>
      </w:r>
      <w:r w:rsidR="00BE3A70">
        <w:t xml:space="preserve">the editorial and translation practices that were undertaken by Caxton when creating new texts for print. </w:t>
      </w:r>
      <w:r w:rsidR="00486EB6">
        <w:t>By focusing on individu</w:t>
      </w:r>
      <w:r w:rsidR="003C48D1">
        <w:t>al texts, Chapter 9 demonstrated</w:t>
      </w:r>
      <w:r w:rsidR="00486EB6">
        <w:t xml:space="preserve"> Caxton’s </w:t>
      </w:r>
      <w:r w:rsidR="003C48D1">
        <w:t>approach to</w:t>
      </w:r>
      <w:r w:rsidR="00486EB6">
        <w:t xml:space="preserve"> </w:t>
      </w:r>
      <w:r w:rsidR="00007858">
        <w:t>editorship of the texts that he printed</w:t>
      </w:r>
      <w:r w:rsidR="00486EB6">
        <w:t xml:space="preserve">. </w:t>
      </w:r>
      <w:r w:rsidR="009543F5">
        <w:t xml:space="preserve">Cluster analysis of the </w:t>
      </w:r>
      <w:r w:rsidR="009543F5">
        <w:rPr>
          <w:i/>
        </w:rPr>
        <w:t>Polychronicon</w:t>
      </w:r>
      <w:r w:rsidR="009543F5">
        <w:t xml:space="preserve"> </w:t>
      </w:r>
      <w:r w:rsidR="008E0538">
        <w:t>suggests that the text was written out by Caxton</w:t>
      </w:r>
      <w:r>
        <w:t>, and then</w:t>
      </w:r>
      <w:r w:rsidR="008E0538">
        <w:t xml:space="preserve"> Caxton’s version of the text was given to the compositors for typesetting</w:t>
      </w:r>
      <w:r w:rsidR="003B2676">
        <w:t xml:space="preserve"> (Section </w:t>
      </w:r>
      <w:r w:rsidR="00964C56">
        <w:fldChar w:fldCharType="begin"/>
      </w:r>
      <w:r w:rsidR="00964C56">
        <w:instrText xml:space="preserve"> REF _Ref497223855 \r </w:instrText>
      </w:r>
      <w:r w:rsidR="00964C56">
        <w:fldChar w:fldCharType="separate"/>
      </w:r>
      <w:r w:rsidR="00D11844">
        <w:t>9.5.1</w:t>
      </w:r>
      <w:r w:rsidR="00964C56">
        <w:fldChar w:fldCharType="end"/>
      </w:r>
      <w:r w:rsidR="00964C56">
        <w:t>)</w:t>
      </w:r>
      <w:r w:rsidR="008E0538">
        <w:t xml:space="preserve">. </w:t>
      </w:r>
      <w:r w:rsidR="00DB4205">
        <w:t>Additionally, through combini</w:t>
      </w:r>
      <w:r w:rsidR="00601AE6">
        <w:t xml:space="preserve">ng </w:t>
      </w:r>
      <w:r>
        <w:t xml:space="preserve">the </w:t>
      </w:r>
      <w:r w:rsidR="00601AE6">
        <w:t>methods</w:t>
      </w:r>
      <w:r>
        <w:t xml:space="preserve"> developed in Section Two, I argue</w:t>
      </w:r>
      <w:r w:rsidR="003C48D1">
        <w:t>d</w:t>
      </w:r>
      <w:r>
        <w:t xml:space="preserve"> that </w:t>
      </w:r>
      <w:r w:rsidR="00964C56">
        <w:t xml:space="preserve">Caxton was not the author of the </w:t>
      </w:r>
      <w:r>
        <w:t xml:space="preserve">section of the </w:t>
      </w:r>
      <w:r>
        <w:rPr>
          <w:i/>
        </w:rPr>
        <w:t xml:space="preserve">Polychronicon </w:t>
      </w:r>
      <w:r>
        <w:t xml:space="preserve">known as the </w:t>
      </w:r>
      <w:r w:rsidR="00964C56">
        <w:t xml:space="preserve">Liber Ultimus. </w:t>
      </w:r>
      <w:r>
        <w:t xml:space="preserve">This section of text was copied </w:t>
      </w:r>
      <w:r w:rsidR="00964C56">
        <w:t xml:space="preserve">from the 1419 continuation of the manuscript version of the </w:t>
      </w:r>
      <w:r w:rsidR="00964C56">
        <w:rPr>
          <w:i/>
        </w:rPr>
        <w:t>Brut</w:t>
      </w:r>
      <w:r w:rsidR="00964C56">
        <w:t xml:space="preserve"> chronicle </w:t>
      </w:r>
      <w:r w:rsidR="000D609A">
        <w:t xml:space="preserve">that </w:t>
      </w:r>
      <w:r>
        <w:t>Caxton</w:t>
      </w:r>
      <w:r w:rsidR="000D609A">
        <w:t xml:space="preserve"> used to make his edition of the </w:t>
      </w:r>
      <w:r w:rsidR="000D609A">
        <w:rPr>
          <w:i/>
        </w:rPr>
        <w:t xml:space="preserve">Chronicles of England </w:t>
      </w:r>
      <w:r w:rsidR="000D609A">
        <w:t>(</w:t>
      </w:r>
      <w:r w:rsidR="000D609A" w:rsidRPr="000D609A">
        <w:t xml:space="preserve">Section </w:t>
      </w:r>
      <w:r w:rsidR="00AE3C75">
        <w:fldChar w:fldCharType="begin"/>
      </w:r>
      <w:r w:rsidR="00AE3C75">
        <w:instrText xml:space="preserve"> REF _Ref492709736 \r  \* MERGEFORMAT </w:instrText>
      </w:r>
      <w:r w:rsidR="00AE3C75">
        <w:fldChar w:fldCharType="separate"/>
      </w:r>
      <w:r w:rsidR="00D11844">
        <w:t>9.3</w:t>
      </w:r>
      <w:r w:rsidR="00AE3C75">
        <w:fldChar w:fldCharType="end"/>
      </w:r>
      <w:r w:rsidR="000D609A">
        <w:t xml:space="preserve">). Caxton’s practices </w:t>
      </w:r>
      <w:r>
        <w:t>were</w:t>
      </w:r>
      <w:r w:rsidR="000D609A">
        <w:t xml:space="preserve"> similar when he was preparing his manuscript of the </w:t>
      </w:r>
      <w:r w:rsidR="000D609A">
        <w:rPr>
          <w:i/>
        </w:rPr>
        <w:t>Golden Legend</w:t>
      </w:r>
      <w:r w:rsidR="000D609A">
        <w:t xml:space="preserve">. </w:t>
      </w:r>
      <w:r w:rsidR="005F1849">
        <w:t>While the composi</w:t>
      </w:r>
      <w:r w:rsidR="00202EC3">
        <w:t>tors appear to have worked directly from a</w:t>
      </w:r>
      <w:r w:rsidR="005F1849">
        <w:t xml:space="preserve"> manuscript</w:t>
      </w:r>
      <w:r w:rsidR="00202EC3">
        <w:t xml:space="preserve"> of the English</w:t>
      </w:r>
      <w:r w:rsidR="005F1849">
        <w:t xml:space="preserve"> </w:t>
      </w:r>
      <w:r w:rsidR="005F1849">
        <w:rPr>
          <w:i/>
        </w:rPr>
        <w:t>Gilte Legend</w:t>
      </w:r>
      <w:r w:rsidR="00202EC3">
        <w:rPr>
          <w:i/>
        </w:rPr>
        <w:t>e</w:t>
      </w:r>
      <w:r w:rsidR="00202EC3">
        <w:t xml:space="preserve"> </w:t>
      </w:r>
      <w:r w:rsidR="0050237E">
        <w:t xml:space="preserve">for the first section of the text, </w:t>
      </w:r>
      <w:r w:rsidR="004030EA">
        <w:t>cluster analysis and similarity testing</w:t>
      </w:r>
      <w:r w:rsidR="00F6134E">
        <w:t xml:space="preserve"> suggest</w:t>
      </w:r>
      <w:r w:rsidR="004030EA">
        <w:t xml:space="preserve"> that </w:t>
      </w:r>
      <w:r w:rsidR="0050237E">
        <w:t xml:space="preserve">the rest of the text was either copied out of the </w:t>
      </w:r>
      <w:r w:rsidR="0050237E">
        <w:rPr>
          <w:i/>
        </w:rPr>
        <w:t>Gilte Legende</w:t>
      </w:r>
      <w:r w:rsidR="0050237E">
        <w:t xml:space="preserve"> by Caxton (and possibly edited in some way), or translated into English from the French or Latin versions by Caxton. </w:t>
      </w:r>
      <w:r w:rsidR="000457EE">
        <w:t xml:space="preserve">When editing a text, Caxton’s practice appears to have been </w:t>
      </w:r>
      <w:r w:rsidR="00DA0FBB">
        <w:t xml:space="preserve">to write the text out in its entirety, including </w:t>
      </w:r>
      <w:r w:rsidR="00083C00">
        <w:t xml:space="preserve">any amendments in Caxton’s handwritten version of the text. </w:t>
      </w:r>
      <w:r w:rsidR="00486EB6">
        <w:t xml:space="preserve">Caxton’s preference both as an editor and a translator appears to have been the creation of a full manuscript version of the text, presumably that the compositors then worked from directly. </w:t>
      </w:r>
    </w:p>
    <w:p w14:paraId="4AB25E5A" w14:textId="77777777" w:rsidR="009A290F" w:rsidRPr="009F49BE" w:rsidRDefault="009A290F" w:rsidP="005A2BAF"/>
    <w:p w14:paraId="5E303A4B" w14:textId="185D2709" w:rsidR="006A1FDE" w:rsidRPr="006A1FDE" w:rsidRDefault="006A1FDE" w:rsidP="006A1FDE">
      <w:pPr>
        <w:pStyle w:val="Heading2"/>
      </w:pPr>
      <w:bookmarkStart w:id="282" w:name="_Ref497289557"/>
      <w:bookmarkStart w:id="283" w:name="_Toc497899890"/>
      <w:r>
        <w:t xml:space="preserve">Implications for </w:t>
      </w:r>
      <w:bookmarkEnd w:id="282"/>
      <w:r w:rsidR="00C25286">
        <w:t>further research</w:t>
      </w:r>
      <w:bookmarkEnd w:id="283"/>
    </w:p>
    <w:p w14:paraId="69393987" w14:textId="1005FD2E" w:rsidR="00656814" w:rsidRDefault="00000693" w:rsidP="00F30EBE">
      <w:pPr>
        <w:rPr>
          <w:shd w:val="clear" w:color="auto" w:fill="FFFFFF"/>
          <w:lang w:eastAsia="en-GB"/>
        </w:rPr>
      </w:pPr>
      <w:r>
        <w:rPr>
          <w:shd w:val="clear" w:color="auto" w:fill="FFFFFF"/>
          <w:lang w:eastAsia="en-GB"/>
        </w:rPr>
        <w:t>The work in this the</w:t>
      </w:r>
      <w:r w:rsidR="00404CE8">
        <w:rPr>
          <w:shd w:val="clear" w:color="auto" w:fill="FFFFFF"/>
          <w:lang w:eastAsia="en-GB"/>
        </w:rPr>
        <w:t xml:space="preserve">sis could be built upon in a multitude of ways. </w:t>
      </w:r>
      <w:r w:rsidR="00C25286">
        <w:rPr>
          <w:shd w:val="clear" w:color="auto" w:fill="FFFFFF"/>
          <w:lang w:eastAsia="en-GB"/>
        </w:rPr>
        <w:t>The research undertaken here is based on Caxton’s printed t</w:t>
      </w:r>
      <w:r w:rsidR="00DA2EE6">
        <w:rPr>
          <w:shd w:val="clear" w:color="auto" w:fill="FFFFFF"/>
          <w:lang w:eastAsia="en-GB"/>
        </w:rPr>
        <w:t>exts. T</w:t>
      </w:r>
      <w:r w:rsidR="00C25286">
        <w:rPr>
          <w:shd w:val="clear" w:color="auto" w:fill="FFFFFF"/>
          <w:lang w:eastAsia="en-GB"/>
        </w:rPr>
        <w:t>hrough exploring these texts using quantita</w:t>
      </w:r>
      <w:r w:rsidR="005E44B6">
        <w:rPr>
          <w:shd w:val="clear" w:color="auto" w:fill="FFFFFF"/>
          <w:lang w:eastAsia="en-GB"/>
        </w:rPr>
        <w:t xml:space="preserve">tive methods and spelling data it has been possible to </w:t>
      </w:r>
      <w:r w:rsidR="003A2843">
        <w:rPr>
          <w:shd w:val="clear" w:color="auto" w:fill="FFFFFF"/>
          <w:lang w:eastAsia="en-GB"/>
        </w:rPr>
        <w:t xml:space="preserve">build on previous bibliographical work and provide evidence towards disputed texts. For example, previous studies have been unclear where changes in copy text and compositor have taken place in </w:t>
      </w:r>
      <w:r w:rsidR="003A2843">
        <w:rPr>
          <w:shd w:val="clear" w:color="auto" w:fill="FFFFFF"/>
          <w:lang w:eastAsia="en-GB"/>
        </w:rPr>
        <w:lastRenderedPageBreak/>
        <w:t xml:space="preserve">Caxton’s edition of the </w:t>
      </w:r>
      <w:r w:rsidR="003A2843">
        <w:rPr>
          <w:i/>
          <w:shd w:val="clear" w:color="auto" w:fill="FFFFFF"/>
          <w:lang w:eastAsia="en-GB"/>
        </w:rPr>
        <w:t>Confessio Amantis</w:t>
      </w:r>
      <w:r w:rsidR="003A2843">
        <w:rPr>
          <w:shd w:val="clear" w:color="auto" w:fill="FFFFFF"/>
          <w:lang w:eastAsia="en-GB"/>
        </w:rPr>
        <w:t xml:space="preserve">. The evidence I present in Section </w:t>
      </w:r>
      <w:r w:rsidR="003A2843">
        <w:rPr>
          <w:shd w:val="clear" w:color="auto" w:fill="FFFFFF"/>
          <w:lang w:eastAsia="en-GB"/>
        </w:rPr>
        <w:fldChar w:fldCharType="begin"/>
      </w:r>
      <w:r w:rsidR="003A2843">
        <w:rPr>
          <w:shd w:val="clear" w:color="auto" w:fill="FFFFFF"/>
          <w:lang w:eastAsia="en-GB"/>
        </w:rPr>
        <w:instrText xml:space="preserve"> REF _Ref497834336 \r </w:instrText>
      </w:r>
      <w:r w:rsidR="003A2843">
        <w:rPr>
          <w:shd w:val="clear" w:color="auto" w:fill="FFFFFF"/>
          <w:lang w:eastAsia="en-GB"/>
        </w:rPr>
        <w:fldChar w:fldCharType="separate"/>
      </w:r>
      <w:r w:rsidR="00D11844">
        <w:rPr>
          <w:shd w:val="clear" w:color="auto" w:fill="FFFFFF"/>
          <w:lang w:eastAsia="en-GB"/>
        </w:rPr>
        <w:t>7.4</w:t>
      </w:r>
      <w:r w:rsidR="003A2843">
        <w:rPr>
          <w:shd w:val="clear" w:color="auto" w:fill="FFFFFF"/>
          <w:lang w:eastAsia="en-GB"/>
        </w:rPr>
        <w:fldChar w:fldCharType="end"/>
      </w:r>
      <w:r w:rsidR="003A2843">
        <w:rPr>
          <w:shd w:val="clear" w:color="auto" w:fill="FFFFFF"/>
          <w:lang w:eastAsia="en-GB"/>
        </w:rPr>
        <w:t xml:space="preserve"> supports a change in compositor taking place at the beginning of Quire q, and a change in the copy text occurring at the start of Quire y. </w:t>
      </w:r>
      <w:r w:rsidR="0001267B">
        <w:rPr>
          <w:shd w:val="clear" w:color="auto" w:fill="FFFFFF"/>
          <w:lang w:eastAsia="en-GB"/>
        </w:rPr>
        <w:t xml:space="preserve">This evidence supports some of the assertions put forth about the text by Hellinga </w:t>
      </w:r>
      <w:r w:rsidR="00FC519C">
        <w:rPr>
          <w:shd w:val="clear" w:color="auto" w:fill="FFFFFF"/>
          <w:lang w:eastAsia="en-GB"/>
        </w:rPr>
        <w:t>and</w:t>
      </w:r>
      <w:r w:rsidR="0001267B">
        <w:rPr>
          <w:shd w:val="clear" w:color="auto" w:fill="FFFFFF"/>
          <w:lang w:eastAsia="en-GB"/>
        </w:rPr>
        <w:t xml:space="preserve"> Painter (2007) and some of the arguments made by Macaulay (1901), and opens the text up for further analysis into the copy texts used to create the text. </w:t>
      </w:r>
      <w:r w:rsidR="00C57963">
        <w:rPr>
          <w:shd w:val="clear" w:color="auto" w:fill="FFFFFF"/>
          <w:lang w:eastAsia="en-GB"/>
        </w:rPr>
        <w:t>This research did not investigate all the texts produced by Caxton</w:t>
      </w:r>
      <w:r w:rsidR="00C00995">
        <w:rPr>
          <w:shd w:val="clear" w:color="auto" w:fill="FFFFFF"/>
          <w:lang w:eastAsia="en-GB"/>
        </w:rPr>
        <w:t xml:space="preserve"> due to the constraints discussed in Section </w:t>
      </w:r>
      <w:r w:rsidR="00C00995">
        <w:rPr>
          <w:shd w:val="clear" w:color="auto" w:fill="FFFFFF"/>
          <w:lang w:eastAsia="en-GB"/>
        </w:rPr>
        <w:fldChar w:fldCharType="begin"/>
      </w:r>
      <w:r w:rsidR="00C00995">
        <w:rPr>
          <w:shd w:val="clear" w:color="auto" w:fill="FFFFFF"/>
          <w:lang w:eastAsia="en-GB"/>
        </w:rPr>
        <w:instrText xml:space="preserve"> REF _Ref496278574 \r </w:instrText>
      </w:r>
      <w:r w:rsidR="00C00995">
        <w:rPr>
          <w:shd w:val="clear" w:color="auto" w:fill="FFFFFF"/>
          <w:lang w:eastAsia="en-GB"/>
        </w:rPr>
        <w:fldChar w:fldCharType="separate"/>
      </w:r>
      <w:r w:rsidR="00D11844">
        <w:rPr>
          <w:shd w:val="clear" w:color="auto" w:fill="FFFFFF"/>
          <w:lang w:eastAsia="en-GB"/>
        </w:rPr>
        <w:t>4.5</w:t>
      </w:r>
      <w:r w:rsidR="00C00995">
        <w:rPr>
          <w:shd w:val="clear" w:color="auto" w:fill="FFFFFF"/>
          <w:lang w:eastAsia="en-GB"/>
        </w:rPr>
        <w:fldChar w:fldCharType="end"/>
      </w:r>
      <w:r w:rsidR="00C00995">
        <w:rPr>
          <w:shd w:val="clear" w:color="auto" w:fill="FFFFFF"/>
          <w:lang w:eastAsia="en-GB"/>
        </w:rPr>
        <w:t xml:space="preserve">. This research could be expanded </w:t>
      </w:r>
      <w:r w:rsidR="00C57963">
        <w:rPr>
          <w:shd w:val="clear" w:color="auto" w:fill="FFFFFF"/>
          <w:lang w:eastAsia="en-GB"/>
        </w:rPr>
        <w:t>to study the composition of Caxton’s other texts</w:t>
      </w:r>
      <w:r w:rsidR="00C00995">
        <w:rPr>
          <w:shd w:val="clear" w:color="auto" w:fill="FFFFFF"/>
          <w:lang w:eastAsia="en-GB"/>
        </w:rPr>
        <w:t xml:space="preserve"> that are available through </w:t>
      </w:r>
      <w:r w:rsidR="00C00995" w:rsidRPr="00C00995">
        <w:rPr>
          <w:i/>
          <w:shd w:val="clear" w:color="auto" w:fill="FFFFFF"/>
          <w:lang w:eastAsia="en-GB"/>
        </w:rPr>
        <w:t>EEBO</w:t>
      </w:r>
      <w:r w:rsidR="00C00995">
        <w:rPr>
          <w:shd w:val="clear" w:color="auto" w:fill="FFFFFF"/>
          <w:lang w:eastAsia="en-GB"/>
        </w:rPr>
        <w:t>-TCP</w:t>
      </w:r>
      <w:r w:rsidR="007166D7">
        <w:rPr>
          <w:shd w:val="clear" w:color="auto" w:fill="FFFFFF"/>
          <w:lang w:eastAsia="en-GB"/>
        </w:rPr>
        <w:t>,</w:t>
      </w:r>
      <w:r w:rsidR="00C57963">
        <w:rPr>
          <w:shd w:val="clear" w:color="auto" w:fill="FFFFFF"/>
          <w:lang w:eastAsia="en-GB"/>
        </w:rPr>
        <w:t xml:space="preserve"> </w:t>
      </w:r>
      <w:r w:rsidR="007166D7">
        <w:rPr>
          <w:shd w:val="clear" w:color="auto" w:fill="FFFFFF"/>
          <w:lang w:eastAsia="en-GB"/>
        </w:rPr>
        <w:t xml:space="preserve">such as Caxton’s edition of the </w:t>
      </w:r>
      <w:r w:rsidR="007166D7">
        <w:rPr>
          <w:i/>
          <w:shd w:val="clear" w:color="auto" w:fill="FFFFFF"/>
          <w:lang w:eastAsia="en-GB"/>
        </w:rPr>
        <w:t>Morte Darthur</w:t>
      </w:r>
      <w:r w:rsidR="007166D7">
        <w:rPr>
          <w:shd w:val="clear" w:color="auto" w:fill="FFFFFF"/>
          <w:lang w:eastAsia="en-GB"/>
        </w:rPr>
        <w:t xml:space="preserve">, </w:t>
      </w:r>
      <w:r w:rsidR="00C57963">
        <w:rPr>
          <w:shd w:val="clear" w:color="auto" w:fill="FFFFFF"/>
          <w:lang w:eastAsia="en-GB"/>
        </w:rPr>
        <w:t xml:space="preserve">or early printed books produced by other printers. </w:t>
      </w:r>
      <w:r w:rsidR="00C00995">
        <w:rPr>
          <w:shd w:val="clear" w:color="auto" w:fill="FFFFFF"/>
          <w:lang w:eastAsia="en-GB"/>
        </w:rPr>
        <w:t xml:space="preserve">Additionally, if further transcription work were to take place, these methods could be applied to texts that are not available through </w:t>
      </w:r>
      <w:r w:rsidR="00C00995" w:rsidRPr="00BE6C12">
        <w:rPr>
          <w:i/>
          <w:shd w:val="clear" w:color="auto" w:fill="FFFFFF"/>
          <w:lang w:eastAsia="en-GB"/>
        </w:rPr>
        <w:t>EEBO</w:t>
      </w:r>
      <w:r w:rsidR="00C00995">
        <w:rPr>
          <w:shd w:val="clear" w:color="auto" w:fill="FFFFFF"/>
          <w:lang w:eastAsia="en-GB"/>
        </w:rPr>
        <w:t>-TCP</w:t>
      </w:r>
      <w:r w:rsidR="00BE6C12">
        <w:rPr>
          <w:shd w:val="clear" w:color="auto" w:fill="FFFFFF"/>
          <w:lang w:eastAsia="en-GB"/>
        </w:rPr>
        <w:t xml:space="preserve"> (as of Autumn 2017), such as Caxton’s second edition of the </w:t>
      </w:r>
      <w:r w:rsidR="00BE6C12">
        <w:rPr>
          <w:i/>
          <w:shd w:val="clear" w:color="auto" w:fill="FFFFFF"/>
          <w:lang w:eastAsia="en-GB"/>
        </w:rPr>
        <w:t>Canterbury Tales</w:t>
      </w:r>
      <w:r w:rsidR="00BE6C12">
        <w:rPr>
          <w:shd w:val="clear" w:color="auto" w:fill="FFFFFF"/>
          <w:lang w:eastAsia="en-GB"/>
        </w:rPr>
        <w:t xml:space="preserve">. </w:t>
      </w:r>
    </w:p>
    <w:p w14:paraId="040CA64C" w14:textId="22F1F3CA" w:rsidR="00060E8A" w:rsidRDefault="00060E8A" w:rsidP="00F30EBE">
      <w:pPr>
        <w:rPr>
          <w:shd w:val="clear" w:color="auto" w:fill="FFFFFF"/>
          <w:lang w:eastAsia="en-GB"/>
        </w:rPr>
      </w:pPr>
      <w:r>
        <w:rPr>
          <w:lang w:eastAsia="en-GB"/>
        </w:rPr>
        <w:t xml:space="preserve">This thesis explores spelling variation that occurs at the level of the </w:t>
      </w:r>
      <w:r>
        <w:t>idiolect</w:t>
      </w:r>
      <w:r w:rsidR="00307C11">
        <w:t xml:space="preserve">, and has treated all spellings as being of equal value in </w:t>
      </w:r>
      <w:r w:rsidR="00154EB5">
        <w:t>forming part of the idiolect of an individual compositor or scribe</w:t>
      </w:r>
      <w:r w:rsidR="00307C11">
        <w:t xml:space="preserve">. While traditional studies </w:t>
      </w:r>
      <w:r w:rsidR="00C56D65">
        <w:t>of</w:t>
      </w:r>
      <w:r w:rsidR="00307C11">
        <w:t xml:space="preserve"> dialect spellings have focused on </w:t>
      </w:r>
      <w:r w:rsidR="00D02033">
        <w:t xml:space="preserve">taking a top-down approach to </w:t>
      </w:r>
      <w:r w:rsidR="00154EB5">
        <w:t>spellings that relate to dialect</w:t>
      </w:r>
      <w:r w:rsidR="00D02033">
        <w:t xml:space="preserve">, this research has taken a bottom-up approach inclusive of </w:t>
      </w:r>
      <w:r w:rsidR="0081410C">
        <w:t xml:space="preserve">all spellings used in the text. By taking a bottom-up data-driven approach, this study </w:t>
      </w:r>
      <w:r w:rsidR="00C56D65">
        <w:t>therefore includes</w:t>
      </w:r>
      <w:r w:rsidR="00D02033">
        <w:t xml:space="preserve"> all evidence we have of </w:t>
      </w:r>
      <w:r w:rsidR="0081410C">
        <w:t xml:space="preserve">the idiolect of the compositor or scribe working on that text at that time. Through focusing research on idiolects, this thesis has expanded our knowledge of spelling variation at the level of the individual working on early printed texts. The use of idiolects provides a </w:t>
      </w:r>
      <w:r w:rsidR="00307C11">
        <w:t>productive area for future research</w:t>
      </w:r>
      <w:r w:rsidR="0081410C">
        <w:t xml:space="preserve">, particularly </w:t>
      </w:r>
      <w:r w:rsidR="001D3FF6">
        <w:t xml:space="preserve">for researching historical documents </w:t>
      </w:r>
      <w:r w:rsidR="0081410C">
        <w:t>within the context of standardisation</w:t>
      </w:r>
      <w:r w:rsidR="00307C11">
        <w:t>.</w:t>
      </w:r>
      <w:r w:rsidR="0081410C">
        <w:t xml:space="preserve"> While traditional narratives of standardisation focus on the </w:t>
      </w:r>
      <w:r w:rsidR="001D3FF6">
        <w:t xml:space="preserve">broader trends towards uniformity in language, focusing on the language of the individual provides </w:t>
      </w:r>
      <w:r w:rsidR="00CA0856">
        <w:t xml:space="preserve">insight into the reality of variability in spelling in routine usage. </w:t>
      </w:r>
      <w:r w:rsidR="0004045C">
        <w:t>This</w:t>
      </w:r>
      <w:r w:rsidR="00CA0856">
        <w:t xml:space="preserve"> thesis has shown that while compositors and scribes (and Caxton himself) working on the texts produced by Caxton’s printing house frequently use more than one spelling variant to represent a word, the variability in their spellings remains stable throughout the text that they are working on. </w:t>
      </w:r>
      <w:r w:rsidR="0004045C">
        <w:t xml:space="preserve">Through exploring individual spelling use, this work </w:t>
      </w:r>
      <w:r w:rsidR="005C2732">
        <w:t xml:space="preserve">contributes to our understanding of historical spelling variation and provides further avenues for research. </w:t>
      </w:r>
    </w:p>
    <w:p w14:paraId="04FD2F32" w14:textId="3BECA22E" w:rsidR="009C24C2" w:rsidRDefault="001D3FF6" w:rsidP="009C24C2">
      <w:pPr>
        <w:ind w:firstLine="576"/>
      </w:pPr>
      <w:r>
        <w:rPr>
          <w:lang w:eastAsia="en-GB"/>
        </w:rPr>
        <w:t xml:space="preserve">In addition to exploring spelling at idiolect level, this </w:t>
      </w:r>
      <w:r w:rsidR="00285C31">
        <w:rPr>
          <w:lang w:eastAsia="en-GB"/>
        </w:rPr>
        <w:t xml:space="preserve">thesis explores the use of spelling variation </w:t>
      </w:r>
      <w:r>
        <w:rPr>
          <w:lang w:eastAsia="en-GB"/>
        </w:rPr>
        <w:t xml:space="preserve">more widely </w:t>
      </w:r>
      <w:r w:rsidR="00285C31">
        <w:rPr>
          <w:lang w:eastAsia="en-GB"/>
        </w:rPr>
        <w:t xml:space="preserve">as a data source for finding out about the individuals involved in the creation of a new printed text. The use of spelling variation as a method of linking writing directly to an individual has not been trialled extensively in historical linguistics. The results in the analysis chapters of this thesis validate the use of spelling variation as a data source for drawing links between sections of text that Caxton was </w:t>
      </w:r>
      <w:r w:rsidR="00285C31">
        <w:rPr>
          <w:lang w:eastAsia="en-GB"/>
        </w:rPr>
        <w:lastRenderedPageBreak/>
        <w:t xml:space="preserve">personally involved with, even where different compositors and languages were involved in the creation of the new text. The results in this thesis </w:t>
      </w:r>
      <w:r w:rsidR="00C56D65">
        <w:rPr>
          <w:lang w:eastAsia="en-GB"/>
        </w:rPr>
        <w:t xml:space="preserve">thus </w:t>
      </w:r>
      <w:r w:rsidR="00285C31">
        <w:rPr>
          <w:lang w:eastAsia="en-GB"/>
        </w:rPr>
        <w:t>pave the way for the extension of spelling as a</w:t>
      </w:r>
      <w:r w:rsidR="001D50F4">
        <w:rPr>
          <w:lang w:eastAsia="en-GB"/>
        </w:rPr>
        <w:t xml:space="preserve"> source of data for investigating individuals </w:t>
      </w:r>
      <w:r w:rsidR="009C24C2">
        <w:rPr>
          <w:lang w:eastAsia="en-GB"/>
        </w:rPr>
        <w:t xml:space="preserve">writing other historical documents other than printed books. </w:t>
      </w:r>
      <w:r w:rsidR="009C24C2">
        <w:t>The use of spellings as a data source also provides a starting point for exploring the language of people who were involved in the copying process but who do not affect the lexis, syntax, or other linguistic features of the text apart from spelling. In the case of compositors, their influence is particularly difficult to detect without access to the copy text. In studies involving the transmission of spellings these methods can be used to explore the types of spellings that are carried through successive copies of text. The methods developed in this thesis could also be adjusted to analyse other linguistic features in isolation, though a suitable method for quantifying features other than spellings would need to be developed depending on the linguistic feature under examination.</w:t>
      </w:r>
      <w:r w:rsidR="009C24C2" w:rsidRPr="009C24C2">
        <w:rPr>
          <w:lang w:eastAsia="en-GB"/>
        </w:rPr>
        <w:t xml:space="preserve"> </w:t>
      </w:r>
      <w:r w:rsidR="009C24C2">
        <w:rPr>
          <w:lang w:eastAsia="en-GB"/>
        </w:rPr>
        <w:t>This thesis provides a starting point for the use of quantitative orthographic studies into authorship</w:t>
      </w:r>
      <w:r w:rsidR="00161F77">
        <w:rPr>
          <w:lang w:eastAsia="en-GB"/>
        </w:rPr>
        <w:t xml:space="preserve"> in cases where traditional authorship attribution analysis is unlikely to work. </w:t>
      </w:r>
    </w:p>
    <w:p w14:paraId="3F639061" w14:textId="31E306E6" w:rsidR="007A4B84" w:rsidRDefault="005C2732" w:rsidP="002F2D9C">
      <w:pPr>
        <w:rPr>
          <w:lang w:eastAsia="en-GB"/>
        </w:rPr>
      </w:pPr>
      <w:r>
        <w:rPr>
          <w:shd w:val="clear" w:color="auto" w:fill="FFFFFF"/>
          <w:lang w:eastAsia="en-GB"/>
        </w:rPr>
        <w:t xml:space="preserve">Finally, the work undertaken in this thesis provides a </w:t>
      </w:r>
      <w:r w:rsidR="00C00995">
        <w:rPr>
          <w:shd w:val="clear" w:color="auto" w:fill="FFFFFF"/>
          <w:lang w:eastAsia="en-GB"/>
        </w:rPr>
        <w:t>departure</w:t>
      </w:r>
      <w:r>
        <w:rPr>
          <w:shd w:val="clear" w:color="auto" w:fill="FFFFFF"/>
          <w:lang w:eastAsia="en-GB"/>
        </w:rPr>
        <w:t xml:space="preserve"> point for further research into historical spelling</w:t>
      </w:r>
      <w:r w:rsidR="008F45ED">
        <w:rPr>
          <w:shd w:val="clear" w:color="auto" w:fill="FFFFFF"/>
          <w:lang w:eastAsia="en-GB"/>
        </w:rPr>
        <w:t xml:space="preserve"> using quantitative methods. </w:t>
      </w:r>
      <w:r w:rsidR="008B3DE7">
        <w:rPr>
          <w:lang w:eastAsia="en-GB"/>
        </w:rPr>
        <w:t xml:space="preserve">These methods could be developed further in other areas of historical linguistics, for example, </w:t>
      </w:r>
      <w:r w:rsidR="007A4B84">
        <w:rPr>
          <w:lang w:eastAsia="en-GB"/>
        </w:rPr>
        <w:t>an adjusted version of this method could be used to research texts in which successive copying has not taken place, such as in private writings, or researching changes in orthography that take place under varying pragmatic constraints.</w:t>
      </w:r>
    </w:p>
    <w:p w14:paraId="04A2EA98" w14:textId="77777777" w:rsidR="002F2D9C" w:rsidRDefault="002F2D9C" w:rsidP="007A4B84">
      <w:pPr>
        <w:ind w:firstLine="0"/>
        <w:rPr>
          <w:shd w:val="clear" w:color="auto" w:fill="FFFFFF"/>
          <w:lang w:eastAsia="en-GB"/>
        </w:rPr>
      </w:pPr>
    </w:p>
    <w:p w14:paraId="6662853F" w14:textId="22859458" w:rsidR="002F2D9C" w:rsidRPr="002F2D9C" w:rsidRDefault="002F2D9C" w:rsidP="002F2D9C">
      <w:pPr>
        <w:pStyle w:val="Heading2"/>
        <w:rPr>
          <w:shd w:val="clear" w:color="auto" w:fill="FFFFFF"/>
          <w:lang w:eastAsia="en-GB"/>
        </w:rPr>
      </w:pPr>
      <w:bookmarkStart w:id="284" w:name="_Toc497899891"/>
      <w:r>
        <w:rPr>
          <w:shd w:val="clear" w:color="auto" w:fill="FFFFFF"/>
          <w:lang w:eastAsia="en-GB"/>
        </w:rPr>
        <w:t>Concluding remarks</w:t>
      </w:r>
      <w:bookmarkEnd w:id="284"/>
      <w:r>
        <w:rPr>
          <w:shd w:val="clear" w:color="auto" w:fill="FFFFFF"/>
          <w:lang w:eastAsia="en-GB"/>
        </w:rPr>
        <w:t xml:space="preserve"> </w:t>
      </w:r>
    </w:p>
    <w:p w14:paraId="1A7FF0A7" w14:textId="3C463AD6" w:rsidR="00324FF3" w:rsidRDefault="00247CB6" w:rsidP="003826EC">
      <w:r>
        <w:t>This research</w:t>
      </w:r>
      <w:r w:rsidR="00DD42A7">
        <w:t xml:space="preserve"> </w:t>
      </w:r>
      <w:r>
        <w:t>challenges</w:t>
      </w:r>
      <w:r w:rsidR="00373930">
        <w:t xml:space="preserve"> traditional approaches to the study of spelling variation, </w:t>
      </w:r>
      <w:r>
        <w:t>t</w:t>
      </w:r>
      <w:r w:rsidR="00A124B7">
        <w:t xml:space="preserve">hrough the development </w:t>
      </w:r>
      <w:r>
        <w:t>of</w:t>
      </w:r>
      <w:r w:rsidR="003826EC">
        <w:t xml:space="preserve"> a suite of</w:t>
      </w:r>
      <w:r>
        <w:t xml:space="preserve"> new quantitative methods </w:t>
      </w:r>
      <w:r w:rsidR="003826EC">
        <w:t>and their application onto spelling data. Through testing these methods on a range of research questions that relate to Caxton’s texts</w:t>
      </w:r>
      <w:r w:rsidR="00DD42A7">
        <w:t xml:space="preserve">, this thesis offers original contributions </w:t>
      </w:r>
      <w:r w:rsidR="00B715E9">
        <w:t>to</w:t>
      </w:r>
      <w:r w:rsidR="00DD42A7">
        <w:t xml:space="preserve"> our knowledge of historical spelling variation, the study of historical spelling variation</w:t>
      </w:r>
      <w:r w:rsidR="003826EC">
        <w:t>, and printing history</w:t>
      </w:r>
      <w:r w:rsidR="00DD42A7">
        <w:t xml:space="preserve">. </w:t>
      </w:r>
      <w:r w:rsidR="00C80D0A">
        <w:t>I have</w:t>
      </w:r>
      <w:r w:rsidR="003826EC">
        <w:t xml:space="preserve"> explore</w:t>
      </w:r>
      <w:r w:rsidR="00C80D0A">
        <w:t>d</w:t>
      </w:r>
      <w:r w:rsidR="003826EC">
        <w:t xml:space="preserve"> the layers of spellings present in Caxton’s texts</w:t>
      </w:r>
      <w:r w:rsidR="00C80D0A">
        <w:t xml:space="preserve"> using these methods, and in doing so, have shown that while spellings </w:t>
      </w:r>
      <w:r w:rsidR="00C56D65">
        <w:t>change</w:t>
      </w:r>
      <w:r w:rsidR="00C80D0A">
        <w:t xml:space="preserve"> </w:t>
      </w:r>
      <w:r w:rsidR="00C56D65">
        <w:t>in the course of</w:t>
      </w:r>
      <w:r w:rsidR="00C80D0A">
        <w:t xml:space="preserve"> a printed book, the spellings of the individuals working on the text remain stable throughout their work. </w:t>
      </w:r>
      <w:r w:rsidR="002F2D9C">
        <w:t xml:space="preserve">Furthermore, </w:t>
      </w:r>
      <w:r w:rsidR="00C80D0A">
        <w:t xml:space="preserve">while there is little orthographic dialect evidence remaining in Caxton’s texts, </w:t>
      </w:r>
      <w:r w:rsidR="002F2D9C">
        <w:t xml:space="preserve">the idiolect spellings are sufficiently variable to enable changes in individuals to be detected. </w:t>
      </w:r>
      <w:r w:rsidR="00C80D0A">
        <w:t xml:space="preserve">These findings would not have been possible without the use of quantitative and computational methods. </w:t>
      </w:r>
      <w:r>
        <w:t xml:space="preserve">Through this research I advocate for greater use of quantitative methods within </w:t>
      </w:r>
      <w:r>
        <w:lastRenderedPageBreak/>
        <w:t>the field of historical linguistics, and promote further investigation into spelling variatio</w:t>
      </w:r>
      <w:r w:rsidR="00A124B7">
        <w:t>n at the level of idiolect</w:t>
      </w:r>
      <w:r>
        <w:t xml:space="preserve">. </w:t>
      </w:r>
    </w:p>
    <w:p w14:paraId="6C9BE63D" w14:textId="33DCA600" w:rsidR="004E3DC8" w:rsidRDefault="004E3DC8" w:rsidP="004E3DC8">
      <w:pPr>
        <w:ind w:firstLine="0"/>
      </w:pPr>
    </w:p>
    <w:p w14:paraId="36532825" w14:textId="77777777" w:rsidR="004E3DC8" w:rsidRDefault="004E3DC8" w:rsidP="008F4B65">
      <w:pPr>
        <w:pStyle w:val="Title"/>
      </w:pPr>
      <w:bookmarkStart w:id="285" w:name="_Toc497899892"/>
      <w:r>
        <w:br w:type="page"/>
      </w:r>
    </w:p>
    <w:p w14:paraId="228EA6D1" w14:textId="5FD981BD" w:rsidR="00743BE7" w:rsidRDefault="00743BE7" w:rsidP="008F4B65">
      <w:pPr>
        <w:pStyle w:val="Title"/>
      </w:pPr>
      <w:r w:rsidRPr="0021550A">
        <w:lastRenderedPageBreak/>
        <w:t>Bibliography</w:t>
      </w:r>
      <w:bookmarkEnd w:id="285"/>
    </w:p>
    <w:p w14:paraId="0660A9CE" w14:textId="77777777" w:rsidR="008F2F10" w:rsidRPr="00C62019" w:rsidRDefault="008F2F10" w:rsidP="008F2F10">
      <w:pPr>
        <w:ind w:left="576" w:firstLine="0"/>
        <w:outlineLvl w:val="0"/>
        <w:rPr>
          <w:i/>
        </w:rPr>
      </w:pPr>
      <w:r w:rsidRPr="00C62019">
        <w:rPr>
          <w:i/>
        </w:rPr>
        <w:t>Primary sources</w:t>
      </w:r>
    </w:p>
    <w:p w14:paraId="455F06E6" w14:textId="77777777" w:rsidR="008F2F10" w:rsidRPr="00E75347" w:rsidRDefault="008F2F10" w:rsidP="008F2F10">
      <w:pPr>
        <w:spacing w:line="240" w:lineRule="auto"/>
        <w:ind w:firstLine="0"/>
      </w:pPr>
    </w:p>
    <w:p w14:paraId="69986ED5" w14:textId="77777777" w:rsidR="008F2F10" w:rsidRPr="00C7687B" w:rsidRDefault="008F2F10" w:rsidP="008F2F10">
      <w:pPr>
        <w:ind w:left="720" w:hanging="720"/>
      </w:pPr>
      <w:r w:rsidRPr="00C7687B">
        <w:t xml:space="preserve">1475a. </w:t>
      </w:r>
      <w:r w:rsidRPr="00C7687B">
        <w:rPr>
          <w:i/>
        </w:rPr>
        <w:t>Cordiale</w:t>
      </w:r>
      <w:r w:rsidRPr="00C7687B">
        <w:t>. Bruges: William Caxton.</w:t>
      </w:r>
    </w:p>
    <w:p w14:paraId="17E0D3F2" w14:textId="77777777" w:rsidR="008F2F10" w:rsidRPr="00C7687B" w:rsidRDefault="008F2F10" w:rsidP="008F2F10">
      <w:pPr>
        <w:ind w:left="720" w:hanging="720"/>
      </w:pPr>
      <w:r w:rsidRPr="00C7687B">
        <w:t xml:space="preserve">1475b. </w:t>
      </w:r>
      <w:r>
        <w:rPr>
          <w:i/>
        </w:rPr>
        <w:t>Horae ad usum s</w:t>
      </w:r>
      <w:r w:rsidRPr="00C7687B">
        <w:rPr>
          <w:i/>
        </w:rPr>
        <w:t>arum</w:t>
      </w:r>
      <w:r w:rsidRPr="00C7687B">
        <w:t>. Bruges: William Caxton.</w:t>
      </w:r>
    </w:p>
    <w:p w14:paraId="272FBA57" w14:textId="77777777" w:rsidR="008F2F10" w:rsidRPr="00C7687B" w:rsidRDefault="008F2F10" w:rsidP="008F2F10">
      <w:pPr>
        <w:ind w:left="720" w:hanging="720"/>
      </w:pPr>
      <w:r w:rsidRPr="00C7687B">
        <w:t xml:space="preserve">1490. </w:t>
      </w:r>
      <w:r w:rsidRPr="00C7687B">
        <w:rPr>
          <w:i/>
        </w:rPr>
        <w:t>Mirror of the blessed life of Jesus Christ</w:t>
      </w:r>
      <w:r w:rsidRPr="00C7687B">
        <w:t>. Westminster: William Caxton.</w:t>
      </w:r>
    </w:p>
    <w:p w14:paraId="6D0C63C2" w14:textId="77777777" w:rsidR="008F2F10" w:rsidRPr="00C7687B" w:rsidRDefault="008F2F10" w:rsidP="008F2F10">
      <w:pPr>
        <w:ind w:left="720" w:hanging="720"/>
      </w:pPr>
      <w:r w:rsidRPr="00C7687B">
        <w:t xml:space="preserve">1493a. </w:t>
      </w:r>
      <w:r>
        <w:rPr>
          <w:i/>
        </w:rPr>
        <w:t>Book of c</w:t>
      </w:r>
      <w:r w:rsidRPr="00C7687B">
        <w:rPr>
          <w:i/>
        </w:rPr>
        <w:t>ourtesy</w:t>
      </w:r>
      <w:r w:rsidRPr="00C7687B">
        <w:t>. Westminster: Wynkyn de Worde.</w:t>
      </w:r>
    </w:p>
    <w:p w14:paraId="0F5C069C" w14:textId="77777777" w:rsidR="008F2F10" w:rsidRPr="00C7687B" w:rsidRDefault="008F2F10" w:rsidP="008F2F10">
      <w:pPr>
        <w:ind w:left="720" w:hanging="720"/>
      </w:pPr>
      <w:r w:rsidRPr="00C7687B">
        <w:t xml:space="preserve">1493b. </w:t>
      </w:r>
      <w:r>
        <w:rPr>
          <w:i/>
        </w:rPr>
        <w:t>Horae ad usum s</w:t>
      </w:r>
      <w:r w:rsidRPr="00C7687B">
        <w:rPr>
          <w:i/>
        </w:rPr>
        <w:t>aurum</w:t>
      </w:r>
      <w:r w:rsidRPr="00C7687B">
        <w:t>. Westminster: Wynkyn de Worde.</w:t>
      </w:r>
    </w:p>
    <w:p w14:paraId="58764F55" w14:textId="77777777" w:rsidR="008F2F10" w:rsidRPr="00C7687B" w:rsidRDefault="008F2F10" w:rsidP="008F2F10">
      <w:pPr>
        <w:ind w:left="720" w:hanging="720"/>
      </w:pPr>
      <w:r w:rsidRPr="00C7687B">
        <w:t xml:space="preserve">1494a. </w:t>
      </w:r>
      <w:r>
        <w:rPr>
          <w:i/>
        </w:rPr>
        <w:t>Quattuor s</w:t>
      </w:r>
      <w:r w:rsidRPr="00C7687B">
        <w:rPr>
          <w:i/>
        </w:rPr>
        <w:t>ermones</w:t>
      </w:r>
      <w:r w:rsidRPr="00C7687B">
        <w:t>. Westminster: Wynkyn de Worde.</w:t>
      </w:r>
    </w:p>
    <w:p w14:paraId="4DCE66B7" w14:textId="77777777" w:rsidR="008F2F10" w:rsidRPr="00C7687B" w:rsidRDefault="008F2F10" w:rsidP="008F2F10">
      <w:pPr>
        <w:ind w:left="720" w:hanging="720"/>
      </w:pPr>
      <w:r w:rsidRPr="00C7687B">
        <w:t xml:space="preserve">1494b. </w:t>
      </w:r>
      <w:r w:rsidRPr="00C7687B">
        <w:rPr>
          <w:i/>
        </w:rPr>
        <w:t>Cordiale</w:t>
      </w:r>
      <w:r w:rsidRPr="00C7687B">
        <w:t>. Westminster: Wynkyn de Worde.</w:t>
      </w:r>
    </w:p>
    <w:p w14:paraId="02475778" w14:textId="77777777" w:rsidR="008F2F10" w:rsidRPr="00C7687B" w:rsidRDefault="008F2F10" w:rsidP="008F2F10">
      <w:pPr>
        <w:ind w:left="720" w:hanging="720"/>
      </w:pPr>
      <w:r w:rsidRPr="00C7687B">
        <w:t xml:space="preserve">Anglicus, Bartholomaeus. 1495. </w:t>
      </w:r>
      <w:r w:rsidRPr="00C7687B">
        <w:rPr>
          <w:i/>
        </w:rPr>
        <w:t>De proprietatibus rerum</w:t>
      </w:r>
      <w:r w:rsidRPr="00C7687B">
        <w:t>. London: Wynkyn de Worde.</w:t>
      </w:r>
    </w:p>
    <w:p w14:paraId="58138D9E" w14:textId="77777777" w:rsidR="00710B98" w:rsidRPr="00C7687B" w:rsidRDefault="00710B98" w:rsidP="00710B98">
      <w:pPr>
        <w:ind w:left="720" w:hanging="720"/>
      </w:pPr>
      <w:r w:rsidRPr="00C7687B">
        <w:t xml:space="preserve">Boëthius, Anicius Manlius Severinus. 1480. </w:t>
      </w:r>
      <w:r w:rsidRPr="00CF12D3">
        <w:rPr>
          <w:i/>
        </w:rPr>
        <w:t>De consolatione philosophiae</w:t>
      </w:r>
      <w:r w:rsidRPr="00C7687B">
        <w:t>. (Trans.) Geoffrey Chaucer. Westminster: William Caxton.</w:t>
      </w:r>
    </w:p>
    <w:p w14:paraId="05F35A08" w14:textId="77777777" w:rsidR="008F2F10" w:rsidRPr="00C7687B" w:rsidRDefault="008F2F10" w:rsidP="008F2F10">
      <w:pPr>
        <w:ind w:left="720" w:hanging="720"/>
      </w:pPr>
      <w:r w:rsidRPr="00C7687B">
        <w:t xml:space="preserve">Caxton, William. 1480. </w:t>
      </w:r>
      <w:r w:rsidRPr="00C7687B">
        <w:rPr>
          <w:i/>
        </w:rPr>
        <w:t>Chronicles of England</w:t>
      </w:r>
      <w:r w:rsidRPr="00C7687B">
        <w:t>. Westminster: William Caxton.</w:t>
      </w:r>
    </w:p>
    <w:p w14:paraId="63D1AAAA" w14:textId="77777777" w:rsidR="008F2F10" w:rsidRPr="00C7687B" w:rsidRDefault="008F2F10" w:rsidP="008F2F10">
      <w:pPr>
        <w:ind w:left="720" w:hanging="720"/>
      </w:pPr>
      <w:r w:rsidRPr="00C7687B">
        <w:t xml:space="preserve">Caxton, William. 1481. </w:t>
      </w:r>
      <w:r>
        <w:rPr>
          <w:i/>
        </w:rPr>
        <w:t>Reynard the f</w:t>
      </w:r>
      <w:r w:rsidRPr="00C7687B">
        <w:rPr>
          <w:i/>
        </w:rPr>
        <w:t>ox</w:t>
      </w:r>
      <w:r w:rsidRPr="00C7687B">
        <w:t>. Westminster: William Caxton.</w:t>
      </w:r>
    </w:p>
    <w:p w14:paraId="7D8D30B5" w14:textId="77777777" w:rsidR="008F2F10" w:rsidRPr="00C7687B" w:rsidRDefault="008F2F10" w:rsidP="008F2F10">
      <w:pPr>
        <w:ind w:left="720" w:hanging="720"/>
      </w:pPr>
      <w:r w:rsidRPr="00C7687B">
        <w:t xml:space="preserve">Caxton, William (trans.). 1490. </w:t>
      </w:r>
      <w:r w:rsidRPr="00C7687B">
        <w:rPr>
          <w:i/>
        </w:rPr>
        <w:t>Blanchardyn and Eglantine</w:t>
      </w:r>
      <w:r w:rsidRPr="00C7687B">
        <w:t>. Westminster: William Caxton.</w:t>
      </w:r>
    </w:p>
    <w:p w14:paraId="2C92956D" w14:textId="77777777" w:rsidR="008F2F10" w:rsidRPr="00C7687B" w:rsidRDefault="008F2F10" w:rsidP="008F2F10">
      <w:pPr>
        <w:ind w:left="720" w:hanging="720"/>
      </w:pPr>
      <w:r w:rsidRPr="00C7687B">
        <w:t xml:space="preserve">Caxton, William. 1494. </w:t>
      </w:r>
      <w:r w:rsidRPr="00C7687B">
        <w:rPr>
          <w:i/>
        </w:rPr>
        <w:t>Reynard the fox</w:t>
      </w:r>
      <w:r w:rsidRPr="00C7687B">
        <w:t>. London: Richard Pynson.</w:t>
      </w:r>
    </w:p>
    <w:p w14:paraId="0E7B523D" w14:textId="77777777" w:rsidR="008F2F10" w:rsidRPr="00C7687B" w:rsidRDefault="008F2F10" w:rsidP="008F2F10">
      <w:pPr>
        <w:ind w:left="720" w:hanging="720"/>
      </w:pPr>
      <w:r w:rsidRPr="00C7687B">
        <w:t xml:space="preserve">Cessolis, Jacobus de. 1473. </w:t>
      </w:r>
      <w:r w:rsidRPr="00C7687B">
        <w:rPr>
          <w:i/>
        </w:rPr>
        <w:t>Game of chess</w:t>
      </w:r>
      <w:r w:rsidRPr="00C7687B">
        <w:t>. (Trans.) William Caxton. Bruges: William Caxton and Colard Mansion.</w:t>
      </w:r>
    </w:p>
    <w:p w14:paraId="2C0EA742" w14:textId="77777777" w:rsidR="008F2F10" w:rsidRPr="00C7687B" w:rsidRDefault="008F2F10" w:rsidP="008F2F10">
      <w:pPr>
        <w:ind w:left="720" w:hanging="720"/>
      </w:pPr>
      <w:r w:rsidRPr="00C7687B">
        <w:t xml:space="preserve">Cessolis, Jacobus de. 1483. </w:t>
      </w:r>
      <w:r w:rsidRPr="00C7687B">
        <w:rPr>
          <w:i/>
        </w:rPr>
        <w:t>Game of chess</w:t>
      </w:r>
      <w:r>
        <w:t>. 2</w:t>
      </w:r>
      <w:r w:rsidRPr="00C7687B">
        <w:rPr>
          <w:vertAlign w:val="superscript"/>
        </w:rPr>
        <w:t>nd</w:t>
      </w:r>
      <w:r w:rsidRPr="00C7687B">
        <w:t xml:space="preserve"> ed</w:t>
      </w:r>
      <w:r>
        <w:t>n</w:t>
      </w:r>
      <w:r w:rsidRPr="00C7687B">
        <w:t>. Westminster: William Caxton.</w:t>
      </w:r>
    </w:p>
    <w:p w14:paraId="49335230" w14:textId="77777777" w:rsidR="008F2F10" w:rsidRPr="00C7687B" w:rsidRDefault="008F2F10" w:rsidP="008F2F10">
      <w:pPr>
        <w:ind w:left="720" w:hanging="720"/>
      </w:pPr>
      <w:r w:rsidRPr="00C7687B">
        <w:t xml:space="preserve">Chaucer, Geoffrey. 1477a. </w:t>
      </w:r>
      <w:r>
        <w:rPr>
          <w:i/>
        </w:rPr>
        <w:t>The p</w:t>
      </w:r>
      <w:r w:rsidRPr="00C7687B">
        <w:rPr>
          <w:i/>
        </w:rPr>
        <w:t>arliament of fowls</w:t>
      </w:r>
      <w:r w:rsidRPr="00C7687B">
        <w:t>. Westminster: William Caxton.</w:t>
      </w:r>
    </w:p>
    <w:p w14:paraId="50E4D2A7" w14:textId="77777777" w:rsidR="008F2F10" w:rsidRPr="00C7687B" w:rsidRDefault="008F2F10" w:rsidP="008F2F10">
      <w:pPr>
        <w:ind w:left="720" w:hanging="720"/>
      </w:pPr>
      <w:r w:rsidRPr="00C7687B">
        <w:t xml:space="preserve">Chaucer, Geoffrey. 1477b. </w:t>
      </w:r>
      <w:r>
        <w:rPr>
          <w:i/>
        </w:rPr>
        <w:t>Canterbury t</w:t>
      </w:r>
      <w:r w:rsidRPr="00C7687B">
        <w:rPr>
          <w:i/>
        </w:rPr>
        <w:t>ales</w:t>
      </w:r>
      <w:r w:rsidRPr="00C7687B">
        <w:t xml:space="preserve">. </w:t>
      </w:r>
      <w:r>
        <w:t>1</w:t>
      </w:r>
      <w:r w:rsidRPr="00C7687B">
        <w:rPr>
          <w:vertAlign w:val="superscript"/>
        </w:rPr>
        <w:t>st</w:t>
      </w:r>
      <w:r>
        <w:t xml:space="preserve"> edn. </w:t>
      </w:r>
      <w:r w:rsidRPr="00C7687B">
        <w:t>Westminster: William Caxton.</w:t>
      </w:r>
    </w:p>
    <w:p w14:paraId="75723AFD" w14:textId="77777777" w:rsidR="008F2F10" w:rsidRPr="00C7687B" w:rsidRDefault="008F2F10" w:rsidP="008F2F10">
      <w:pPr>
        <w:ind w:left="720" w:hanging="720"/>
      </w:pPr>
      <w:r w:rsidRPr="00C7687B">
        <w:t xml:space="preserve">Chaucer, Geoffrey. 1483a. </w:t>
      </w:r>
      <w:r w:rsidRPr="00C7687B">
        <w:rPr>
          <w:i/>
        </w:rPr>
        <w:t>Troilus and Criseyde</w:t>
      </w:r>
      <w:r w:rsidRPr="00C7687B">
        <w:t>. Westminster: William Caxton.</w:t>
      </w:r>
    </w:p>
    <w:p w14:paraId="3A4DF273" w14:textId="77777777" w:rsidR="008F2F10" w:rsidRPr="00C7687B" w:rsidRDefault="008F2F10" w:rsidP="008F2F10">
      <w:pPr>
        <w:ind w:left="720" w:hanging="720"/>
      </w:pPr>
      <w:r w:rsidRPr="00C7687B">
        <w:t xml:space="preserve">Chaucer, Geoffrey. 1483b. </w:t>
      </w:r>
      <w:r>
        <w:rPr>
          <w:i/>
        </w:rPr>
        <w:t>Book of f</w:t>
      </w:r>
      <w:r w:rsidRPr="00C7687B">
        <w:rPr>
          <w:i/>
        </w:rPr>
        <w:t>ame</w:t>
      </w:r>
      <w:r w:rsidRPr="00C7687B">
        <w:t>. Westminster: William Caxton.</w:t>
      </w:r>
    </w:p>
    <w:p w14:paraId="5B5AE70A" w14:textId="77777777" w:rsidR="008F2F10" w:rsidRPr="00C7687B" w:rsidRDefault="008F2F10" w:rsidP="008F2F10">
      <w:pPr>
        <w:ind w:left="720" w:hanging="720"/>
      </w:pPr>
      <w:r w:rsidRPr="00C7687B">
        <w:t xml:space="preserve">Chaucer, Geoffrey. 1483c. </w:t>
      </w:r>
      <w:r>
        <w:rPr>
          <w:i/>
        </w:rPr>
        <w:t>Canterbury t</w:t>
      </w:r>
      <w:r w:rsidRPr="00C7687B">
        <w:rPr>
          <w:i/>
        </w:rPr>
        <w:t>ales</w:t>
      </w:r>
      <w:r w:rsidRPr="00C7687B">
        <w:t xml:space="preserve">. </w:t>
      </w:r>
      <w:r>
        <w:t>2</w:t>
      </w:r>
      <w:r w:rsidRPr="00C7687B">
        <w:rPr>
          <w:vertAlign w:val="superscript"/>
        </w:rPr>
        <w:t>nd</w:t>
      </w:r>
      <w:r>
        <w:t xml:space="preserve"> edn. </w:t>
      </w:r>
      <w:r w:rsidRPr="00C7687B">
        <w:t>Westminster: William Caxton.</w:t>
      </w:r>
    </w:p>
    <w:p w14:paraId="495E4C7D" w14:textId="77777777" w:rsidR="008F2F10" w:rsidRPr="00C7687B" w:rsidRDefault="008F2F10" w:rsidP="008F2F10">
      <w:pPr>
        <w:ind w:left="720" w:hanging="720"/>
      </w:pPr>
      <w:r w:rsidRPr="00C7687B">
        <w:t xml:space="preserve">Cicero, Marcus Tullius. 1481. </w:t>
      </w:r>
      <w:r w:rsidRPr="00C7687B">
        <w:rPr>
          <w:i/>
        </w:rPr>
        <w:t>Of old age. Of friendship</w:t>
      </w:r>
      <w:r w:rsidRPr="00C7687B">
        <w:t>. Westminster: William Caxton.</w:t>
      </w:r>
    </w:p>
    <w:p w14:paraId="41A939CB" w14:textId="77777777" w:rsidR="008F2F10" w:rsidRPr="00C7687B" w:rsidRDefault="008F2F10" w:rsidP="008F2F10">
      <w:pPr>
        <w:ind w:left="720" w:hanging="720"/>
      </w:pPr>
      <w:r w:rsidRPr="00C7687B">
        <w:t xml:space="preserve">Gower, John. 1483. </w:t>
      </w:r>
      <w:r>
        <w:rPr>
          <w:i/>
        </w:rPr>
        <w:t>Confessio a</w:t>
      </w:r>
      <w:r w:rsidRPr="00C7687B">
        <w:rPr>
          <w:i/>
        </w:rPr>
        <w:t>mantis</w:t>
      </w:r>
      <w:r w:rsidRPr="00C7687B">
        <w:t>. Westminster: William Caxton.</w:t>
      </w:r>
    </w:p>
    <w:p w14:paraId="141AE72F" w14:textId="77777777" w:rsidR="008F2F10" w:rsidRPr="00C7687B" w:rsidRDefault="008F2F10" w:rsidP="008F2F10">
      <w:pPr>
        <w:ind w:left="720" w:hanging="720"/>
      </w:pPr>
      <w:r w:rsidRPr="00C7687B">
        <w:t xml:space="preserve">Higden, Ranulf. 1480. </w:t>
      </w:r>
      <w:r w:rsidRPr="00C7687B">
        <w:rPr>
          <w:i/>
        </w:rPr>
        <w:t>Description of Britain</w:t>
      </w:r>
      <w:r w:rsidRPr="00C7687B">
        <w:t>. Westminster: William Caxton.</w:t>
      </w:r>
    </w:p>
    <w:p w14:paraId="67239FA8" w14:textId="77777777" w:rsidR="008F2F10" w:rsidRPr="00C7687B" w:rsidRDefault="008F2F10" w:rsidP="008F2F10">
      <w:pPr>
        <w:ind w:left="720" w:hanging="720"/>
      </w:pPr>
      <w:r w:rsidRPr="00C7687B">
        <w:t xml:space="preserve">Higden, Ranulf. 1482. </w:t>
      </w:r>
      <w:r w:rsidRPr="00C7687B">
        <w:rPr>
          <w:i/>
        </w:rPr>
        <w:t>Polychronicon</w:t>
      </w:r>
      <w:r w:rsidRPr="00C7687B">
        <w:t>. (Trans.) John Trevisa. Westminster: William Caxton.</w:t>
      </w:r>
    </w:p>
    <w:p w14:paraId="5CB0E8F7" w14:textId="77777777" w:rsidR="008F2F10" w:rsidRPr="00C7687B" w:rsidRDefault="008F2F10" w:rsidP="008F2F10">
      <w:pPr>
        <w:ind w:left="720" w:hanging="720"/>
      </w:pPr>
      <w:r w:rsidRPr="00C7687B">
        <w:t xml:space="preserve">Higden, Ranulf. 1495. </w:t>
      </w:r>
      <w:r w:rsidRPr="00C7687B">
        <w:rPr>
          <w:i/>
        </w:rPr>
        <w:t>Polychronicon</w:t>
      </w:r>
      <w:r w:rsidRPr="00C7687B">
        <w:t>. (Trans.) John Trevisa. Westminster: Wynkyn de Worde.</w:t>
      </w:r>
    </w:p>
    <w:p w14:paraId="09E62C04" w14:textId="77777777" w:rsidR="008F2F10" w:rsidRPr="00C7687B" w:rsidRDefault="008F2F10" w:rsidP="008F2F10">
      <w:pPr>
        <w:ind w:left="720" w:hanging="720"/>
      </w:pPr>
      <w:r w:rsidRPr="00C7687B">
        <w:t xml:space="preserve">la Cépède, Pierre de. 1485. </w:t>
      </w:r>
      <w:r w:rsidRPr="00C7687B">
        <w:rPr>
          <w:i/>
        </w:rPr>
        <w:t>Paris and Vienne</w:t>
      </w:r>
      <w:r w:rsidRPr="00C7687B">
        <w:t>. (Trans.) William Caxton. Westminster: William Caxton.</w:t>
      </w:r>
    </w:p>
    <w:p w14:paraId="5E335896" w14:textId="77777777" w:rsidR="008F2F10" w:rsidRPr="00C7687B" w:rsidRDefault="008F2F10" w:rsidP="008F2F10">
      <w:pPr>
        <w:ind w:left="720" w:hanging="720"/>
      </w:pPr>
      <w:r w:rsidRPr="00C7687B">
        <w:lastRenderedPageBreak/>
        <w:t xml:space="preserve">Lefèvre, Raoul. 1474. </w:t>
      </w:r>
      <w:r>
        <w:rPr>
          <w:i/>
        </w:rPr>
        <w:t>Recuyell of the h</w:t>
      </w:r>
      <w:r w:rsidRPr="00C7687B">
        <w:rPr>
          <w:i/>
        </w:rPr>
        <w:t>istoryes of Troye</w:t>
      </w:r>
      <w:r w:rsidRPr="00C7687B">
        <w:t>. (Trans.) William Caxton. Bruges: William Caxton and Colard Mansion.</w:t>
      </w:r>
    </w:p>
    <w:p w14:paraId="72DA691A" w14:textId="77777777" w:rsidR="008F2F10" w:rsidRPr="00C7687B" w:rsidRDefault="008F2F10" w:rsidP="008F2F10">
      <w:pPr>
        <w:ind w:left="720" w:hanging="720"/>
      </w:pPr>
      <w:r w:rsidRPr="00C7687B">
        <w:t xml:space="preserve">Lefèvre, Raoul. 1477. </w:t>
      </w:r>
      <w:r>
        <w:rPr>
          <w:i/>
        </w:rPr>
        <w:t>The h</w:t>
      </w:r>
      <w:r w:rsidRPr="00C7687B">
        <w:rPr>
          <w:i/>
        </w:rPr>
        <w:t>istory of Jason</w:t>
      </w:r>
      <w:r w:rsidRPr="00C7687B">
        <w:t>. Westminster: William Caxton.</w:t>
      </w:r>
    </w:p>
    <w:p w14:paraId="3FFEF8E4" w14:textId="77777777" w:rsidR="008F2F10" w:rsidRPr="00C7687B" w:rsidRDefault="008F2F10" w:rsidP="008F2F10">
      <w:pPr>
        <w:ind w:left="720" w:hanging="720"/>
      </w:pPr>
      <w:r w:rsidRPr="00C7687B">
        <w:t xml:space="preserve">Legrand, Jacques. 1487. </w:t>
      </w:r>
      <w:r>
        <w:rPr>
          <w:i/>
        </w:rPr>
        <w:t>Book of good m</w:t>
      </w:r>
      <w:r w:rsidRPr="00C7687B">
        <w:rPr>
          <w:i/>
        </w:rPr>
        <w:t>anners</w:t>
      </w:r>
      <w:r w:rsidRPr="00C7687B">
        <w:t>. (Trans.) William Caxton. Westminster: William Caxton.</w:t>
      </w:r>
    </w:p>
    <w:p w14:paraId="339F12C7" w14:textId="77777777" w:rsidR="008F2F10" w:rsidRPr="00C7687B" w:rsidRDefault="008F2F10" w:rsidP="008F2F10">
      <w:pPr>
        <w:ind w:left="720" w:hanging="720"/>
      </w:pPr>
      <w:r w:rsidRPr="00C7687B">
        <w:t xml:space="preserve">Lydgate, John. 1484. </w:t>
      </w:r>
      <w:r>
        <w:rPr>
          <w:i/>
        </w:rPr>
        <w:t>Life of our l</w:t>
      </w:r>
      <w:r w:rsidRPr="00C7687B">
        <w:rPr>
          <w:i/>
        </w:rPr>
        <w:t>ady</w:t>
      </w:r>
      <w:r w:rsidRPr="00C7687B">
        <w:t>. Westminster: William Caxton.</w:t>
      </w:r>
    </w:p>
    <w:p w14:paraId="78A02EDC" w14:textId="77777777" w:rsidR="008F2F10" w:rsidRPr="00C7687B" w:rsidRDefault="008F2F10" w:rsidP="008F2F10">
      <w:pPr>
        <w:ind w:left="720" w:hanging="720"/>
      </w:pPr>
      <w:r w:rsidRPr="00C7687B">
        <w:t xml:space="preserve">Lydgate, John. 1493. </w:t>
      </w:r>
      <w:r>
        <w:rPr>
          <w:i/>
        </w:rPr>
        <w:t>Temple of g</w:t>
      </w:r>
      <w:r w:rsidRPr="00C7687B">
        <w:rPr>
          <w:i/>
        </w:rPr>
        <w:t>lass</w:t>
      </w:r>
      <w:r w:rsidRPr="00C7687B">
        <w:t>. Westminster: Wynkyn de Worde.</w:t>
      </w:r>
    </w:p>
    <w:p w14:paraId="3432B492" w14:textId="77777777" w:rsidR="008F2F10" w:rsidRPr="00C7687B" w:rsidRDefault="008F2F10" w:rsidP="008F2F10">
      <w:pPr>
        <w:ind w:left="720" w:hanging="720"/>
      </w:pPr>
      <w:r w:rsidRPr="00C7687B">
        <w:t xml:space="preserve">Lydgate, John. 1494a. </w:t>
      </w:r>
      <w:r w:rsidRPr="00C7687B">
        <w:rPr>
          <w:i/>
        </w:rPr>
        <w:t>Churle and the bird</w:t>
      </w:r>
      <w:r w:rsidRPr="00C7687B">
        <w:t>. Westminster: Wynkyn de Worde.</w:t>
      </w:r>
    </w:p>
    <w:p w14:paraId="18460841" w14:textId="77777777" w:rsidR="008F2F10" w:rsidRPr="00C7687B" w:rsidRDefault="008F2F10" w:rsidP="008F2F10">
      <w:pPr>
        <w:ind w:left="720" w:hanging="720"/>
      </w:pPr>
      <w:r w:rsidRPr="00C7687B">
        <w:t xml:space="preserve">Lydgate, John. 1494b. </w:t>
      </w:r>
      <w:r>
        <w:rPr>
          <w:i/>
        </w:rPr>
        <w:t>Horse, sheep, and the g</w:t>
      </w:r>
      <w:r w:rsidRPr="00C7687B">
        <w:rPr>
          <w:i/>
        </w:rPr>
        <w:t>oose</w:t>
      </w:r>
      <w:r w:rsidRPr="00C7687B">
        <w:t>. Westminster: Wynkyn de Worde.</w:t>
      </w:r>
    </w:p>
    <w:p w14:paraId="51B75677" w14:textId="77777777" w:rsidR="008F2F10" w:rsidRPr="00C7687B" w:rsidRDefault="008F2F10" w:rsidP="008F2F10">
      <w:pPr>
        <w:ind w:left="720" w:hanging="720"/>
      </w:pPr>
      <w:r w:rsidRPr="00C7687B">
        <w:t xml:space="preserve">Malory, Thomas. 1485. </w:t>
      </w:r>
      <w:r w:rsidRPr="00C7687B">
        <w:rPr>
          <w:i/>
        </w:rPr>
        <w:t>Morte Darthur</w:t>
      </w:r>
      <w:r w:rsidRPr="00C7687B">
        <w:t>. Westminster: William Caxton.</w:t>
      </w:r>
    </w:p>
    <w:p w14:paraId="017CFD8F" w14:textId="77777777" w:rsidR="008F2F10" w:rsidRPr="00C7687B" w:rsidRDefault="008F2F10" w:rsidP="008F2F10">
      <w:pPr>
        <w:ind w:left="720" w:hanging="720"/>
      </w:pPr>
      <w:r w:rsidRPr="00C7687B">
        <w:t xml:space="preserve">Mirk, John. 1493. </w:t>
      </w:r>
      <w:r>
        <w:rPr>
          <w:i/>
        </w:rPr>
        <w:t>Liber f</w:t>
      </w:r>
      <w:r w:rsidRPr="00845503">
        <w:rPr>
          <w:i/>
        </w:rPr>
        <w:t>estivalis</w:t>
      </w:r>
      <w:r w:rsidRPr="00C7687B">
        <w:t>. Westminster: Wynkyn de Worde.</w:t>
      </w:r>
    </w:p>
    <w:p w14:paraId="331800C3" w14:textId="77777777" w:rsidR="008F2F10" w:rsidRPr="00C7687B" w:rsidRDefault="008F2F10" w:rsidP="008F2F10">
      <w:pPr>
        <w:ind w:left="720" w:hanging="720"/>
      </w:pPr>
      <w:r w:rsidRPr="00C7687B">
        <w:t xml:space="preserve">Tignonville, Guillaume de. 1477. </w:t>
      </w:r>
      <w:r w:rsidRPr="00845503">
        <w:rPr>
          <w:i/>
        </w:rPr>
        <w:t>Dicts and sayings of the philosophers</w:t>
      </w:r>
      <w:r w:rsidRPr="00C7687B">
        <w:t>. (Trans.) Anthony Woodville. Westminster: William Caxton.</w:t>
      </w:r>
    </w:p>
    <w:p w14:paraId="3AE1F9F4" w14:textId="77777777" w:rsidR="008F2F10" w:rsidRPr="00C7687B" w:rsidRDefault="008F2F10" w:rsidP="008F2F10">
      <w:pPr>
        <w:ind w:left="720" w:hanging="720"/>
      </w:pPr>
      <w:r w:rsidRPr="00C7687B">
        <w:t xml:space="preserve">Traversagni, Laurenzo Guglielmo. 1479. </w:t>
      </w:r>
      <w:r>
        <w:rPr>
          <w:i/>
        </w:rPr>
        <w:t>Nova r</w:t>
      </w:r>
      <w:r w:rsidRPr="00845503">
        <w:rPr>
          <w:i/>
        </w:rPr>
        <w:t>hetorica</w:t>
      </w:r>
      <w:r w:rsidRPr="00C7687B">
        <w:t>. Westminster: William Caxton.</w:t>
      </w:r>
    </w:p>
    <w:p w14:paraId="0A3EE511" w14:textId="77777777" w:rsidR="008F2F10" w:rsidRPr="00C7687B" w:rsidRDefault="008F2F10" w:rsidP="008F2F10">
      <w:pPr>
        <w:ind w:left="720" w:hanging="720"/>
      </w:pPr>
      <w:r w:rsidRPr="00C7687B">
        <w:t xml:space="preserve">Virgilius Maro, Publius. 1490. </w:t>
      </w:r>
      <w:r>
        <w:rPr>
          <w:i/>
        </w:rPr>
        <w:t>The b</w:t>
      </w:r>
      <w:r w:rsidRPr="00845503">
        <w:rPr>
          <w:i/>
        </w:rPr>
        <w:t>oke of Eneydos</w:t>
      </w:r>
      <w:r w:rsidRPr="00C7687B">
        <w:t>. (Trans.) William Caxton. Westminster: William Caxton.</w:t>
      </w:r>
    </w:p>
    <w:p w14:paraId="29E669AF" w14:textId="77777777" w:rsidR="008F2F10" w:rsidRPr="00C7687B" w:rsidRDefault="008F2F10" w:rsidP="008F2F10">
      <w:pPr>
        <w:ind w:left="720" w:hanging="720"/>
      </w:pPr>
      <w:r w:rsidRPr="00C7687B">
        <w:t xml:space="preserve">Voragine, Jacobus de. 1487. </w:t>
      </w:r>
      <w:r>
        <w:rPr>
          <w:i/>
        </w:rPr>
        <w:t>Golden l</w:t>
      </w:r>
      <w:r w:rsidRPr="00845503">
        <w:rPr>
          <w:i/>
        </w:rPr>
        <w:t>egend</w:t>
      </w:r>
      <w:r w:rsidRPr="00C7687B">
        <w:t>. (Trans.) William Caxton. Westminster: William Caxton.</w:t>
      </w:r>
    </w:p>
    <w:p w14:paraId="0771345F" w14:textId="77777777" w:rsidR="008F2F10" w:rsidRPr="00845503" w:rsidRDefault="008F2F10" w:rsidP="008F2F10">
      <w:pPr>
        <w:ind w:left="720" w:hanging="720"/>
      </w:pPr>
      <w:r w:rsidRPr="00C7687B">
        <w:t xml:space="preserve">Voragine, Jacobus de. 1493. </w:t>
      </w:r>
      <w:r>
        <w:rPr>
          <w:i/>
        </w:rPr>
        <w:t>Golden l</w:t>
      </w:r>
      <w:r w:rsidRPr="00845503">
        <w:rPr>
          <w:i/>
        </w:rPr>
        <w:t>egend</w:t>
      </w:r>
      <w:r w:rsidRPr="00C7687B">
        <w:t>. (Trans.) William Caxton. Westminster: Wynkyn de Worde.</w:t>
      </w:r>
    </w:p>
    <w:p w14:paraId="2A9BC402" w14:textId="77777777" w:rsidR="008F2F10" w:rsidRPr="00C7687B" w:rsidRDefault="008F2F10" w:rsidP="008F2F10">
      <w:pPr>
        <w:ind w:firstLine="0"/>
      </w:pPr>
    </w:p>
    <w:p w14:paraId="34BB3AB9" w14:textId="77777777" w:rsidR="008F2F10" w:rsidRPr="00C62019" w:rsidRDefault="008F2F10" w:rsidP="008F2F10">
      <w:pPr>
        <w:ind w:left="576" w:firstLine="0"/>
        <w:outlineLvl w:val="0"/>
        <w:rPr>
          <w:i/>
        </w:rPr>
      </w:pPr>
      <w:r w:rsidRPr="00C62019">
        <w:rPr>
          <w:i/>
        </w:rPr>
        <w:t>Secondary sources</w:t>
      </w:r>
    </w:p>
    <w:p w14:paraId="0DC89551" w14:textId="77777777" w:rsidR="008F2F10" w:rsidRDefault="008F2F10" w:rsidP="008F2F10"/>
    <w:p w14:paraId="6314EA30" w14:textId="77777777" w:rsidR="008F2F10" w:rsidRPr="00C7687B" w:rsidRDefault="008F2F10" w:rsidP="008F2F10">
      <w:pPr>
        <w:ind w:left="720" w:hanging="720"/>
      </w:pPr>
      <w:r w:rsidRPr="00C7687B">
        <w:t xml:space="preserve">Baron, Alistair </w:t>
      </w:r>
      <w:r>
        <w:t>&amp; Paul Rayson. 2008. VARD 2: A tool for dealing with spelling variation in historical c</w:t>
      </w:r>
      <w:r w:rsidRPr="00C7687B">
        <w:t xml:space="preserve">orpora. </w:t>
      </w:r>
      <w:r w:rsidRPr="008A7850">
        <w:rPr>
          <w:i/>
        </w:rPr>
        <w:t>Proceedings of the Postgraduate Conference in Corpus Linguistics</w:t>
      </w:r>
      <w:r w:rsidRPr="00C7687B">
        <w:t>. Birmingham, UK: Aston University.</w:t>
      </w:r>
    </w:p>
    <w:p w14:paraId="34692242" w14:textId="77777777" w:rsidR="008F2F10" w:rsidRPr="00C7687B" w:rsidRDefault="008F2F10" w:rsidP="008F2F10">
      <w:pPr>
        <w:ind w:left="720" w:hanging="720"/>
      </w:pPr>
      <w:r w:rsidRPr="00C7687B">
        <w:t>Benskin, Michael &amp; Margaret Laing. 1981. Tran</w:t>
      </w:r>
      <w:r>
        <w:t>slations and m</w:t>
      </w:r>
      <w:r w:rsidRPr="00C7687B">
        <w:t xml:space="preserve">ischsprachen in Middle English. In Michael Benskin &amp; Michael Samuels (eds.), </w:t>
      </w:r>
      <w:r w:rsidRPr="008A7850">
        <w:rPr>
          <w:i/>
        </w:rPr>
        <w:t>So meny people, longages and tonges: philological essays in Scots and medi</w:t>
      </w:r>
      <w:r>
        <w:rPr>
          <w:i/>
        </w:rPr>
        <w:t>a</w:t>
      </w:r>
      <w:r w:rsidRPr="008A7850">
        <w:rPr>
          <w:i/>
        </w:rPr>
        <w:t>eval English presented to Angus McIntosh</w:t>
      </w:r>
      <w:r w:rsidRPr="00C7687B">
        <w:t>, 55–106. Edinburgh: Edinburgh University Press.</w:t>
      </w:r>
    </w:p>
    <w:p w14:paraId="40540A41" w14:textId="39D8AD49" w:rsidR="008F2F10" w:rsidRPr="00C7687B" w:rsidRDefault="005878FE" w:rsidP="008F2F10">
      <w:pPr>
        <w:ind w:left="720" w:hanging="720"/>
      </w:pPr>
      <w:r>
        <w:t>Blad</w:t>
      </w:r>
      <w:r w:rsidR="00124538">
        <w:t xml:space="preserve">es, William. </w:t>
      </w:r>
      <w:r>
        <w:t>1877</w:t>
      </w:r>
      <w:r w:rsidR="008F2F10" w:rsidRPr="00C7687B">
        <w:t xml:space="preserve">. </w:t>
      </w:r>
      <w:r w:rsidR="008F2F10" w:rsidRPr="008A7850">
        <w:rPr>
          <w:i/>
        </w:rPr>
        <w:t>The biography and typography of William Caxton</w:t>
      </w:r>
      <w:r w:rsidR="008F2F10" w:rsidRPr="00C7687B">
        <w:t xml:space="preserve">. </w:t>
      </w:r>
      <w:r w:rsidR="00124538">
        <w:t xml:space="preserve">London: Trubner &amp; co., repr. 1971 </w:t>
      </w:r>
      <w:r w:rsidR="008F2F10" w:rsidRPr="00C7687B">
        <w:t>Muller: London.</w:t>
      </w:r>
    </w:p>
    <w:p w14:paraId="731A3601" w14:textId="77777777" w:rsidR="008F2F10" w:rsidRPr="00C7687B" w:rsidRDefault="008F2F10" w:rsidP="008F2F10">
      <w:pPr>
        <w:ind w:left="720" w:hanging="720"/>
      </w:pPr>
      <w:r w:rsidRPr="00C7687B">
        <w:t xml:space="preserve">Blake, Norman. 1967. Caxton and Chaucer. </w:t>
      </w:r>
      <w:r w:rsidRPr="008A7850">
        <w:rPr>
          <w:i/>
        </w:rPr>
        <w:t>Leeds Studies in English</w:t>
      </w:r>
      <w:r w:rsidRPr="00C7687B">
        <w:t xml:space="preserve"> 1. 19–36.</w:t>
      </w:r>
    </w:p>
    <w:p w14:paraId="4F96AEC3" w14:textId="77777777" w:rsidR="008F2F10" w:rsidRPr="00C7687B" w:rsidRDefault="008F2F10" w:rsidP="008F2F10">
      <w:pPr>
        <w:ind w:left="720" w:hanging="720"/>
      </w:pPr>
      <w:r w:rsidRPr="00C7687B">
        <w:t xml:space="preserve">Blake, Norman. 1969. </w:t>
      </w:r>
      <w:r w:rsidRPr="008A7850">
        <w:rPr>
          <w:i/>
        </w:rPr>
        <w:t>Caxton and his world</w:t>
      </w:r>
      <w:r w:rsidRPr="00C7687B">
        <w:t>. London: Andre Dutch.</w:t>
      </w:r>
    </w:p>
    <w:p w14:paraId="62BB45FB" w14:textId="77777777" w:rsidR="008F2F10" w:rsidRPr="00C7687B" w:rsidRDefault="008F2F10" w:rsidP="008F2F10">
      <w:pPr>
        <w:ind w:left="720" w:hanging="720"/>
      </w:pPr>
      <w:r w:rsidRPr="00C7687B">
        <w:t xml:space="preserve">Blake, Norman. 1973. </w:t>
      </w:r>
      <w:r w:rsidRPr="008A7850">
        <w:rPr>
          <w:i/>
        </w:rPr>
        <w:t>Caxton’s own prose</w:t>
      </w:r>
      <w:r w:rsidRPr="00C7687B">
        <w:t>. London: Andre Dutch.</w:t>
      </w:r>
    </w:p>
    <w:p w14:paraId="4578918A" w14:textId="77777777" w:rsidR="008F2F10" w:rsidRPr="00C7687B" w:rsidRDefault="008F2F10" w:rsidP="008F2F10">
      <w:pPr>
        <w:ind w:left="720" w:hanging="720"/>
      </w:pPr>
      <w:r w:rsidRPr="00C7687B">
        <w:t xml:space="preserve">Blake, Norman. 1976. Caxton prepares his copy of the Morte Darthur. </w:t>
      </w:r>
      <w:r w:rsidRPr="008A7850">
        <w:rPr>
          <w:i/>
        </w:rPr>
        <w:t>Journal of Librarianship</w:t>
      </w:r>
      <w:r w:rsidRPr="00C7687B">
        <w:t xml:space="preserve"> 8(4). 272–285.</w:t>
      </w:r>
    </w:p>
    <w:p w14:paraId="3D742F6D" w14:textId="77777777" w:rsidR="008F2F10" w:rsidRPr="00C7687B" w:rsidRDefault="008F2F10" w:rsidP="008F2F10">
      <w:pPr>
        <w:ind w:left="720" w:hanging="720"/>
      </w:pPr>
      <w:r w:rsidRPr="00C7687B">
        <w:lastRenderedPageBreak/>
        <w:t xml:space="preserve">Blake, Norman. 1989. Manuscript to print. In Jeremy Griffiths &amp; Derek Pearsall (eds.), </w:t>
      </w:r>
      <w:r w:rsidRPr="00CF12D3">
        <w:rPr>
          <w:i/>
        </w:rPr>
        <w:t>Book production and publishing in Britain 1375-1475</w:t>
      </w:r>
      <w:r w:rsidRPr="00C7687B">
        <w:t>, 403–433. Cambridge: Cambridge University Press.</w:t>
      </w:r>
    </w:p>
    <w:p w14:paraId="2D4C4FB3" w14:textId="77777777" w:rsidR="008F2F10" w:rsidRPr="00C7687B" w:rsidRDefault="008F2F10" w:rsidP="008F2F10">
      <w:pPr>
        <w:ind w:left="720" w:hanging="720"/>
      </w:pPr>
      <w:r w:rsidRPr="00C7687B">
        <w:t xml:space="preserve">Blake, Norman. 1991a. </w:t>
      </w:r>
      <w:r w:rsidRPr="00CF12D3">
        <w:rPr>
          <w:i/>
        </w:rPr>
        <w:t>William Caxton and English literary culture</w:t>
      </w:r>
      <w:r w:rsidRPr="00C7687B">
        <w:t>. London: Hambledon Press.</w:t>
      </w:r>
    </w:p>
    <w:p w14:paraId="639A5D78" w14:textId="77777777" w:rsidR="008F2F10" w:rsidRPr="00C7687B" w:rsidRDefault="008F2F10" w:rsidP="008F2F10">
      <w:pPr>
        <w:ind w:left="720" w:hanging="720"/>
      </w:pPr>
      <w:r w:rsidRPr="00C7687B">
        <w:t xml:space="preserve">Blake, Norman. 1991b. English versions of </w:t>
      </w:r>
      <w:r w:rsidRPr="00CF12D3">
        <w:rPr>
          <w:i/>
        </w:rPr>
        <w:t>Reynard the Fox</w:t>
      </w:r>
      <w:r w:rsidRPr="00C7687B">
        <w:t xml:space="preserve"> in the fifteenth century. </w:t>
      </w:r>
      <w:r w:rsidRPr="00CF12D3">
        <w:rPr>
          <w:i/>
        </w:rPr>
        <w:t>William Caxton and English literary culture</w:t>
      </w:r>
      <w:r w:rsidRPr="00C7687B">
        <w:t>, 259–275.</w:t>
      </w:r>
    </w:p>
    <w:p w14:paraId="34009D76" w14:textId="77777777" w:rsidR="008F2F10" w:rsidRPr="00C7687B" w:rsidRDefault="008F2F10" w:rsidP="008F2F10">
      <w:pPr>
        <w:ind w:left="720" w:hanging="720"/>
      </w:pPr>
      <w:r w:rsidRPr="00C7687B">
        <w:t xml:space="preserve">Blake, Norman. 1996. </w:t>
      </w:r>
      <w:r w:rsidRPr="00CF12D3">
        <w:rPr>
          <w:i/>
        </w:rPr>
        <w:t>A history of the English language</w:t>
      </w:r>
      <w:r w:rsidRPr="00C7687B">
        <w:t>. London: Macmillan.</w:t>
      </w:r>
    </w:p>
    <w:p w14:paraId="16A57BAE" w14:textId="77777777" w:rsidR="008F2F10" w:rsidRPr="00C7687B" w:rsidRDefault="008F2F10" w:rsidP="008F2F10">
      <w:pPr>
        <w:ind w:left="720" w:hanging="720"/>
      </w:pPr>
      <w:r w:rsidRPr="00C7687B">
        <w:t xml:space="preserve">Blake, Norman. 2000. Caxton’s second edition of the Canterbury Tales. In A. S. G. Edwards, Vincent Gillespie &amp; Ralph Hanna (eds.), </w:t>
      </w:r>
      <w:r w:rsidRPr="00CF12D3">
        <w:rPr>
          <w:i/>
        </w:rPr>
        <w:t>The English medieval book: Studies in memory of Jeremy Griffiths</w:t>
      </w:r>
      <w:r w:rsidRPr="00C7687B">
        <w:t>, 135–154. London: British Library.</w:t>
      </w:r>
    </w:p>
    <w:p w14:paraId="65868472" w14:textId="77777777" w:rsidR="008F2F10" w:rsidRPr="00C7687B" w:rsidRDefault="008F2F10" w:rsidP="008F2F10">
      <w:pPr>
        <w:ind w:left="720" w:hanging="720"/>
      </w:pPr>
      <w:r w:rsidRPr="00C7687B">
        <w:t xml:space="preserve">Blake, Norman. 2004a. Lettou, John (fl. 1475–1483). </w:t>
      </w:r>
      <w:r w:rsidRPr="00CF12D3">
        <w:rPr>
          <w:i/>
        </w:rPr>
        <w:t>Oxford Dictionary of National Biography</w:t>
      </w:r>
      <w:r w:rsidRPr="00C7687B">
        <w:t xml:space="preserve">. </w:t>
      </w:r>
      <w:r>
        <w:t xml:space="preserve">Oxford: </w:t>
      </w:r>
      <w:r w:rsidRPr="00C7687B">
        <w:t>Oxford University Press.</w:t>
      </w:r>
    </w:p>
    <w:p w14:paraId="7493F921" w14:textId="77777777" w:rsidR="008F2F10" w:rsidRPr="00C7687B" w:rsidRDefault="008F2F10" w:rsidP="008F2F10">
      <w:pPr>
        <w:ind w:left="720" w:hanging="720"/>
      </w:pPr>
      <w:r>
        <w:t>Blake, Norman. 2004b. Maclyn</w:t>
      </w:r>
      <w:r w:rsidRPr="00C7687B">
        <w:t xml:space="preserve">, William (fl. 1482–1490). </w:t>
      </w:r>
      <w:r w:rsidRPr="00CF12D3">
        <w:rPr>
          <w:i/>
        </w:rPr>
        <w:t>Oxford Dictionary of National Biography</w:t>
      </w:r>
      <w:r w:rsidRPr="00C7687B">
        <w:t xml:space="preserve">. </w:t>
      </w:r>
      <w:r>
        <w:t xml:space="preserve">Oxford: </w:t>
      </w:r>
      <w:r w:rsidRPr="00C7687B">
        <w:t>Oxford University Press.</w:t>
      </w:r>
    </w:p>
    <w:p w14:paraId="6BC96085" w14:textId="77777777" w:rsidR="008F2F10" w:rsidRPr="00C7687B" w:rsidRDefault="008F2F10" w:rsidP="008F2F10">
      <w:pPr>
        <w:ind w:left="720" w:hanging="720"/>
      </w:pPr>
      <w:r w:rsidRPr="00C7687B">
        <w:t xml:space="preserve">Blake, Norman. 2004c. Worde, Wynkyn de (d. 1534/5). </w:t>
      </w:r>
      <w:r w:rsidRPr="00CF12D3">
        <w:rPr>
          <w:i/>
        </w:rPr>
        <w:t>Oxford Dictionary of National Biography</w:t>
      </w:r>
      <w:r w:rsidRPr="00C7687B">
        <w:t xml:space="preserve">. </w:t>
      </w:r>
      <w:r>
        <w:t xml:space="preserve">Oxford: </w:t>
      </w:r>
      <w:r w:rsidRPr="00C7687B">
        <w:t>Oxford University Press.</w:t>
      </w:r>
    </w:p>
    <w:p w14:paraId="12DBF491" w14:textId="7A83BBDB" w:rsidR="00635710" w:rsidRPr="00635710" w:rsidRDefault="00635710" w:rsidP="00635710">
      <w:pPr>
        <w:ind w:left="720" w:hanging="720"/>
      </w:pPr>
      <w:r w:rsidRPr="00635710">
        <w:t xml:space="preserve">Bode, Katherine &amp; Roger Osborne. 2014. Book history </w:t>
      </w:r>
      <w:r>
        <w:t xml:space="preserve">from the archival record. In </w:t>
      </w:r>
      <w:r w:rsidRPr="00635710">
        <w:t>Leslie Howsam</w:t>
      </w:r>
      <w:r>
        <w:t xml:space="preserve"> (ed.),</w:t>
      </w:r>
      <w:r w:rsidRPr="00635710">
        <w:t xml:space="preserve"> </w:t>
      </w:r>
      <w:r w:rsidRPr="00635710">
        <w:rPr>
          <w:i/>
          <w:iCs/>
        </w:rPr>
        <w:t>The Cambridge Companion to the History of the Book</w:t>
      </w:r>
      <w:r>
        <w:t>,</w:t>
      </w:r>
      <w:r w:rsidRPr="00635710">
        <w:t xml:space="preserve"> 219–236</w:t>
      </w:r>
      <w:r>
        <w:t xml:space="preserve">. </w:t>
      </w:r>
      <w:r w:rsidRPr="00635710">
        <w:t xml:space="preserve">Cambridge: Cambridge University Press. </w:t>
      </w:r>
    </w:p>
    <w:p w14:paraId="443FAEE5" w14:textId="77777777" w:rsidR="008F2F10" w:rsidRPr="00C7687B" w:rsidRDefault="008F2F10" w:rsidP="008F2F10">
      <w:pPr>
        <w:ind w:left="720" w:hanging="720"/>
      </w:pPr>
      <w:r w:rsidRPr="00C7687B">
        <w:t xml:space="preserve">Boffey, Julia. 2014. From manuscript to print: continuity and change. In Vincent Gillespie &amp; Susan Powell (eds.), </w:t>
      </w:r>
      <w:r w:rsidRPr="00CF12D3">
        <w:rPr>
          <w:i/>
        </w:rPr>
        <w:t>A companion to the early printed book in Britain 1476-1558</w:t>
      </w:r>
      <w:r w:rsidRPr="00C7687B">
        <w:t>, 13–26. Cambridge: Cambridge University Press.</w:t>
      </w:r>
    </w:p>
    <w:p w14:paraId="5A255929" w14:textId="77777777" w:rsidR="008F2F10" w:rsidRPr="00C7687B" w:rsidRDefault="008F2F10" w:rsidP="008F2F10">
      <w:pPr>
        <w:ind w:left="720" w:hanging="720"/>
      </w:pPr>
      <w:r w:rsidRPr="00C7687B">
        <w:t xml:space="preserve">Bordalejo, Barbara. 2005. The text of Caxton’s second edition of the Canterbury Tales. </w:t>
      </w:r>
      <w:r>
        <w:rPr>
          <w:i/>
        </w:rPr>
        <w:t>International Journal of English S</w:t>
      </w:r>
      <w:r w:rsidRPr="00CF12D3">
        <w:rPr>
          <w:i/>
        </w:rPr>
        <w:t>tudies</w:t>
      </w:r>
      <w:r w:rsidRPr="00C7687B">
        <w:t xml:space="preserve"> 5(2). 133–148.</w:t>
      </w:r>
    </w:p>
    <w:p w14:paraId="65DA6F28" w14:textId="77777777" w:rsidR="008F2F10" w:rsidRPr="00C7687B" w:rsidRDefault="008F2F10" w:rsidP="008F2F10">
      <w:pPr>
        <w:ind w:left="720" w:hanging="720"/>
      </w:pPr>
      <w:r w:rsidRPr="00C7687B">
        <w:t xml:space="preserve">Bordalejo, Barbara. 2014. Caxton’s editing of the </w:t>
      </w:r>
      <w:r w:rsidRPr="00CF12D3">
        <w:rPr>
          <w:i/>
        </w:rPr>
        <w:t>Canterbury Tales</w:t>
      </w:r>
      <w:r w:rsidRPr="00C7687B">
        <w:t xml:space="preserve">. </w:t>
      </w:r>
      <w:r w:rsidRPr="00CF12D3">
        <w:rPr>
          <w:i/>
        </w:rPr>
        <w:t xml:space="preserve">Papers of the Bibliographical Society of America </w:t>
      </w:r>
      <w:r w:rsidRPr="00C7687B">
        <w:t>108(1). 41–60.</w:t>
      </w:r>
    </w:p>
    <w:p w14:paraId="07E735A4" w14:textId="77777777" w:rsidR="008F2F10" w:rsidRPr="00C7687B" w:rsidRDefault="008F2F10" w:rsidP="008F2F10">
      <w:pPr>
        <w:ind w:left="720" w:hanging="720"/>
      </w:pPr>
      <w:r w:rsidRPr="00C7687B">
        <w:t xml:space="preserve">Bornstien, Diane. 1978. Chaucer’s </w:t>
      </w:r>
      <w:r w:rsidRPr="00CF12D3">
        <w:rPr>
          <w:i/>
        </w:rPr>
        <w:t>Tale of Melibee</w:t>
      </w:r>
      <w:r>
        <w:t xml:space="preserve"> as an example of the style c</w:t>
      </w:r>
      <w:r w:rsidRPr="00C7687B">
        <w:t xml:space="preserve">lergial. </w:t>
      </w:r>
      <w:r w:rsidRPr="00CF12D3">
        <w:rPr>
          <w:i/>
        </w:rPr>
        <w:t>Chaucer Review</w:t>
      </w:r>
      <w:r w:rsidRPr="00C7687B">
        <w:t xml:space="preserve"> 12. 236–254.</w:t>
      </w:r>
    </w:p>
    <w:p w14:paraId="4C017B77" w14:textId="77777777" w:rsidR="008F2F10" w:rsidRPr="00C7687B" w:rsidRDefault="008F2F10" w:rsidP="008F2F10">
      <w:pPr>
        <w:ind w:left="720" w:hanging="720"/>
      </w:pPr>
      <w:r w:rsidRPr="00C7687B">
        <w:t>Bullinaria, John &amp; Joe Levy. 2007. Extracting semantic representations from word cooccur</w:t>
      </w:r>
      <w:r>
        <w:t>rence statistics: a</w:t>
      </w:r>
      <w:r w:rsidRPr="00C7687B">
        <w:t xml:space="preserve"> computational study. </w:t>
      </w:r>
      <w:r w:rsidRPr="00CF12D3">
        <w:rPr>
          <w:i/>
        </w:rPr>
        <w:t>Behavior Research Methods</w:t>
      </w:r>
      <w:r w:rsidRPr="00C7687B">
        <w:t xml:space="preserve"> 39(3). 510–526.</w:t>
      </w:r>
    </w:p>
    <w:p w14:paraId="6FEA687B" w14:textId="77777777" w:rsidR="008F2F10" w:rsidRPr="00C7687B" w:rsidRDefault="008F2F10" w:rsidP="008F2F10">
      <w:pPr>
        <w:ind w:left="720" w:hanging="720"/>
      </w:pPr>
      <w:r w:rsidRPr="00C7687B">
        <w:t xml:space="preserve">Burnley, David. 1986. Curial prose in England. </w:t>
      </w:r>
      <w:r w:rsidRPr="00CF12D3">
        <w:rPr>
          <w:i/>
        </w:rPr>
        <w:t>Speculum</w:t>
      </w:r>
      <w:r w:rsidRPr="00C7687B">
        <w:t xml:space="preserve"> 61. 593–614.</w:t>
      </w:r>
    </w:p>
    <w:p w14:paraId="0EB7383D" w14:textId="77777777" w:rsidR="008F2F10" w:rsidRPr="00C7687B" w:rsidRDefault="008F2F10" w:rsidP="008F2F10">
      <w:pPr>
        <w:ind w:left="720" w:hanging="720"/>
      </w:pPr>
      <w:r w:rsidRPr="00C7687B">
        <w:t xml:space="preserve">Burnley, David. 1989. Sources of standardisation in later Middle English. In Joseph Trahern (ed.), </w:t>
      </w:r>
      <w:r w:rsidRPr="00CF12D3">
        <w:rPr>
          <w:i/>
        </w:rPr>
        <w:t>Standardizing English: essays in the history of language change in honor of John Hurt Fisher</w:t>
      </w:r>
      <w:r w:rsidRPr="00C7687B">
        <w:t>, 23–42. Knoxville: University of Tennessee Press.</w:t>
      </w:r>
    </w:p>
    <w:p w14:paraId="25F531E3" w14:textId="77777777" w:rsidR="008F2F10" w:rsidRPr="00C7687B" w:rsidRDefault="008F2F10" w:rsidP="008F2F10">
      <w:pPr>
        <w:ind w:left="720" w:hanging="720"/>
      </w:pPr>
      <w:r w:rsidRPr="00C7687B">
        <w:lastRenderedPageBreak/>
        <w:t xml:space="preserve">Carlson, David R. 2006. A theory of the early English printing firm. In William Kuskin (ed.), </w:t>
      </w:r>
      <w:r w:rsidRPr="00CF12D3">
        <w:rPr>
          <w:i/>
        </w:rPr>
        <w:t>Caxton’s trace: studies in the history of English printing</w:t>
      </w:r>
      <w:r w:rsidRPr="00C7687B">
        <w:t>, 35–68. Notre Dame, Ind.: Notre Dame University Press.</w:t>
      </w:r>
    </w:p>
    <w:p w14:paraId="3F797106" w14:textId="77777777" w:rsidR="00562A60" w:rsidRPr="00562A60" w:rsidRDefault="00562A60" w:rsidP="00562A60">
      <w:pPr>
        <w:ind w:left="720" w:hanging="720"/>
      </w:pPr>
      <w:r w:rsidRPr="00562A60">
        <w:t xml:space="preserve">Craig, Hugh. 2004. Stylistic analysis and authorship studies. In Susan Schreibman, Ray Siemens &amp; John Unsworth (eds.), </w:t>
      </w:r>
      <w:r w:rsidRPr="00562A60">
        <w:rPr>
          <w:i/>
          <w:iCs/>
        </w:rPr>
        <w:t>A companion to the digital humanities</w:t>
      </w:r>
      <w:r w:rsidRPr="00562A60">
        <w:t>, 273–288. Oxford: Blackwell.</w:t>
      </w:r>
    </w:p>
    <w:p w14:paraId="4A878E02" w14:textId="77777777" w:rsidR="008F2F10" w:rsidRPr="00C7687B" w:rsidRDefault="008F2F10" w:rsidP="008F2F10">
      <w:pPr>
        <w:ind w:left="720" w:hanging="720"/>
      </w:pPr>
      <w:r w:rsidRPr="00C7687B">
        <w:t xml:space="preserve">Csizér, Kata </w:t>
      </w:r>
      <w:r>
        <w:t>&amp; Joan Jamieson. 2012. Cluster a</w:t>
      </w:r>
      <w:r w:rsidRPr="00C7687B">
        <w:t xml:space="preserve">nalysis. </w:t>
      </w:r>
      <w:r>
        <w:t xml:space="preserve">In </w:t>
      </w:r>
      <w:r w:rsidRPr="006B6AAA">
        <w:t>Carol A. Chapelle</w:t>
      </w:r>
      <w:r>
        <w:t xml:space="preserve"> (ed.), </w:t>
      </w:r>
      <w:r w:rsidRPr="00CF12D3">
        <w:rPr>
          <w:i/>
        </w:rPr>
        <w:t>The Encyclopedia of Applied Linguistics</w:t>
      </w:r>
      <w:r w:rsidRPr="00C7687B">
        <w:t>. Oxford: Blackwell.</w:t>
      </w:r>
    </w:p>
    <w:p w14:paraId="4D5FB393" w14:textId="77777777" w:rsidR="008F2F10" w:rsidRPr="00C7687B" w:rsidRDefault="008F2F10" w:rsidP="008F2F10">
      <w:pPr>
        <w:ind w:left="720" w:hanging="720"/>
      </w:pPr>
      <w:r w:rsidRPr="00C7687B">
        <w:t xml:space="preserve">Cysouw, Michael. 2007. New approaches to cluster analysis of typological indices. In Peter Grzybek &amp; Reinhard Köhler (eds.), </w:t>
      </w:r>
      <w:r w:rsidRPr="006B6AAA">
        <w:rPr>
          <w:i/>
        </w:rPr>
        <w:t>Exact methods in the study of language and text</w:t>
      </w:r>
      <w:r w:rsidRPr="00C7687B">
        <w:t>, 61–73. Berlin: Mouton de Gruyter.</w:t>
      </w:r>
    </w:p>
    <w:p w14:paraId="6B78E7DD" w14:textId="77777777" w:rsidR="008F2F10" w:rsidRPr="00C7687B" w:rsidRDefault="008F2F10" w:rsidP="008F2F10">
      <w:pPr>
        <w:ind w:left="720" w:hanging="720"/>
      </w:pPr>
      <w:r w:rsidRPr="00C7687B">
        <w:t xml:space="preserve">Davis, Norman. 1983. The language of two brothers in the fifteenth century. In E. G. Stanley &amp; Douglas Grey (eds.), </w:t>
      </w:r>
      <w:r w:rsidRPr="006B6AAA">
        <w:rPr>
          <w:i/>
        </w:rPr>
        <w:t>Five hundred years of words and sounds: a festschrift for Eric Dobson</w:t>
      </w:r>
      <w:r w:rsidRPr="00C7687B">
        <w:t>, 23–29. Cambridge: D. S. Brewer.</w:t>
      </w:r>
    </w:p>
    <w:p w14:paraId="186404D8" w14:textId="77777777" w:rsidR="008F2F10" w:rsidRPr="00C7687B" w:rsidRDefault="008F2F10" w:rsidP="008F2F10">
      <w:pPr>
        <w:ind w:left="720" w:hanging="720"/>
      </w:pPr>
      <w:r w:rsidRPr="00C7687B">
        <w:t xml:space="preserve">Divjak, Dagmar &amp; Nick Fieller. 2014. Cluster analysis: finding structure in linguistic data. In Dylan Glynn &amp; Justyna Robinson (eds.), </w:t>
      </w:r>
      <w:r w:rsidRPr="006B6AAA">
        <w:rPr>
          <w:i/>
        </w:rPr>
        <w:t>Corpus methods for semantics: quantitative studies in polysemy and synonymy</w:t>
      </w:r>
      <w:r w:rsidRPr="00C7687B">
        <w:t>, 405–443. Amsterdam: John Benjamins.</w:t>
      </w:r>
    </w:p>
    <w:p w14:paraId="501A9A2D" w14:textId="77777777" w:rsidR="008F2F10" w:rsidRPr="00C7687B" w:rsidRDefault="008F2F10" w:rsidP="008F2F10">
      <w:pPr>
        <w:ind w:left="720" w:hanging="720"/>
      </w:pPr>
      <w:r w:rsidRPr="00C7687B">
        <w:t xml:space="preserve">Dodd, Gwilym. 2011. The rise of English, the decline of French: Supplications to the English crown, c. 1420-1450. </w:t>
      </w:r>
      <w:r w:rsidRPr="006B6AAA">
        <w:rPr>
          <w:i/>
        </w:rPr>
        <w:t>Speculum</w:t>
      </w:r>
      <w:r w:rsidRPr="00C7687B">
        <w:t xml:space="preserve"> 86. 117–150.</w:t>
      </w:r>
    </w:p>
    <w:p w14:paraId="279983AB" w14:textId="77777777" w:rsidR="008F2F10" w:rsidRPr="00C7687B" w:rsidRDefault="008F2F10" w:rsidP="008F2F10">
      <w:pPr>
        <w:ind w:left="720" w:hanging="720"/>
      </w:pPr>
      <w:r w:rsidRPr="00C7687B">
        <w:t xml:space="preserve">Doyle, A. I. &amp; M. B. Parkes. 1978. The production of the copies of the </w:t>
      </w:r>
      <w:r w:rsidRPr="006B6AAA">
        <w:rPr>
          <w:i/>
        </w:rPr>
        <w:t>Canterbury Tales</w:t>
      </w:r>
      <w:r w:rsidRPr="00C7687B">
        <w:t xml:space="preserve"> and the </w:t>
      </w:r>
      <w:r w:rsidRPr="006B6AAA">
        <w:rPr>
          <w:i/>
        </w:rPr>
        <w:t>Confessio Amantis</w:t>
      </w:r>
      <w:r w:rsidRPr="00C7687B">
        <w:t xml:space="preserve"> in the early fifteenth century. In M. B. Parkes &amp; A. G. Watson (eds.), </w:t>
      </w:r>
      <w:r w:rsidRPr="006B6AAA">
        <w:rPr>
          <w:i/>
        </w:rPr>
        <w:t>Medieval scribes, manuscripts and libraries: essays presented to N. R. Ker</w:t>
      </w:r>
      <w:r w:rsidRPr="00C7687B">
        <w:t>, 163–210. London: Scolar Press.</w:t>
      </w:r>
    </w:p>
    <w:p w14:paraId="475D105C" w14:textId="77777777" w:rsidR="008F2F10" w:rsidRPr="00C7687B" w:rsidRDefault="008F2F10" w:rsidP="008F2F10">
      <w:pPr>
        <w:ind w:left="720" w:hanging="720"/>
      </w:pPr>
      <w:r w:rsidRPr="00C7687B">
        <w:t xml:space="preserve">Driver, Martha &amp; Michael Orr. 2011. Decorating and illustrating the page. In Alexandra Gillespie &amp; Daniel Wakelin (eds.), </w:t>
      </w:r>
      <w:r>
        <w:rPr>
          <w:i/>
        </w:rPr>
        <w:t>The production of b</w:t>
      </w:r>
      <w:r w:rsidRPr="006B6AAA">
        <w:rPr>
          <w:i/>
        </w:rPr>
        <w:t>ooks in England 1350–1500</w:t>
      </w:r>
      <w:r w:rsidRPr="00C7687B">
        <w:t>, 104–128. Cambridge: Cambridge University Press.</w:t>
      </w:r>
    </w:p>
    <w:p w14:paraId="58498013" w14:textId="77777777" w:rsidR="008F2F10" w:rsidRPr="00C7687B" w:rsidRDefault="008F2F10" w:rsidP="008F2F10">
      <w:pPr>
        <w:ind w:left="720" w:hanging="720"/>
      </w:pPr>
      <w:r w:rsidRPr="00C7687B">
        <w:t xml:space="preserve">Eder, Maciej. 2017. Visualization in stylometry: Cluster analysis using networks. </w:t>
      </w:r>
      <w:r w:rsidRPr="006B6AAA">
        <w:rPr>
          <w:i/>
        </w:rPr>
        <w:t>Digital Scholarship in the Humanities</w:t>
      </w:r>
      <w:r w:rsidRPr="00C7687B">
        <w:t xml:space="preserve"> 32(1). 50–64. </w:t>
      </w:r>
    </w:p>
    <w:p w14:paraId="25BD9C65" w14:textId="1CEBE31F" w:rsidR="00ED689B" w:rsidRPr="00ED689B" w:rsidRDefault="001102FF" w:rsidP="00ED689B">
      <w:pPr>
        <w:ind w:left="720" w:hanging="720"/>
      </w:pPr>
      <w:r>
        <w:t>Eisenstein, Elizabeth L. 2009</w:t>
      </w:r>
      <w:r w:rsidR="00ED689B" w:rsidRPr="00ED689B">
        <w:t xml:space="preserve">. </w:t>
      </w:r>
      <w:r w:rsidR="00ED689B" w:rsidRPr="00ED689B">
        <w:rPr>
          <w:i/>
          <w:iCs/>
        </w:rPr>
        <w:t>The printing press as an agent of change</w:t>
      </w:r>
      <w:r w:rsidR="00ED689B" w:rsidRPr="00ED689B">
        <w:t xml:space="preserve">. </w:t>
      </w:r>
      <w:r w:rsidR="007549BF">
        <w:t>2</w:t>
      </w:r>
      <w:r w:rsidR="007549BF" w:rsidRPr="007549BF">
        <w:rPr>
          <w:vertAlign w:val="superscript"/>
        </w:rPr>
        <w:t>nd</w:t>
      </w:r>
      <w:r w:rsidR="007549BF">
        <w:t xml:space="preserve"> edn. </w:t>
      </w:r>
      <w:r w:rsidR="00ED689B" w:rsidRPr="00ED689B">
        <w:t>Cambridge: Cambridge University Press.</w:t>
      </w:r>
    </w:p>
    <w:p w14:paraId="16C32CE6" w14:textId="77777777" w:rsidR="008F2F10" w:rsidRPr="00C7687B" w:rsidRDefault="008F2F10" w:rsidP="008F2F10">
      <w:pPr>
        <w:ind w:left="720" w:hanging="720"/>
      </w:pPr>
      <w:r w:rsidRPr="00C7687B">
        <w:t xml:space="preserve">Eisner, Sigmund. 1985. Chaucer as a technical writer. </w:t>
      </w:r>
      <w:r w:rsidRPr="006B6AAA">
        <w:rPr>
          <w:i/>
        </w:rPr>
        <w:t>Chaucer Review</w:t>
      </w:r>
      <w:r w:rsidRPr="00C7687B">
        <w:t xml:space="preserve"> 19. 179–204.</w:t>
      </w:r>
    </w:p>
    <w:p w14:paraId="2DD8A217" w14:textId="77777777" w:rsidR="001102FF" w:rsidRDefault="008F2F10" w:rsidP="008F2F10">
      <w:pPr>
        <w:ind w:left="720" w:hanging="720"/>
      </w:pPr>
      <w:r w:rsidRPr="00C7687B">
        <w:t xml:space="preserve">Evans, Melanie. 2012. A Sociolinguistics of early modern spelling? A case study of Queen Elizabeth I. Outposts of Historical Linguistics: from the Helsinki corpus to a proliferation of resources </w:t>
      </w:r>
      <w:r w:rsidRPr="006B6AAA">
        <w:rPr>
          <w:i/>
        </w:rPr>
        <w:t>VARIENG</w:t>
      </w:r>
      <w:r w:rsidRPr="00C7687B">
        <w:t xml:space="preserve"> 10. </w:t>
      </w:r>
    </w:p>
    <w:p w14:paraId="589E3EC8" w14:textId="28A88CF4" w:rsidR="008F2F10" w:rsidRPr="00C7687B" w:rsidRDefault="001102FF" w:rsidP="008F2F10">
      <w:pPr>
        <w:ind w:left="720" w:hanging="720"/>
      </w:pPr>
      <w:r>
        <w:tab/>
      </w:r>
      <w:r w:rsidR="008F2F10" w:rsidRPr="00C7687B">
        <w:t>http://www.helsinki.fi/varieng/journal/volumes/10/evans.</w:t>
      </w:r>
    </w:p>
    <w:p w14:paraId="49DB6695" w14:textId="77777777" w:rsidR="008F2F10" w:rsidRPr="00C7687B" w:rsidRDefault="008F2F10" w:rsidP="008F2F10">
      <w:pPr>
        <w:ind w:left="720" w:hanging="720"/>
      </w:pPr>
      <w:r w:rsidRPr="00C7687B">
        <w:lastRenderedPageBreak/>
        <w:t xml:space="preserve">Everitt, Brian &amp; Torsten Hothorn. 2010. </w:t>
      </w:r>
      <w:r w:rsidRPr="006B6AAA">
        <w:rPr>
          <w:i/>
        </w:rPr>
        <w:t>A handbook of statistical analyses using R</w:t>
      </w:r>
      <w:r w:rsidRPr="00C7687B">
        <w:t>. 2nd ed. Boca Raton: CRC Press.</w:t>
      </w:r>
    </w:p>
    <w:p w14:paraId="00FB3980" w14:textId="77777777" w:rsidR="008F2F10" w:rsidRPr="00C7687B" w:rsidRDefault="008F2F10" w:rsidP="008F2F10">
      <w:pPr>
        <w:ind w:left="720" w:hanging="720"/>
      </w:pPr>
      <w:r w:rsidRPr="00C7687B">
        <w:t xml:space="preserve">Febvre, Lucien. 1984. </w:t>
      </w:r>
      <w:r w:rsidRPr="006B6AAA">
        <w:rPr>
          <w:i/>
        </w:rPr>
        <w:t>The coming of the book: the impact of printing, 1450-1800</w:t>
      </w:r>
      <w:r w:rsidRPr="00C7687B">
        <w:t>. London: Verso.</w:t>
      </w:r>
    </w:p>
    <w:p w14:paraId="40D98F09" w14:textId="77777777" w:rsidR="008F2F10" w:rsidRPr="00C7687B" w:rsidRDefault="008F2F10" w:rsidP="008F2F10">
      <w:pPr>
        <w:ind w:left="720" w:hanging="720"/>
      </w:pPr>
      <w:r w:rsidRPr="00C7687B">
        <w:t xml:space="preserve">Fisher, John H. 1996. </w:t>
      </w:r>
      <w:r w:rsidRPr="006B6AAA">
        <w:rPr>
          <w:i/>
        </w:rPr>
        <w:t>The emergence of a standard English</w:t>
      </w:r>
      <w:r w:rsidRPr="00C7687B">
        <w:t>. Kentucky: University Press of Kentucky.</w:t>
      </w:r>
    </w:p>
    <w:p w14:paraId="75511433" w14:textId="6D2E69C3" w:rsidR="008F2F10" w:rsidRPr="00C7687B" w:rsidRDefault="008F2F10" w:rsidP="008F2F10">
      <w:pPr>
        <w:ind w:left="720" w:hanging="720"/>
      </w:pPr>
      <w:r w:rsidRPr="008F2F10">
        <w:t xml:space="preserve">Fitzmaurice, Susan, Justyna A Robinson, Marc Alexander, Iona C Hine, Seth Mehl &amp; Fraser Dallachy. 2017. Linguistic DNA: Investigating conceptual change in Early Modern English discourse. </w:t>
      </w:r>
      <w:r w:rsidRPr="008F2F10">
        <w:rPr>
          <w:i/>
        </w:rPr>
        <w:t>Studia Neophilologica</w:t>
      </w:r>
      <w:r w:rsidR="004373CA">
        <w:t xml:space="preserve"> 89, supplement 1</w:t>
      </w:r>
      <w:r w:rsidRPr="008F2F10">
        <w:t xml:space="preserve">. </w:t>
      </w:r>
      <w:r w:rsidR="00D8256D">
        <w:t>1-18.</w:t>
      </w:r>
    </w:p>
    <w:p w14:paraId="4280DC37" w14:textId="77777777" w:rsidR="008F2F10" w:rsidRPr="00C7687B" w:rsidRDefault="008F2F10" w:rsidP="008F2F10">
      <w:pPr>
        <w:ind w:left="720" w:hanging="720"/>
      </w:pPr>
      <w:r>
        <w:t>Gadd, Ian. 2009. The use and m</w:t>
      </w:r>
      <w:r w:rsidRPr="00C7687B">
        <w:t xml:space="preserve">isuse of </w:t>
      </w:r>
      <w:r w:rsidRPr="002540DB">
        <w:rPr>
          <w:i/>
        </w:rPr>
        <w:t>Early English Books Online</w:t>
      </w:r>
      <w:r w:rsidRPr="00C7687B">
        <w:t xml:space="preserve">. </w:t>
      </w:r>
      <w:r w:rsidRPr="002540DB">
        <w:rPr>
          <w:i/>
        </w:rPr>
        <w:t>Literature Compass</w:t>
      </w:r>
      <w:r w:rsidRPr="00C7687B">
        <w:t xml:space="preserve"> 3(3). Blackwell Publishing Ltd. 680–692.</w:t>
      </w:r>
    </w:p>
    <w:p w14:paraId="648D1533" w14:textId="77777777" w:rsidR="008F2F10" w:rsidRPr="00C7687B" w:rsidRDefault="008F2F10" w:rsidP="008F2F10">
      <w:pPr>
        <w:ind w:left="720" w:hanging="720"/>
      </w:pPr>
      <w:r w:rsidRPr="00C7687B">
        <w:t xml:space="preserve">Gaskell, Philip. 1972. </w:t>
      </w:r>
      <w:r w:rsidRPr="002540DB">
        <w:rPr>
          <w:i/>
        </w:rPr>
        <w:t>A new introduction to bibliography</w:t>
      </w:r>
      <w:r w:rsidRPr="00C7687B">
        <w:t>. Oxford: Oxford University Press.</w:t>
      </w:r>
    </w:p>
    <w:p w14:paraId="137342F6" w14:textId="77777777" w:rsidR="008F2F10" w:rsidRPr="00C7687B" w:rsidRDefault="008F2F10" w:rsidP="008F2F10">
      <w:pPr>
        <w:ind w:left="720" w:hanging="720"/>
      </w:pPr>
      <w:r w:rsidRPr="00C7687B">
        <w:t xml:space="preserve">Gillespie, Vincent. 1989. Vernacular books of religion. In Jeremy Griffiths &amp; Derek Pearsall (eds.), </w:t>
      </w:r>
      <w:r w:rsidRPr="00F56940">
        <w:rPr>
          <w:i/>
        </w:rPr>
        <w:t>Book production and publishing in Britain</w:t>
      </w:r>
      <w:r w:rsidRPr="00C7687B">
        <w:t>, 317–345. Cambridge: Cambridge University Press.</w:t>
      </w:r>
    </w:p>
    <w:p w14:paraId="47DC8D64" w14:textId="77777777" w:rsidR="008F2F10" w:rsidRPr="00C7687B" w:rsidRDefault="008F2F10" w:rsidP="008F2F10">
      <w:pPr>
        <w:ind w:left="720" w:hanging="720"/>
      </w:pPr>
      <w:r w:rsidRPr="00C7687B">
        <w:t xml:space="preserve">Gower, John. 2006. </w:t>
      </w:r>
      <w:r>
        <w:rPr>
          <w:i/>
        </w:rPr>
        <w:t>Confessio a</w:t>
      </w:r>
      <w:r w:rsidRPr="00F56940">
        <w:rPr>
          <w:i/>
        </w:rPr>
        <w:t>mantis</w:t>
      </w:r>
      <w:r w:rsidRPr="00C7687B">
        <w:t>, Volume 1. (Ed.) Russell A. Peck. 2nd ed. Kalamazoo: Middle English Texts Series.</w:t>
      </w:r>
    </w:p>
    <w:p w14:paraId="73290DBE" w14:textId="77777777" w:rsidR="008F2F10" w:rsidRPr="00C7687B" w:rsidRDefault="008F2F10" w:rsidP="008F2F10">
      <w:pPr>
        <w:ind w:left="720" w:hanging="720"/>
      </w:pPr>
      <w:r w:rsidRPr="00C7687B">
        <w:t xml:space="preserve">Hart, John. 1569. </w:t>
      </w:r>
      <w:r>
        <w:rPr>
          <w:i/>
        </w:rPr>
        <w:t>An o</w:t>
      </w:r>
      <w:r w:rsidRPr="00F56940">
        <w:rPr>
          <w:i/>
        </w:rPr>
        <w:t>rthographie</w:t>
      </w:r>
      <w:r w:rsidRPr="00C7687B">
        <w:t>. Seres: London.</w:t>
      </w:r>
    </w:p>
    <w:p w14:paraId="090118C1" w14:textId="77777777" w:rsidR="008F2F10" w:rsidRPr="00C7687B" w:rsidRDefault="008F2F10" w:rsidP="008F2F10">
      <w:pPr>
        <w:ind w:left="720" w:hanging="720"/>
      </w:pPr>
      <w:r w:rsidRPr="00C7687B">
        <w:t xml:space="preserve">Hellinga, Lotte. 1982. </w:t>
      </w:r>
      <w:r w:rsidRPr="00F56940">
        <w:rPr>
          <w:i/>
        </w:rPr>
        <w:t>Caxton in focus: the beginning of printing in England</w:t>
      </w:r>
      <w:r w:rsidRPr="00C7687B">
        <w:t>. London: British Library.</w:t>
      </w:r>
    </w:p>
    <w:p w14:paraId="0A1F58CB" w14:textId="77777777" w:rsidR="008F2F10" w:rsidRPr="00C7687B" w:rsidRDefault="008F2F10" w:rsidP="008F2F10">
      <w:pPr>
        <w:ind w:left="720" w:hanging="720"/>
      </w:pPr>
      <w:r w:rsidRPr="00C7687B">
        <w:t xml:space="preserve">Hellinga, Lotte. 1983. Manuscripts in the hands of printers. In J. B. Trapp (ed.), </w:t>
      </w:r>
      <w:r w:rsidRPr="00F56940">
        <w:rPr>
          <w:i/>
        </w:rPr>
        <w:t>Manuscripts in the fifty years after the invention of printing</w:t>
      </w:r>
      <w:r w:rsidRPr="00C7687B">
        <w:t>, 3–12. London: University of London.</w:t>
      </w:r>
    </w:p>
    <w:p w14:paraId="4F4C09FE" w14:textId="77777777" w:rsidR="00BF741B" w:rsidRDefault="00BF741B" w:rsidP="008F2F10">
      <w:pPr>
        <w:ind w:left="720" w:hanging="720"/>
      </w:pPr>
      <w:r>
        <w:t>Hellinga, Lotte</w:t>
      </w:r>
      <w:r w:rsidRPr="000157C7">
        <w:t xml:space="preserve">. 1995. </w:t>
      </w:r>
      <w:r>
        <w:t>Wynkyn de Worde’s native land</w:t>
      </w:r>
      <w:r w:rsidRPr="000157C7">
        <w:t xml:space="preserve">. In Richard Beadle &amp; Alan J. Piper (eds.), </w:t>
      </w:r>
      <w:r w:rsidRPr="000157C7">
        <w:rPr>
          <w:i/>
          <w:iCs/>
        </w:rPr>
        <w:t>New science out of old books: manuscripts and early printed books. Essays in honour of A. I. Doyle</w:t>
      </w:r>
      <w:r>
        <w:t>, 342-359</w:t>
      </w:r>
      <w:r w:rsidRPr="000157C7">
        <w:t>. London: Scolar Press.</w:t>
      </w:r>
    </w:p>
    <w:p w14:paraId="6F9E0B75" w14:textId="33283B8D" w:rsidR="008F2F10" w:rsidRPr="00C7687B" w:rsidRDefault="008F2F10" w:rsidP="008F2F10">
      <w:pPr>
        <w:ind w:left="720" w:hanging="720"/>
      </w:pPr>
      <w:r w:rsidRPr="00C7687B">
        <w:t xml:space="preserve">Hellinga, Lotte. 2010. </w:t>
      </w:r>
      <w:r w:rsidRPr="00F56940">
        <w:rPr>
          <w:i/>
        </w:rPr>
        <w:t>William Caxton and early printing in England</w:t>
      </w:r>
      <w:r w:rsidRPr="00C7687B">
        <w:t>. London: British Library.</w:t>
      </w:r>
    </w:p>
    <w:p w14:paraId="1D2A6BAF" w14:textId="77777777" w:rsidR="008F2F10" w:rsidRPr="00C7687B" w:rsidRDefault="008F2F10" w:rsidP="008F2F10">
      <w:pPr>
        <w:ind w:left="720" w:hanging="720"/>
      </w:pPr>
      <w:r w:rsidRPr="00C7687B">
        <w:t xml:space="preserve">Hellinga, Lotte. 2014. </w:t>
      </w:r>
      <w:r w:rsidRPr="00F56940">
        <w:rPr>
          <w:i/>
        </w:rPr>
        <w:t>Texts in transit: manuscript to proof and print in the fifteenth century</w:t>
      </w:r>
      <w:r w:rsidRPr="00C7687B">
        <w:t>. Leiden: Brill.</w:t>
      </w:r>
    </w:p>
    <w:p w14:paraId="7F71ECDD" w14:textId="77777777" w:rsidR="008F2F10" w:rsidRPr="00C7687B" w:rsidRDefault="008F2F10" w:rsidP="008F2F10">
      <w:pPr>
        <w:ind w:left="720" w:hanging="720"/>
      </w:pPr>
      <w:r w:rsidRPr="00C7687B">
        <w:t xml:space="preserve">Hellinga, Lotte &amp; George D. Painter. 2007. </w:t>
      </w:r>
      <w:r w:rsidRPr="00F56940">
        <w:rPr>
          <w:i/>
        </w:rPr>
        <w:t>Catalogue of books printed in the XVth century now in the British Library. BMC Part XI: England</w:t>
      </w:r>
      <w:r>
        <w:t xml:space="preserve">. </w:t>
      </w:r>
      <w:r w:rsidRPr="00C7687B">
        <w:t>’t Goy-Houten: Hes &amp; de Graaf.</w:t>
      </w:r>
    </w:p>
    <w:p w14:paraId="5098E7C0" w14:textId="77777777" w:rsidR="008F2F10" w:rsidRDefault="008F2F10" w:rsidP="008F2F10">
      <w:pPr>
        <w:ind w:left="720" w:hanging="720"/>
      </w:pPr>
      <w:r w:rsidRPr="00C7687B">
        <w:t xml:space="preserve">Hilpert, Martin. 2010. The force dynamics of English complement clauses: a collostructional analysis. In Dylan Glynn &amp; Kerstin Fischer (eds.), </w:t>
      </w:r>
      <w:r w:rsidRPr="00F56940">
        <w:rPr>
          <w:i/>
        </w:rPr>
        <w:t xml:space="preserve">Quantitative </w:t>
      </w:r>
      <w:r w:rsidRPr="00F56940">
        <w:rPr>
          <w:i/>
        </w:rPr>
        <w:lastRenderedPageBreak/>
        <w:t>methods in cognitive semantics: corpus-driven approaches</w:t>
      </w:r>
      <w:r w:rsidRPr="00C7687B">
        <w:t>, 155–178. Berlin: de Gruyter Mouton.</w:t>
      </w:r>
    </w:p>
    <w:p w14:paraId="7D97D8A7" w14:textId="5F8D9967" w:rsidR="00AB0D86" w:rsidRPr="00C7687B" w:rsidRDefault="00360C8A" w:rsidP="00360C8A">
      <w:pPr>
        <w:ind w:left="720" w:hanging="720"/>
      </w:pPr>
      <w:r w:rsidRPr="00360C8A">
        <w:t xml:space="preserve">Hope, Jonathan &amp; Michael Witmore. 2014. Quantification and the language of later Shakespeare. </w:t>
      </w:r>
      <w:r w:rsidRPr="00360C8A">
        <w:rPr>
          <w:i/>
          <w:iCs/>
        </w:rPr>
        <w:t>Actes des congrès de la Société française Shakespeare</w:t>
      </w:r>
      <w:r w:rsidRPr="00360C8A">
        <w:t xml:space="preserve"> 31. 123–149.</w:t>
      </w:r>
    </w:p>
    <w:p w14:paraId="14FF8832" w14:textId="77777777" w:rsidR="008F2F10" w:rsidRPr="00C7687B" w:rsidRDefault="008F2F10" w:rsidP="008F2F10">
      <w:pPr>
        <w:ind w:left="720" w:hanging="720"/>
      </w:pPr>
      <w:r w:rsidRPr="00C7687B">
        <w:t xml:space="preserve">Horobin, Simon. 2000. The scribe of the Helmingham and Northumberland manuscripts of the Canterbury Tales. </w:t>
      </w:r>
      <w:r w:rsidRPr="00F56940">
        <w:rPr>
          <w:i/>
        </w:rPr>
        <w:t>Neophilologus</w:t>
      </w:r>
      <w:r w:rsidRPr="00C7687B">
        <w:t xml:space="preserve"> 84(3). 457–465.</w:t>
      </w:r>
    </w:p>
    <w:p w14:paraId="2A1898AB" w14:textId="77777777" w:rsidR="008F2F10" w:rsidRPr="00C7687B" w:rsidRDefault="008F2F10" w:rsidP="008F2F10">
      <w:pPr>
        <w:ind w:left="720" w:hanging="720"/>
      </w:pPr>
      <w:r w:rsidRPr="00C7687B">
        <w:t xml:space="preserve">Horobin, Simon. 2007. </w:t>
      </w:r>
      <w:r w:rsidRPr="00F56940">
        <w:rPr>
          <w:i/>
        </w:rPr>
        <w:t>The language of the Chaucer tradition</w:t>
      </w:r>
      <w:r w:rsidRPr="00C7687B">
        <w:t>. Cambridge: D. S. Brewer.</w:t>
      </w:r>
    </w:p>
    <w:p w14:paraId="0CA59BEF" w14:textId="77777777" w:rsidR="008F2F10" w:rsidRPr="00C7687B" w:rsidRDefault="008F2F10" w:rsidP="008F2F10">
      <w:pPr>
        <w:ind w:left="720" w:hanging="720"/>
      </w:pPr>
      <w:r w:rsidRPr="00C7687B">
        <w:t xml:space="preserve">Horobin, Simon. 2010. The professionalisation of writing. In Elain Treharne &amp; Greg Walker (eds.), </w:t>
      </w:r>
      <w:r w:rsidRPr="00F56940">
        <w:rPr>
          <w:i/>
        </w:rPr>
        <w:t>The Oxford handbook of medieval literature</w:t>
      </w:r>
      <w:r w:rsidRPr="00C7687B">
        <w:t>, 57–67. Oxford: Oxford University Press.</w:t>
      </w:r>
    </w:p>
    <w:p w14:paraId="485BE210" w14:textId="77777777" w:rsidR="008F2F10" w:rsidRPr="00C7687B" w:rsidRDefault="008F2F10" w:rsidP="008F2F10">
      <w:pPr>
        <w:ind w:left="720" w:hanging="720"/>
      </w:pPr>
      <w:r w:rsidRPr="00C7687B">
        <w:t xml:space="preserve">Horobin, Simon. 2011. Mapping the words. In Alexandra Gillespie &amp; Daniel Wakelin (eds.), </w:t>
      </w:r>
      <w:r w:rsidRPr="00F56940">
        <w:rPr>
          <w:i/>
        </w:rPr>
        <w:t>The production of books in England, 1350-1500</w:t>
      </w:r>
      <w:r w:rsidRPr="00C7687B">
        <w:t>, 59–78. Cambridge: Cambridge University Press.</w:t>
      </w:r>
    </w:p>
    <w:p w14:paraId="07FC492C" w14:textId="77777777" w:rsidR="008F2F10" w:rsidRPr="00C7687B" w:rsidRDefault="008F2F10" w:rsidP="008F2F10">
      <w:pPr>
        <w:ind w:left="720" w:hanging="720"/>
      </w:pPr>
      <w:r w:rsidRPr="00C7687B">
        <w:t xml:space="preserve">Horobin, Simon. 2013. Compiling the </w:t>
      </w:r>
      <w:r w:rsidRPr="00F56940">
        <w:rPr>
          <w:i/>
        </w:rPr>
        <w:t>Canterbury Tales</w:t>
      </w:r>
      <w:r w:rsidRPr="00C7687B">
        <w:t xml:space="preserve"> in fifteenth-century manuscripts. </w:t>
      </w:r>
      <w:r w:rsidRPr="00F56940">
        <w:rPr>
          <w:i/>
        </w:rPr>
        <w:t>Chaucer Review</w:t>
      </w:r>
      <w:r w:rsidRPr="00C7687B">
        <w:t xml:space="preserve"> 47. 372–389.</w:t>
      </w:r>
    </w:p>
    <w:p w14:paraId="748FC9CA" w14:textId="77777777" w:rsidR="008F2F10" w:rsidRPr="00C7687B" w:rsidRDefault="008F2F10" w:rsidP="008F2F10">
      <w:pPr>
        <w:ind w:left="720" w:hanging="720"/>
      </w:pPr>
      <w:r w:rsidRPr="00C7687B">
        <w:t xml:space="preserve">Horobin, Simon. 2016. The nature of material evidence. In Tim William Machan (ed.), </w:t>
      </w:r>
      <w:r>
        <w:rPr>
          <w:i/>
        </w:rPr>
        <w:t>Imagining m</w:t>
      </w:r>
      <w:r w:rsidRPr="00F56940">
        <w:rPr>
          <w:i/>
        </w:rPr>
        <w:t>edieval English: language structures and theories, 500-1500</w:t>
      </w:r>
      <w:r w:rsidRPr="00C7687B">
        <w:t>, 147–165. Cambridge: Cambridge University Press.</w:t>
      </w:r>
    </w:p>
    <w:p w14:paraId="4B3D3C0C" w14:textId="77777777" w:rsidR="008F2F10" w:rsidRPr="00C7687B" w:rsidRDefault="008F2F10" w:rsidP="008F2F10">
      <w:pPr>
        <w:ind w:left="720" w:hanging="720"/>
      </w:pPr>
      <w:r w:rsidRPr="00C7687B">
        <w:t xml:space="preserve">Horobin, Simon &amp; Daniel W. Mosser. 2005. Scribe D’s SW Midlands roots: a reconsideration. </w:t>
      </w:r>
      <w:r w:rsidRPr="00F56940">
        <w:rPr>
          <w:i/>
        </w:rPr>
        <w:t>Neuphilologische Mitteilungen</w:t>
      </w:r>
      <w:r w:rsidRPr="00C7687B">
        <w:t xml:space="preserve"> 106. 289–305.</w:t>
      </w:r>
    </w:p>
    <w:p w14:paraId="07358755" w14:textId="77777777" w:rsidR="008F2F10" w:rsidRPr="00C7687B" w:rsidRDefault="008F2F10" w:rsidP="008F2F10">
      <w:pPr>
        <w:ind w:left="720" w:hanging="720"/>
      </w:pPr>
      <w:r w:rsidRPr="00C7687B">
        <w:t xml:space="preserve">Hotchkiss, Valerie &amp; Fred C. Robinson. 2008. </w:t>
      </w:r>
      <w:r w:rsidRPr="00F56940">
        <w:rPr>
          <w:i/>
        </w:rPr>
        <w:t>English in print: from Caxton to Shakespeare to Milton.</w:t>
      </w:r>
      <w:r w:rsidRPr="00C7687B">
        <w:t xml:space="preserve"> Illinois: University of Illinois Press.</w:t>
      </w:r>
    </w:p>
    <w:p w14:paraId="2B957BBB" w14:textId="77777777" w:rsidR="008F2F10" w:rsidRPr="00C7687B" w:rsidRDefault="008F2F10" w:rsidP="008F2F10">
      <w:pPr>
        <w:ind w:left="720" w:hanging="720"/>
      </w:pPr>
      <w:r w:rsidRPr="00C7687B">
        <w:t xml:space="preserve">Jäger, Gerhard. 2012. Using statistics for cross-linguistic semantics: a quantitative investigation of the typology of colour naming systems. </w:t>
      </w:r>
      <w:r w:rsidRPr="00F56940">
        <w:rPr>
          <w:i/>
        </w:rPr>
        <w:t>Journal of Semantics</w:t>
      </w:r>
      <w:r w:rsidRPr="00C7687B">
        <w:t xml:space="preserve"> 29(4). 521–544.</w:t>
      </w:r>
    </w:p>
    <w:p w14:paraId="20B88316" w14:textId="77777777" w:rsidR="008F2F10" w:rsidRPr="00C7687B" w:rsidRDefault="008F2F10" w:rsidP="008F2F10">
      <w:pPr>
        <w:ind w:left="720" w:hanging="720"/>
      </w:pPr>
      <w:r w:rsidRPr="00C7687B">
        <w:t xml:space="preserve">Jensen, Kristian. 2014. Rood, Theodoric (fl. 1480–1484?). </w:t>
      </w:r>
      <w:r w:rsidRPr="00F56940">
        <w:rPr>
          <w:i/>
        </w:rPr>
        <w:t>Oxford Dictionary of National Biography</w:t>
      </w:r>
      <w:r w:rsidRPr="00C7687B">
        <w:t xml:space="preserve">. </w:t>
      </w:r>
      <w:r>
        <w:t xml:space="preserve">Oxford: </w:t>
      </w:r>
      <w:r w:rsidRPr="00C7687B">
        <w:t>Oxford University Press.</w:t>
      </w:r>
    </w:p>
    <w:p w14:paraId="6189A7C6" w14:textId="77777777" w:rsidR="008F2F10" w:rsidRPr="00C7687B" w:rsidRDefault="008F2F10" w:rsidP="008F2F10">
      <w:pPr>
        <w:ind w:left="720" w:hanging="720"/>
      </w:pPr>
      <w:r w:rsidRPr="00C7687B">
        <w:t xml:space="preserve">Johansson Falck, Marlene &amp; Raymond W. Gibbs Jr. 2013. Embodied motivations for metaphorical meanings. In Laura A. Janda (ed.), </w:t>
      </w:r>
      <w:r w:rsidRPr="00F56940">
        <w:rPr>
          <w:i/>
        </w:rPr>
        <w:t>Cognitive linguistics - the quantitative turn</w:t>
      </w:r>
      <w:r w:rsidRPr="00C7687B">
        <w:t>, 81–102. Berlin: de Gruyter Mouton.</w:t>
      </w:r>
    </w:p>
    <w:p w14:paraId="78F64D63" w14:textId="77777777" w:rsidR="008F2F10" w:rsidRPr="00C7687B" w:rsidRDefault="008F2F10" w:rsidP="008F2F10">
      <w:pPr>
        <w:ind w:left="720" w:hanging="720"/>
      </w:pPr>
      <w:r w:rsidRPr="00C7687B">
        <w:t xml:space="preserve">Juola, Patrick. 2008. Authorship attribution. </w:t>
      </w:r>
      <w:r w:rsidRPr="00F56940">
        <w:rPr>
          <w:i/>
        </w:rPr>
        <w:t>Foundations and Trends in Information Retrieval</w:t>
      </w:r>
      <w:r w:rsidRPr="00C7687B">
        <w:t xml:space="preserve"> 1(3). 233–334.</w:t>
      </w:r>
    </w:p>
    <w:p w14:paraId="1C03D5D7" w14:textId="1B13C1F7" w:rsidR="008F2F10" w:rsidRPr="00C7687B" w:rsidRDefault="008F2F10" w:rsidP="008F2F10">
      <w:pPr>
        <w:ind w:left="720" w:hanging="720"/>
      </w:pPr>
      <w:r w:rsidRPr="00C7687B">
        <w:t xml:space="preserve">Kaislaniemi, Samuli, Mel Evans, Teo Juvonen &amp; Anni Sairio. 2017. “A graphic system which leads its own linguistic life”? Epistolary spelling in English, 1400–1800. In Tanja Säily, Arja Nurmi, Minna Palander-Collin &amp; Anita Auer (eds.), </w:t>
      </w:r>
      <w:r w:rsidRPr="00F56940">
        <w:rPr>
          <w:i/>
        </w:rPr>
        <w:t>Exploring Future Paths for Historical Sociolinguistics.</w:t>
      </w:r>
      <w:r w:rsidRPr="00C7687B">
        <w:t xml:space="preserve"> Amsterdam: John Benjamins.</w:t>
      </w:r>
      <w:r>
        <w:t xml:space="preserve"> </w:t>
      </w:r>
    </w:p>
    <w:p w14:paraId="5A2F4AC8" w14:textId="77777777" w:rsidR="008F2F10" w:rsidRPr="00C7687B" w:rsidRDefault="008F2F10" w:rsidP="008F2F10">
      <w:pPr>
        <w:ind w:left="720" w:hanging="720"/>
      </w:pPr>
      <w:r w:rsidRPr="00C7687B">
        <w:lastRenderedPageBreak/>
        <w:t xml:space="preserve">Kerby-Fulton, Kathryn &amp; Steven Justice. 2001. Scribe D and the marketing of Ricardian literature. In Kathryn Kerby-Fulton &amp; M Hilmo (eds.), </w:t>
      </w:r>
      <w:r w:rsidRPr="00F56940">
        <w:rPr>
          <w:i/>
        </w:rPr>
        <w:t>The medieval professional reader at work: evidence from manuscripts of Chaucer, Langland, Kempe and Gower</w:t>
      </w:r>
      <w:r w:rsidRPr="00C7687B">
        <w:t>, 217–239. Victoria: University of Victoria.</w:t>
      </w:r>
    </w:p>
    <w:p w14:paraId="6354C4E7" w14:textId="77777777" w:rsidR="008F2F10" w:rsidRPr="00C7687B" w:rsidRDefault="008F2F10" w:rsidP="008F2F10">
      <w:pPr>
        <w:ind w:left="720" w:hanging="720"/>
      </w:pPr>
      <w:r w:rsidRPr="00C7687B">
        <w:t xml:space="preserve">Kessler, Brett. 2005. Phonetic comparison algorithms. </w:t>
      </w:r>
      <w:r w:rsidRPr="00F56940">
        <w:rPr>
          <w:i/>
        </w:rPr>
        <w:t>Transactions of the Philological Society</w:t>
      </w:r>
      <w:r w:rsidRPr="00C7687B">
        <w:t xml:space="preserve"> 103(2). 243 –60.</w:t>
      </w:r>
    </w:p>
    <w:p w14:paraId="4612C17C" w14:textId="77777777" w:rsidR="008F2F10" w:rsidRPr="00C7687B" w:rsidRDefault="008F2F10" w:rsidP="008F2F10">
      <w:pPr>
        <w:ind w:left="720" w:hanging="720"/>
      </w:pPr>
      <w:r w:rsidRPr="00C7687B">
        <w:t>Kestemont, Mike, Walter Daelemans &amp;</w:t>
      </w:r>
      <w:r>
        <w:t xml:space="preserve"> Dominiek Sandra. 2012. Robust rhymes? The stability of a</w:t>
      </w:r>
      <w:r w:rsidRPr="00C7687B">
        <w:t>uthori</w:t>
      </w:r>
      <w:r>
        <w:t>al style in medieval narratives</w:t>
      </w:r>
      <w:r w:rsidRPr="00C7687B">
        <w:t xml:space="preserve">. </w:t>
      </w:r>
      <w:r w:rsidRPr="00F56940">
        <w:rPr>
          <w:i/>
        </w:rPr>
        <w:t>Journal of Quantitative Linguistics</w:t>
      </w:r>
      <w:r w:rsidRPr="00C7687B">
        <w:t xml:space="preserve"> 19(1). 54–76.</w:t>
      </w:r>
    </w:p>
    <w:p w14:paraId="58959DA5" w14:textId="77777777" w:rsidR="008F2F10" w:rsidRPr="00C7687B" w:rsidRDefault="008F2F10" w:rsidP="008F2F10">
      <w:pPr>
        <w:ind w:left="720" w:hanging="720"/>
      </w:pPr>
      <w:r w:rsidRPr="00C7687B">
        <w:t>Kichu</w:t>
      </w:r>
      <w:r>
        <w:t>k, Diana. 2007. Metamorphosis: r</w:t>
      </w:r>
      <w:r w:rsidRPr="00C7687B">
        <w:t xml:space="preserve">emediation in </w:t>
      </w:r>
      <w:r w:rsidRPr="00F56940">
        <w:rPr>
          <w:i/>
        </w:rPr>
        <w:t>Early English Books Online</w:t>
      </w:r>
      <w:r w:rsidRPr="00C7687B">
        <w:t xml:space="preserve"> (</w:t>
      </w:r>
      <w:r w:rsidRPr="00F56940">
        <w:rPr>
          <w:i/>
        </w:rPr>
        <w:t>EEBO</w:t>
      </w:r>
      <w:r w:rsidRPr="00C7687B">
        <w:t xml:space="preserve">). </w:t>
      </w:r>
      <w:r w:rsidRPr="00F56940">
        <w:rPr>
          <w:i/>
        </w:rPr>
        <w:t>Literary and Linguistic Computing</w:t>
      </w:r>
      <w:r w:rsidRPr="00C7687B">
        <w:t xml:space="preserve"> 22(3). 291–303.</w:t>
      </w:r>
    </w:p>
    <w:p w14:paraId="7ECD967C" w14:textId="77777777" w:rsidR="008F2F10" w:rsidRPr="00C7687B" w:rsidRDefault="008F2F10" w:rsidP="008F2F10">
      <w:pPr>
        <w:ind w:left="720" w:hanging="720"/>
      </w:pPr>
      <w:r w:rsidRPr="00C7687B">
        <w:t>Kindrick, Robert L. 1997. Introd</w:t>
      </w:r>
      <w:r>
        <w:t>uction: Caxton, Malory, and an authentic Arthurian t</w:t>
      </w:r>
      <w:r w:rsidRPr="00C7687B">
        <w:t xml:space="preserve">ext. </w:t>
      </w:r>
      <w:r w:rsidRPr="00F56940">
        <w:rPr>
          <w:i/>
        </w:rPr>
        <w:t>Arthuriana</w:t>
      </w:r>
      <w:r w:rsidRPr="00C7687B">
        <w:t xml:space="preserve"> 7(1). 6–21.</w:t>
      </w:r>
    </w:p>
    <w:p w14:paraId="30130131" w14:textId="77777777" w:rsidR="008F2F10" w:rsidRDefault="008F2F10" w:rsidP="008F2F10">
      <w:pPr>
        <w:ind w:left="720" w:hanging="720"/>
      </w:pPr>
      <w:r w:rsidRPr="00C7687B">
        <w:t xml:space="preserve">Klavan, Jane. 2014. A multifactorial corpus analysis of grammatical synonymy: the Estonian adessive and adposition peal “on.” In Dylan Glynn &amp; Justyna A. Robinson (eds.), </w:t>
      </w:r>
      <w:r w:rsidRPr="000F36F6">
        <w:rPr>
          <w:i/>
        </w:rPr>
        <w:t>Corpus methods for semantics: quantitative studies in polysemy and synonymy</w:t>
      </w:r>
      <w:r w:rsidRPr="00C7687B">
        <w:t>, 253–278. Amsterdam: John Benjamins.</w:t>
      </w:r>
    </w:p>
    <w:p w14:paraId="64218F3D" w14:textId="77777777" w:rsidR="008F2F10" w:rsidRPr="004D1805" w:rsidRDefault="008F2F10" w:rsidP="008F2F10">
      <w:pPr>
        <w:ind w:left="720" w:hanging="720"/>
      </w:pPr>
      <w:r w:rsidRPr="004D1805">
        <w:t xml:space="preserve">Laing, Margaret. 1992. A linguistic atlas of early Middle English: the value of texts surviving in more than one version. In Matti Rissanen, Ossi Ihalainen, Terttu Nevalainen &amp; Irma Taavitsainen (eds.), </w:t>
      </w:r>
      <w:r w:rsidRPr="004D1805">
        <w:rPr>
          <w:i/>
          <w:iCs/>
        </w:rPr>
        <w:t>History of Englishes: new methods and interpretations in historical linguistics</w:t>
      </w:r>
      <w:r w:rsidRPr="004D1805">
        <w:t>, 566–581. Berlin: Mouton de Gruyter.</w:t>
      </w:r>
    </w:p>
    <w:p w14:paraId="7680FA36" w14:textId="77777777" w:rsidR="008F2F10" w:rsidRPr="00C7687B" w:rsidRDefault="008F2F10" w:rsidP="008F2F10">
      <w:pPr>
        <w:ind w:left="720" w:hanging="720"/>
      </w:pPr>
      <w:r w:rsidRPr="00C7687B">
        <w:t xml:space="preserve">Lange, Claudia. 2012. Standardization: standards in the history of English. In Alexander Bergs &amp; Laurie J. Brinton (eds.), </w:t>
      </w:r>
      <w:r w:rsidRPr="000F36F6">
        <w:rPr>
          <w:i/>
        </w:rPr>
        <w:t>English historical linguistics: an international handbook</w:t>
      </w:r>
      <w:r w:rsidRPr="00C7687B">
        <w:t>, 994–1006. Berlin: de Gruyter Mouton.</w:t>
      </w:r>
    </w:p>
    <w:p w14:paraId="4D0BEEC4" w14:textId="77777777" w:rsidR="008F2F10" w:rsidRPr="00C7687B" w:rsidRDefault="008F2F10" w:rsidP="008F2F10">
      <w:pPr>
        <w:ind w:left="720" w:hanging="720"/>
      </w:pPr>
      <w:r w:rsidRPr="00C7687B">
        <w:t xml:space="preserve">Macaulay, G. C. 1901. </w:t>
      </w:r>
      <w:r w:rsidRPr="000F36F6">
        <w:rPr>
          <w:i/>
        </w:rPr>
        <w:t>The complete works of John Gower, edited from the manuscripts with introductions, notes, and glossaries. Vol II: English Works</w:t>
      </w:r>
      <w:r w:rsidRPr="00C7687B">
        <w:t>. Oxford: Clarendon.</w:t>
      </w:r>
    </w:p>
    <w:p w14:paraId="5DD3A680" w14:textId="77777777" w:rsidR="008F2F10" w:rsidRPr="00C7687B" w:rsidRDefault="008F2F10" w:rsidP="008F2F10">
      <w:pPr>
        <w:ind w:left="720" w:hanging="720"/>
      </w:pPr>
      <w:r w:rsidRPr="00C7687B">
        <w:t>Machan, Tim William. 1997. The “Consolation” tradi</w:t>
      </w:r>
      <w:r>
        <w:t xml:space="preserve">tion and the text of Chaucer’s </w:t>
      </w:r>
      <w:r w:rsidRPr="000F36F6">
        <w:rPr>
          <w:i/>
        </w:rPr>
        <w:t>Boece</w:t>
      </w:r>
      <w:r>
        <w:t>.</w:t>
      </w:r>
      <w:r w:rsidRPr="00C7687B">
        <w:t xml:space="preserve"> </w:t>
      </w:r>
      <w:r>
        <w:rPr>
          <w:i/>
        </w:rPr>
        <w:t>The Papers of the Bibliographical S</w:t>
      </w:r>
      <w:r w:rsidRPr="000F36F6">
        <w:rPr>
          <w:i/>
        </w:rPr>
        <w:t>ociety of America</w:t>
      </w:r>
      <w:r w:rsidRPr="00C7687B">
        <w:t xml:space="preserve"> 91(1). 31–50.</w:t>
      </w:r>
    </w:p>
    <w:p w14:paraId="1BA7596A" w14:textId="77777777" w:rsidR="008F2F10" w:rsidRPr="00C7687B" w:rsidRDefault="008F2F10" w:rsidP="008F2F10">
      <w:pPr>
        <w:ind w:left="720" w:hanging="720"/>
      </w:pPr>
      <w:r w:rsidRPr="00C7687B">
        <w:t xml:space="preserve">Maguire, Warren &amp; April McMahon. 2011. Quantifying relations between dialects. In Warren Maguire &amp; April McMahon (eds.), </w:t>
      </w:r>
      <w:r w:rsidRPr="000F36F6">
        <w:rPr>
          <w:i/>
        </w:rPr>
        <w:t>Analysing variation in English</w:t>
      </w:r>
      <w:r w:rsidRPr="00C7687B">
        <w:t>, 93–120. Cambridge: Cambridge University Press.</w:t>
      </w:r>
    </w:p>
    <w:p w14:paraId="7E1DF3F9" w14:textId="77777777" w:rsidR="008F2F10" w:rsidRPr="00C7687B" w:rsidRDefault="008F2F10" w:rsidP="008F2F10">
      <w:pPr>
        <w:ind w:left="720" w:hanging="720"/>
      </w:pPr>
      <w:r w:rsidRPr="00C7687B">
        <w:t xml:space="preserve">Maguire, Warren, April McMahon, Paul Heggarty &amp; Dan Dediu. 2010. The past, present, and future of English dialects: quantifying convergence, divergence, and dynamic equilibrium. </w:t>
      </w:r>
      <w:r>
        <w:rPr>
          <w:i/>
        </w:rPr>
        <w:t>Language Variation and C</w:t>
      </w:r>
      <w:r w:rsidRPr="000F36F6">
        <w:rPr>
          <w:i/>
        </w:rPr>
        <w:t>hange</w:t>
      </w:r>
      <w:r w:rsidRPr="00C7687B">
        <w:t xml:space="preserve"> 22(1). 1–36.</w:t>
      </w:r>
    </w:p>
    <w:p w14:paraId="5E2587B3" w14:textId="77777777" w:rsidR="008F2F10" w:rsidRPr="00C7687B" w:rsidRDefault="008F2F10" w:rsidP="008F2F10">
      <w:pPr>
        <w:ind w:left="720" w:hanging="720"/>
      </w:pPr>
      <w:r w:rsidRPr="00C7687B">
        <w:lastRenderedPageBreak/>
        <w:t xml:space="preserve">Manly, John M. &amp; Edith Rickert. 1940a. </w:t>
      </w:r>
      <w:r w:rsidRPr="000F36F6">
        <w:rPr>
          <w:i/>
        </w:rPr>
        <w:t xml:space="preserve">The text of the </w:t>
      </w:r>
      <w:r w:rsidRPr="000F36F6">
        <w:t>Canterbury Tales</w:t>
      </w:r>
      <w:r w:rsidRPr="000F36F6">
        <w:rPr>
          <w:i/>
        </w:rPr>
        <w:t>, studied on the basis of all known manuscripts. Volume I: Descriptions of the manuscripts</w:t>
      </w:r>
      <w:r w:rsidRPr="00C7687B">
        <w:t>. Chicago: University of Chicago Press.</w:t>
      </w:r>
    </w:p>
    <w:p w14:paraId="60D3BBC3" w14:textId="77777777" w:rsidR="008F2F10" w:rsidRPr="00C7687B" w:rsidRDefault="008F2F10" w:rsidP="008F2F10">
      <w:pPr>
        <w:ind w:left="720" w:hanging="720"/>
      </w:pPr>
      <w:r w:rsidRPr="00C7687B">
        <w:t xml:space="preserve">Manly, John M. &amp; Edith Rickert. 1940b. </w:t>
      </w:r>
      <w:r w:rsidRPr="000F36F6">
        <w:rPr>
          <w:i/>
        </w:rPr>
        <w:t xml:space="preserve">The text of the </w:t>
      </w:r>
      <w:r w:rsidRPr="000F36F6">
        <w:t>Canterbury Tales</w:t>
      </w:r>
      <w:r w:rsidRPr="000F36F6">
        <w:rPr>
          <w:i/>
        </w:rPr>
        <w:t>, studied on the basis of all known manuscripts. Volume II: Classification of the manuscripts</w:t>
      </w:r>
      <w:r w:rsidRPr="00C7687B">
        <w:t>. Chicago: University of Chicago Press.</w:t>
      </w:r>
    </w:p>
    <w:p w14:paraId="35D70A99" w14:textId="77777777" w:rsidR="008F2F10" w:rsidRPr="00C7687B" w:rsidRDefault="008F2F10" w:rsidP="008F2F10">
      <w:pPr>
        <w:ind w:left="720" w:hanging="720"/>
      </w:pPr>
      <w:r w:rsidRPr="00C7687B">
        <w:t xml:space="preserve">Matheson, Lister. 1985. Printer and scribe: Caxton, the Polychronicon, and the Brut. </w:t>
      </w:r>
      <w:r w:rsidRPr="000F36F6">
        <w:rPr>
          <w:i/>
        </w:rPr>
        <w:t>Speculum</w:t>
      </w:r>
      <w:r w:rsidRPr="00C7687B">
        <w:t xml:space="preserve"> 60(3). 593–614.</w:t>
      </w:r>
    </w:p>
    <w:p w14:paraId="15BE527F" w14:textId="77777777" w:rsidR="008F2F10" w:rsidRPr="00C7687B" w:rsidRDefault="008F2F10" w:rsidP="008F2F10">
      <w:pPr>
        <w:ind w:left="720" w:hanging="720"/>
      </w:pPr>
      <w:r w:rsidRPr="00C7687B">
        <w:t xml:space="preserve">Matheson, Lister. 1998. </w:t>
      </w:r>
      <w:r w:rsidRPr="000F36F6">
        <w:rPr>
          <w:i/>
        </w:rPr>
        <w:t xml:space="preserve">The Prose </w:t>
      </w:r>
      <w:r w:rsidRPr="000F36F6">
        <w:t>Brut</w:t>
      </w:r>
      <w:r w:rsidRPr="000F36F6">
        <w:rPr>
          <w:i/>
        </w:rPr>
        <w:t>: the development of a Middle English chronicle</w:t>
      </w:r>
      <w:r w:rsidRPr="00C7687B">
        <w:t>. Tempe: Medieval and Renaissance Texts and Studies.</w:t>
      </w:r>
    </w:p>
    <w:p w14:paraId="416F8D7B" w14:textId="77777777" w:rsidR="008F2F10" w:rsidRPr="00C7687B" w:rsidRDefault="008F2F10" w:rsidP="008F2F10">
      <w:pPr>
        <w:ind w:left="720" w:hanging="720"/>
      </w:pPr>
      <w:r w:rsidRPr="00C7687B">
        <w:t xml:space="preserve">Matthews, William. 1997a. The beseiged printer. </w:t>
      </w:r>
      <w:r w:rsidRPr="000F36F6">
        <w:rPr>
          <w:i/>
        </w:rPr>
        <w:t>Arthuriana</w:t>
      </w:r>
      <w:r w:rsidRPr="00C7687B">
        <w:t xml:space="preserve"> 7(1). 63–92.</w:t>
      </w:r>
    </w:p>
    <w:p w14:paraId="6F937C20" w14:textId="77777777" w:rsidR="008F2F10" w:rsidRPr="00C7687B" w:rsidRDefault="008F2F10" w:rsidP="008F2F10">
      <w:pPr>
        <w:ind w:left="720" w:hanging="720"/>
      </w:pPr>
      <w:r w:rsidRPr="00C7687B">
        <w:t xml:space="preserve">Matthews, William. 1997b. A question of texts. </w:t>
      </w:r>
      <w:r w:rsidRPr="000F36F6">
        <w:rPr>
          <w:i/>
        </w:rPr>
        <w:t>Athuriana</w:t>
      </w:r>
      <w:r w:rsidRPr="00C7687B">
        <w:t xml:space="preserve"> 7(1). 93–113.</w:t>
      </w:r>
    </w:p>
    <w:p w14:paraId="080DCCAB" w14:textId="77777777" w:rsidR="008F2F10" w:rsidRPr="00C7687B" w:rsidRDefault="008F2F10" w:rsidP="008F2F10">
      <w:pPr>
        <w:ind w:left="720" w:hanging="720"/>
      </w:pPr>
      <w:r w:rsidRPr="00C7687B">
        <w:t xml:space="preserve">McIntosh, Angus, Michael Samuels &amp; Michael Benskin. 1986. </w:t>
      </w:r>
      <w:r w:rsidRPr="000F36F6">
        <w:rPr>
          <w:i/>
        </w:rPr>
        <w:t>A Linguistic Atlas of Late Mediaeval English</w:t>
      </w:r>
      <w:r>
        <w:t>, V</w:t>
      </w:r>
      <w:r w:rsidRPr="00C7687B">
        <w:t>ol I. Aberdeen: Aberdeen University Press.</w:t>
      </w:r>
    </w:p>
    <w:p w14:paraId="1471651C" w14:textId="77777777" w:rsidR="008F2F10" w:rsidRPr="00C7687B" w:rsidRDefault="008F2F10" w:rsidP="008F2F10">
      <w:pPr>
        <w:ind w:left="720" w:hanging="720"/>
      </w:pPr>
      <w:r w:rsidRPr="00C7687B">
        <w:t xml:space="preserve">Meurman-Solin, Anneli. 2000. Change from above or below? Mapping the loci of linguistic change in the history of Scottish English. In Laura Wright (ed.), </w:t>
      </w:r>
      <w:r w:rsidRPr="000F36F6">
        <w:rPr>
          <w:i/>
        </w:rPr>
        <w:t>The</w:t>
      </w:r>
      <w:r>
        <w:rPr>
          <w:i/>
        </w:rPr>
        <w:t xml:space="preserve"> d</w:t>
      </w:r>
      <w:r w:rsidRPr="000F36F6">
        <w:rPr>
          <w:i/>
        </w:rPr>
        <w:t>evelopment of Standard</w:t>
      </w:r>
      <w:r>
        <w:rPr>
          <w:i/>
        </w:rPr>
        <w:t xml:space="preserve"> English, 1300-1800: Theories, descriptions, c</w:t>
      </w:r>
      <w:r w:rsidRPr="000F36F6">
        <w:rPr>
          <w:i/>
        </w:rPr>
        <w:t>onflicts</w:t>
      </w:r>
      <w:r w:rsidRPr="00C7687B">
        <w:t>, 155–170. Cambridge: Cambridge University Press.</w:t>
      </w:r>
    </w:p>
    <w:p w14:paraId="5D40A45C" w14:textId="77777777" w:rsidR="008F2F10" w:rsidRPr="00C7687B" w:rsidRDefault="008F2F10" w:rsidP="008F2F10">
      <w:pPr>
        <w:ind w:left="720" w:hanging="720"/>
      </w:pPr>
      <w:r w:rsidRPr="00C7687B">
        <w:t xml:space="preserve">Moisl, Hermann. 2015. </w:t>
      </w:r>
      <w:r w:rsidRPr="000F36F6">
        <w:rPr>
          <w:i/>
        </w:rPr>
        <w:t>Cluster analysis for corpus linguistics</w:t>
      </w:r>
      <w:r w:rsidRPr="00C7687B">
        <w:t>. Berlin: de Gruyter Mouton.</w:t>
      </w:r>
    </w:p>
    <w:p w14:paraId="13EE3850" w14:textId="77777777" w:rsidR="008F2F10" w:rsidRPr="00C7687B" w:rsidRDefault="008F2F10" w:rsidP="008F2F10">
      <w:pPr>
        <w:ind w:left="720" w:hanging="720"/>
      </w:pPr>
      <w:r w:rsidRPr="00C7687B">
        <w:t xml:space="preserve">Moxon, Joseph. 1683. </w:t>
      </w:r>
      <w:r w:rsidRPr="000F36F6">
        <w:rPr>
          <w:i/>
        </w:rPr>
        <w:t>Mechanick exercises on the whole art of printing</w:t>
      </w:r>
      <w:r w:rsidRPr="00C7687B">
        <w:t>. London: Herbert Davis, Harry Carter.</w:t>
      </w:r>
    </w:p>
    <w:p w14:paraId="34F31534" w14:textId="77777777" w:rsidR="008F2F10" w:rsidRPr="00C7687B" w:rsidRDefault="008F2F10" w:rsidP="008F2F10">
      <w:pPr>
        <w:ind w:left="720" w:hanging="720"/>
      </w:pPr>
      <w:r w:rsidRPr="00C7687B">
        <w:t>Murtagh, Fionn &amp;</w:t>
      </w:r>
      <w:r>
        <w:t xml:space="preserve"> Pierre Legendre. 2014. Ward’s hierarchical agglomerative clustering method: Which algorithms i</w:t>
      </w:r>
      <w:r w:rsidRPr="00C7687B">
        <w:t xml:space="preserve">mplement </w:t>
      </w:r>
      <w:r>
        <w:t>Ward’s c</w:t>
      </w:r>
      <w:r w:rsidRPr="00C7687B">
        <w:t xml:space="preserve">riterion? </w:t>
      </w:r>
      <w:r w:rsidRPr="000F36F6">
        <w:rPr>
          <w:i/>
        </w:rPr>
        <w:t>Journal of Classification</w:t>
      </w:r>
      <w:r w:rsidRPr="00C7687B">
        <w:t xml:space="preserve"> 31(3). 274–295. </w:t>
      </w:r>
    </w:p>
    <w:p w14:paraId="6C8131F2" w14:textId="77777777" w:rsidR="008F2F10" w:rsidRPr="00C7687B" w:rsidRDefault="008F2F10" w:rsidP="008F2F10">
      <w:pPr>
        <w:ind w:left="720" w:hanging="720"/>
      </w:pPr>
      <w:r w:rsidRPr="00C7687B">
        <w:t xml:space="preserve">Needham, Paul. 1986. </w:t>
      </w:r>
      <w:r w:rsidRPr="000F36F6">
        <w:rPr>
          <w:i/>
        </w:rPr>
        <w:t>The printer and the pardoner</w:t>
      </w:r>
      <w:r w:rsidRPr="00C7687B">
        <w:t>. Washington: Library of Congress.</w:t>
      </w:r>
    </w:p>
    <w:p w14:paraId="33660AC0" w14:textId="77777777" w:rsidR="008F2F10" w:rsidRPr="00C7687B" w:rsidRDefault="008F2F10" w:rsidP="008F2F10">
      <w:pPr>
        <w:ind w:left="720" w:hanging="720"/>
      </w:pPr>
      <w:r w:rsidRPr="00C7687B">
        <w:t xml:space="preserve">Nerbonne, John &amp; Wilbert Heeringa. 2001. Computational comparison and classification of dialects. </w:t>
      </w:r>
      <w:r w:rsidRPr="000F36F6">
        <w:rPr>
          <w:i/>
        </w:rPr>
        <w:t>Dialectologia et Geolinguistica. Journal of the International Society for Dialectology and Geolinguistics</w:t>
      </w:r>
      <w:r w:rsidRPr="00C7687B">
        <w:t xml:space="preserve"> 9. 69 –83.</w:t>
      </w:r>
    </w:p>
    <w:p w14:paraId="6CB728B6" w14:textId="77777777" w:rsidR="008F2F10" w:rsidRPr="00C7687B" w:rsidRDefault="008F2F10" w:rsidP="008F2F10">
      <w:pPr>
        <w:ind w:left="720" w:hanging="720"/>
      </w:pPr>
      <w:r w:rsidRPr="00C7687B">
        <w:t xml:space="preserve">Nerbonne, John &amp; Peter Kleiweg. 2007. Toward a dialectological yardstick. </w:t>
      </w:r>
      <w:r w:rsidRPr="000F36F6">
        <w:rPr>
          <w:i/>
        </w:rPr>
        <w:t xml:space="preserve">Journal of Quantitative Linguistics </w:t>
      </w:r>
      <w:r w:rsidRPr="00C7687B">
        <w:t>14(2). 148 –67.</w:t>
      </w:r>
    </w:p>
    <w:p w14:paraId="49A1BA77" w14:textId="77777777" w:rsidR="008F2F10" w:rsidRPr="00C7687B" w:rsidRDefault="008F2F10" w:rsidP="008F2F10">
      <w:pPr>
        <w:ind w:left="720" w:hanging="720"/>
      </w:pPr>
      <w:r w:rsidRPr="00C7687B">
        <w:t xml:space="preserve">Nevalainen, Terttu. 2006. </w:t>
      </w:r>
      <w:r w:rsidRPr="000F36F6">
        <w:rPr>
          <w:i/>
        </w:rPr>
        <w:t>An introduction to Early Modern English</w:t>
      </w:r>
      <w:r w:rsidRPr="00C7687B">
        <w:t>. Edinburgh: Edinburgh University Press.</w:t>
      </w:r>
    </w:p>
    <w:p w14:paraId="5C7B33E1" w14:textId="77777777" w:rsidR="008F2F10" w:rsidRDefault="008F2F10" w:rsidP="008F2F10">
      <w:pPr>
        <w:ind w:left="720" w:hanging="720"/>
      </w:pPr>
      <w:r w:rsidRPr="00C7687B">
        <w:t xml:space="preserve">Nevalainen, Terttu &amp; Helena Raumolin-Brunberg. 1989. A corpus of Early Modern Standard English in a socio-historical perspective. </w:t>
      </w:r>
      <w:r w:rsidRPr="000F36F6">
        <w:rPr>
          <w:i/>
        </w:rPr>
        <w:t>Neuphilologische Mitteilungen</w:t>
      </w:r>
      <w:r w:rsidRPr="00C7687B">
        <w:t xml:space="preserve"> 90(1). 67–110.</w:t>
      </w:r>
    </w:p>
    <w:p w14:paraId="2ED00036" w14:textId="3745BFCD" w:rsidR="00B177C9" w:rsidRDefault="00B177C9" w:rsidP="00B177C9">
      <w:pPr>
        <w:ind w:left="720" w:hanging="720"/>
      </w:pPr>
      <w:r w:rsidRPr="00B177C9">
        <w:t xml:space="preserve">Neville-Sington, Pamela. 2008. Pynson, Richard (c.1449–1529/30). </w:t>
      </w:r>
      <w:r w:rsidRPr="00B177C9">
        <w:rPr>
          <w:i/>
          <w:iCs/>
        </w:rPr>
        <w:t>Oxford Dictionary of National Biography</w:t>
      </w:r>
      <w:r w:rsidRPr="00B177C9">
        <w:t xml:space="preserve">. </w:t>
      </w:r>
      <w:r>
        <w:t>Oxford: Oxford University Press.</w:t>
      </w:r>
    </w:p>
    <w:p w14:paraId="7D8237F8" w14:textId="77777777" w:rsidR="008F2F10" w:rsidRPr="00491C63" w:rsidRDefault="008F2F10" w:rsidP="008F2F10">
      <w:pPr>
        <w:ind w:left="720" w:hanging="720"/>
      </w:pPr>
      <w:r w:rsidRPr="00491C63">
        <w:lastRenderedPageBreak/>
        <w:t xml:space="preserve">Orton, Peter. 2000. </w:t>
      </w:r>
      <w:r w:rsidRPr="00491C63">
        <w:rPr>
          <w:i/>
          <w:iCs/>
        </w:rPr>
        <w:t>The transmission of Old English poetry</w:t>
      </w:r>
      <w:r w:rsidRPr="00491C63">
        <w:t>. Turnhout: Brepols.</w:t>
      </w:r>
    </w:p>
    <w:p w14:paraId="07AA2141" w14:textId="77777777" w:rsidR="008F2F10" w:rsidRDefault="008F2F10" w:rsidP="008F2F10">
      <w:pPr>
        <w:ind w:left="720" w:hanging="720"/>
      </w:pPr>
      <w:r>
        <w:t>Painter, George D. 1976</w:t>
      </w:r>
      <w:r w:rsidRPr="00C7687B">
        <w:t xml:space="preserve">. </w:t>
      </w:r>
      <w:r w:rsidRPr="000F36F6">
        <w:rPr>
          <w:i/>
        </w:rPr>
        <w:t>William Caxton: a quincentenary biography of England’s first printer</w:t>
      </w:r>
      <w:r w:rsidRPr="00C7687B">
        <w:t>. London: Chatto and Windus Ltd.</w:t>
      </w:r>
    </w:p>
    <w:p w14:paraId="24CA6D57" w14:textId="77777777" w:rsidR="008F2F10" w:rsidRPr="000157C7" w:rsidRDefault="008F2F10" w:rsidP="008F2F10">
      <w:pPr>
        <w:ind w:left="720" w:hanging="720"/>
      </w:pPr>
      <w:r w:rsidRPr="000157C7">
        <w:t xml:space="preserve">Parkes, Malcolm. 1995. Patterns of scribal activity and revisions of the text in early copies of works by John Gower. In Richard Beadle &amp; Alan J. Piper (eds.), </w:t>
      </w:r>
      <w:r w:rsidRPr="000157C7">
        <w:rPr>
          <w:i/>
          <w:iCs/>
        </w:rPr>
        <w:t>New science out of old books: manuscripts and early printed books. Essays in honour of A. I. Doyle</w:t>
      </w:r>
      <w:r w:rsidRPr="000157C7">
        <w:t>, 81–121. London: Scolar Press.</w:t>
      </w:r>
    </w:p>
    <w:p w14:paraId="04D17B53" w14:textId="77777777" w:rsidR="008F2F10" w:rsidRPr="00C7687B" w:rsidRDefault="008F2F10" w:rsidP="008F2F10">
      <w:pPr>
        <w:ind w:left="720" w:hanging="720"/>
      </w:pPr>
      <w:r w:rsidRPr="00C7687B">
        <w:t xml:space="preserve">Partridge, Stephen. 2011. Designing the page. In Alexandra Gillespie &amp; Daniel Wakelin (eds.), </w:t>
      </w:r>
      <w:r w:rsidRPr="000F36F6">
        <w:rPr>
          <w:i/>
        </w:rPr>
        <w:t>The production of books in England, 1350-1500</w:t>
      </w:r>
      <w:r w:rsidRPr="00C7687B">
        <w:t>, 79–103. Cambridge: Cambridge University Press.</w:t>
      </w:r>
    </w:p>
    <w:p w14:paraId="7374D506" w14:textId="77777777" w:rsidR="008F2F10" w:rsidRPr="00C7687B" w:rsidRDefault="008F2F10" w:rsidP="008F2F10">
      <w:pPr>
        <w:ind w:left="720" w:hanging="720"/>
      </w:pPr>
      <w:r w:rsidRPr="00C7687B">
        <w:t xml:space="preserve">Rissanen, Matti. 2000. Standardisation and the language of early statutes. In Laura Wright (ed.), </w:t>
      </w:r>
      <w:r>
        <w:rPr>
          <w:i/>
        </w:rPr>
        <w:t>The d</w:t>
      </w:r>
      <w:r w:rsidRPr="000F36F6">
        <w:rPr>
          <w:i/>
        </w:rPr>
        <w:t>evelopment of Standard</w:t>
      </w:r>
      <w:r>
        <w:rPr>
          <w:i/>
        </w:rPr>
        <w:t xml:space="preserve"> English, 1300-1800: Theories, descriptions, c</w:t>
      </w:r>
      <w:r w:rsidRPr="000F36F6">
        <w:rPr>
          <w:i/>
        </w:rPr>
        <w:t>onflicts</w:t>
      </w:r>
      <w:r w:rsidRPr="00C7687B">
        <w:t>, 117–130. Cambridge: Cambridge University Press.</w:t>
      </w:r>
    </w:p>
    <w:p w14:paraId="641D3805" w14:textId="77777777" w:rsidR="008F2F10" w:rsidRPr="00C7687B" w:rsidRDefault="008F2F10" w:rsidP="008F2F10">
      <w:pPr>
        <w:ind w:left="720" w:hanging="720"/>
      </w:pPr>
      <w:r w:rsidRPr="00C7687B">
        <w:t xml:space="preserve">Ruette, Tom, Dirk Speelman &amp; Dirk Geeraerts. 2014. Lexical variation in aggregate perspective. In Augusto Soares da Silva (ed.), </w:t>
      </w:r>
      <w:r>
        <w:rPr>
          <w:i/>
        </w:rPr>
        <w:t>Pluricentricity: Language variation and sociocognitive d</w:t>
      </w:r>
      <w:r w:rsidRPr="000F36F6">
        <w:rPr>
          <w:i/>
        </w:rPr>
        <w:t>imensions</w:t>
      </w:r>
      <w:r w:rsidRPr="00C7687B">
        <w:t>, 95–116. Berlin: de Gruyter.</w:t>
      </w:r>
    </w:p>
    <w:p w14:paraId="4FFB06EF" w14:textId="77777777" w:rsidR="008F2F10" w:rsidRPr="00C7687B" w:rsidRDefault="008F2F10" w:rsidP="008F2F10">
      <w:pPr>
        <w:ind w:left="720" w:hanging="720"/>
      </w:pPr>
      <w:r w:rsidRPr="00C7687B">
        <w:t xml:space="preserve">Salmon, Vivian. 2000. Orthography and punctuation. In Roger Lass (ed.), </w:t>
      </w:r>
      <w:r w:rsidRPr="000F36F6">
        <w:rPr>
          <w:i/>
        </w:rPr>
        <w:t>The Cambridge history of the English language, vol III: 1476-1776</w:t>
      </w:r>
      <w:r w:rsidRPr="00C7687B">
        <w:t>, 13–55. Cambridge: Cambridge University Press.</w:t>
      </w:r>
    </w:p>
    <w:p w14:paraId="6C45E6F9" w14:textId="77777777" w:rsidR="008F2F10" w:rsidRPr="00C7687B" w:rsidRDefault="008F2F10" w:rsidP="008F2F10">
      <w:pPr>
        <w:ind w:left="720" w:hanging="720"/>
      </w:pPr>
      <w:r w:rsidRPr="00C7687B">
        <w:t xml:space="preserve">Samuels, Michael. 1963. Some applications of Middle English dialectology. </w:t>
      </w:r>
      <w:r>
        <w:rPr>
          <w:i/>
        </w:rPr>
        <w:t>English S</w:t>
      </w:r>
      <w:r w:rsidRPr="000F36F6">
        <w:rPr>
          <w:i/>
        </w:rPr>
        <w:t>tudies</w:t>
      </w:r>
      <w:r w:rsidRPr="00C7687B">
        <w:t xml:space="preserve"> 44. 81–94.</w:t>
      </w:r>
    </w:p>
    <w:p w14:paraId="50BACABA" w14:textId="77777777" w:rsidR="008F2F10" w:rsidRPr="00C7687B" w:rsidRDefault="008F2F10" w:rsidP="008F2F10">
      <w:pPr>
        <w:ind w:left="720" w:hanging="720"/>
      </w:pPr>
      <w:r w:rsidRPr="00C7687B">
        <w:t xml:space="preserve">Samuels, Michael. 1985. Langland’s dialect. </w:t>
      </w:r>
      <w:r>
        <w:rPr>
          <w:i/>
        </w:rPr>
        <w:t xml:space="preserve">Medium </w:t>
      </w:r>
      <w:r w:rsidRPr="001E0A86">
        <w:rPr>
          <w:i/>
        </w:rPr>
        <w:t>Æ</w:t>
      </w:r>
      <w:r w:rsidRPr="000F36F6">
        <w:rPr>
          <w:i/>
        </w:rPr>
        <w:t>vum</w:t>
      </w:r>
      <w:r w:rsidRPr="00C7687B">
        <w:t xml:space="preserve"> 54. 232–247.</w:t>
      </w:r>
    </w:p>
    <w:p w14:paraId="29002D8B" w14:textId="77777777" w:rsidR="008F2F10" w:rsidRPr="00C7687B" w:rsidRDefault="008F2F10" w:rsidP="008F2F10">
      <w:pPr>
        <w:ind w:left="720" w:hanging="720"/>
      </w:pPr>
      <w:r w:rsidRPr="00C7687B">
        <w:t xml:space="preserve">Samuels, Michael. 1988. Spelling and dialect in the late and post-Middle English periods. In Michael L Samuels &amp; Jeremy J Smith (eds.), </w:t>
      </w:r>
      <w:r w:rsidRPr="000F36F6">
        <w:rPr>
          <w:i/>
        </w:rPr>
        <w:t>The English of Chaucer and his contemporaries</w:t>
      </w:r>
      <w:r w:rsidRPr="00C7687B">
        <w:t>, 86–96. Aberdeen: Aberdeen University Press.</w:t>
      </w:r>
    </w:p>
    <w:p w14:paraId="06DFFD86" w14:textId="77777777" w:rsidR="008F2F10" w:rsidRPr="00C7687B" w:rsidRDefault="008F2F10" w:rsidP="008F2F10">
      <w:pPr>
        <w:ind w:left="720" w:hanging="720"/>
      </w:pPr>
      <w:r w:rsidRPr="00C7687B">
        <w:t xml:space="preserve">Schönefeld, Doris. 2008. From conceptualization to linguistic expression: where languages diversify. In Stefan Th. Gries &amp; Anatol Stefanowitsch (eds.), </w:t>
      </w:r>
      <w:r w:rsidRPr="00F02C9E">
        <w:rPr>
          <w:i/>
        </w:rPr>
        <w:t>Corpora in cognitive linguistics: corpus-based approaches to syntax and lexis</w:t>
      </w:r>
      <w:r w:rsidRPr="00C7687B">
        <w:t>, 297–344. Berlin: de Gruyter Mouton.</w:t>
      </w:r>
    </w:p>
    <w:p w14:paraId="5A0DB0DB" w14:textId="77777777" w:rsidR="008F2F10" w:rsidRPr="00C7687B" w:rsidRDefault="008F2F10" w:rsidP="008F2F10">
      <w:pPr>
        <w:ind w:left="720" w:hanging="720"/>
      </w:pPr>
      <w:r w:rsidRPr="00C7687B">
        <w:t xml:space="preserve">Scragg, Donald George. 1974. </w:t>
      </w:r>
      <w:r w:rsidRPr="00F02C9E">
        <w:rPr>
          <w:i/>
        </w:rPr>
        <w:t>A history of English spelling</w:t>
      </w:r>
      <w:r w:rsidRPr="00C7687B">
        <w:t>. Manchester: Manchester University Press.</w:t>
      </w:r>
    </w:p>
    <w:p w14:paraId="5A469DB8" w14:textId="77777777" w:rsidR="008F2F10" w:rsidRDefault="008F2F10" w:rsidP="008F2F10">
      <w:pPr>
        <w:ind w:left="720" w:hanging="720"/>
      </w:pPr>
      <w:r w:rsidRPr="00C7687B">
        <w:t xml:space="preserve">Shaklee, Margaret. 1980. The rise of the standard English. In Timothy Shopen &amp; Joseph Williams (eds.), </w:t>
      </w:r>
      <w:r w:rsidRPr="00F02C9E">
        <w:rPr>
          <w:i/>
        </w:rPr>
        <w:t>Standards and dialects in English</w:t>
      </w:r>
      <w:r w:rsidRPr="00C7687B">
        <w:t>, 33–63. Cambridge, Mass.: Winthrop.</w:t>
      </w:r>
    </w:p>
    <w:p w14:paraId="621D85B7" w14:textId="77777777" w:rsidR="008F2F10" w:rsidRPr="00F04EB5" w:rsidRDefault="008F2F10" w:rsidP="008F2F10">
      <w:pPr>
        <w:ind w:left="720" w:hanging="720"/>
      </w:pPr>
      <w:r w:rsidRPr="00F04EB5">
        <w:t xml:space="preserve">Shonk, Timothy. 1985. A study of the Auchinleck manuscript: bookmen and bookmaking in the fourteenth century. </w:t>
      </w:r>
      <w:r w:rsidRPr="00F04EB5">
        <w:rPr>
          <w:i/>
          <w:iCs/>
        </w:rPr>
        <w:t>Speculum</w:t>
      </w:r>
      <w:r w:rsidRPr="00F04EB5">
        <w:t xml:space="preserve"> 60. 71–91.</w:t>
      </w:r>
    </w:p>
    <w:p w14:paraId="219FB093" w14:textId="77777777" w:rsidR="008F2F10" w:rsidRPr="00C7687B" w:rsidRDefault="008F2F10" w:rsidP="008F2F10">
      <w:pPr>
        <w:ind w:left="720" w:hanging="720"/>
      </w:pPr>
      <w:r w:rsidRPr="00C7687B">
        <w:lastRenderedPageBreak/>
        <w:t xml:space="preserve">Shute, Rosie. 2017. Pressed for space: the effects of justification and the printing process on fifteenth-century orthography. </w:t>
      </w:r>
      <w:r w:rsidRPr="00F02C9E">
        <w:rPr>
          <w:i/>
        </w:rPr>
        <w:t>English Studies</w:t>
      </w:r>
      <w:r w:rsidRPr="00C7687B">
        <w:t xml:space="preserve"> 98(3). 262–282.</w:t>
      </w:r>
    </w:p>
    <w:p w14:paraId="0645AAE2" w14:textId="77777777" w:rsidR="008F2F10" w:rsidRPr="00C7687B" w:rsidRDefault="008F2F10" w:rsidP="008F2F10">
      <w:pPr>
        <w:ind w:left="720" w:hanging="720"/>
      </w:pPr>
      <w:r w:rsidRPr="00C7687B">
        <w:t xml:space="preserve">Smith, Jeremy J. 1988. Spelling and tradition in fifteenth-century copies of Gower’s </w:t>
      </w:r>
      <w:r w:rsidRPr="00F02C9E">
        <w:rPr>
          <w:i/>
        </w:rPr>
        <w:t>Confessio Amantis</w:t>
      </w:r>
      <w:r w:rsidRPr="00C7687B">
        <w:t xml:space="preserve">. In Michael Samuels &amp; Jeremy J. Smith (eds.), </w:t>
      </w:r>
      <w:r w:rsidRPr="00F02C9E">
        <w:rPr>
          <w:i/>
        </w:rPr>
        <w:t>The English of Chaucer and his contemporaries</w:t>
      </w:r>
      <w:r w:rsidRPr="00F02C9E">
        <w:t>,</w:t>
      </w:r>
      <w:r w:rsidRPr="00C7687B">
        <w:t xml:space="preserve"> 96–113. Aberdeen: Aberdeen University Press.</w:t>
      </w:r>
    </w:p>
    <w:p w14:paraId="39B94B69" w14:textId="77777777" w:rsidR="008F2F10" w:rsidRPr="00C7687B" w:rsidRDefault="008F2F10" w:rsidP="008F2F10">
      <w:pPr>
        <w:ind w:left="720" w:hanging="720"/>
      </w:pPr>
      <w:r w:rsidRPr="00C7687B">
        <w:t xml:space="preserve">Smith, Jeremy J. 1997. Dialect and standardisation in the Waseda manuscript of Nicholas Love’s </w:t>
      </w:r>
      <w:r w:rsidRPr="00F02C9E">
        <w:rPr>
          <w:i/>
        </w:rPr>
        <w:t>Mirror of the Blesed Life of Jesus Christ</w:t>
      </w:r>
      <w:r w:rsidRPr="00C7687B">
        <w:t xml:space="preserve">. In Shoichi Oguro, Richard Beadle &amp; Michael Sargent (eds.), </w:t>
      </w:r>
      <w:r w:rsidRPr="00F02C9E">
        <w:rPr>
          <w:i/>
        </w:rPr>
        <w:t>Nicholas Love at Waseda: proceedings of the international conference</w:t>
      </w:r>
      <w:r w:rsidRPr="00C7687B">
        <w:t xml:space="preserve"> </w:t>
      </w:r>
      <w:r w:rsidRPr="00F02C9E">
        <w:rPr>
          <w:i/>
        </w:rPr>
        <w:t>20-22 July 1995</w:t>
      </w:r>
      <w:r w:rsidRPr="00C7687B">
        <w:t>, 129–143. Cambridge: D. S. Brewer.</w:t>
      </w:r>
    </w:p>
    <w:p w14:paraId="148ED489" w14:textId="77777777" w:rsidR="008F2F10" w:rsidRPr="00C7687B" w:rsidRDefault="008F2F10" w:rsidP="008F2F10">
      <w:pPr>
        <w:ind w:left="720" w:hanging="720"/>
      </w:pPr>
      <w:r w:rsidRPr="00C7687B">
        <w:t xml:space="preserve">Smith, Jeremy J. 2012. From Middle to Early Modern English. In Lynda Mugglestone (ed.), </w:t>
      </w:r>
      <w:r w:rsidRPr="00F02C9E">
        <w:rPr>
          <w:i/>
        </w:rPr>
        <w:t xml:space="preserve">The Oxford </w:t>
      </w:r>
      <w:r>
        <w:rPr>
          <w:i/>
        </w:rPr>
        <w:t>h</w:t>
      </w:r>
      <w:r w:rsidRPr="00F02C9E">
        <w:rPr>
          <w:i/>
        </w:rPr>
        <w:t>istory of English</w:t>
      </w:r>
      <w:r w:rsidRPr="00C7687B">
        <w:t>, 147–179. 2nd editio</w:t>
      </w:r>
      <w:r>
        <w:t>n</w:t>
      </w:r>
      <w:r w:rsidRPr="00C7687B">
        <w:t>. Oxford: Oxford University Press.</w:t>
      </w:r>
    </w:p>
    <w:p w14:paraId="467C59FF" w14:textId="77777777" w:rsidR="008F2F10" w:rsidRPr="00C7687B" w:rsidRDefault="008F2F10" w:rsidP="008F2F10">
      <w:pPr>
        <w:ind w:left="720" w:hanging="720"/>
      </w:pPr>
      <w:r w:rsidRPr="00C7687B">
        <w:t xml:space="preserve">Smith, Jeremy J. &amp; Michael Samuels. 1981. The language of Gower. </w:t>
      </w:r>
      <w:r w:rsidRPr="00F02C9E">
        <w:rPr>
          <w:i/>
        </w:rPr>
        <w:t xml:space="preserve">Neuphilologische Mitteilungen </w:t>
      </w:r>
      <w:r w:rsidRPr="00C7687B">
        <w:t>82. 295–304.</w:t>
      </w:r>
    </w:p>
    <w:p w14:paraId="0EC42BF1" w14:textId="17C1FD4B" w:rsidR="00BF3CE6" w:rsidRPr="00BF3CE6" w:rsidRDefault="00BF3CE6" w:rsidP="00BF3CE6">
      <w:pPr>
        <w:ind w:left="720" w:hanging="720"/>
      </w:pPr>
      <w:r w:rsidRPr="00BF3CE6">
        <w:t>Steinberg, S</w:t>
      </w:r>
      <w:r>
        <w:t>igfrid</w:t>
      </w:r>
      <w:r w:rsidRPr="00BF3CE6">
        <w:t xml:space="preserve">. H. 1996. </w:t>
      </w:r>
      <w:r w:rsidRPr="00BF3CE6">
        <w:rPr>
          <w:i/>
          <w:iCs/>
        </w:rPr>
        <w:t>Five hundred years of printing</w:t>
      </w:r>
      <w:r>
        <w:t>. 2</w:t>
      </w:r>
      <w:r w:rsidRPr="00BF3CE6">
        <w:rPr>
          <w:vertAlign w:val="superscript"/>
        </w:rPr>
        <w:t>nd</w:t>
      </w:r>
      <w:r>
        <w:t xml:space="preserve"> edn, rev. John Trevitt.</w:t>
      </w:r>
      <w:r w:rsidRPr="00BF3CE6">
        <w:t xml:space="preserve"> London: British Library.</w:t>
      </w:r>
    </w:p>
    <w:p w14:paraId="2B955764" w14:textId="6A247EC1" w:rsidR="008F2F10" w:rsidRDefault="008F2F10" w:rsidP="008F2F10">
      <w:pPr>
        <w:ind w:left="720" w:hanging="720"/>
      </w:pPr>
      <w:r>
        <w:t>Stubbs, Estelle. 2007. ‘Here’</w:t>
      </w:r>
      <w:r w:rsidRPr="00C7687B">
        <w:t xml:space="preserve">s one I prepared earlier’: The work of Scribe D on Oxford, Corpus Christi College, MS 198. </w:t>
      </w:r>
      <w:r w:rsidRPr="00F02C9E">
        <w:rPr>
          <w:i/>
        </w:rPr>
        <w:t xml:space="preserve">Review of English </w:t>
      </w:r>
      <w:r>
        <w:rPr>
          <w:i/>
        </w:rPr>
        <w:t>S</w:t>
      </w:r>
      <w:r w:rsidRPr="00F02C9E">
        <w:rPr>
          <w:i/>
        </w:rPr>
        <w:t>tudies</w:t>
      </w:r>
      <w:r w:rsidRPr="00C7687B">
        <w:t xml:space="preserve"> 58</w:t>
      </w:r>
      <w:r w:rsidR="00BF3CE6">
        <w:t xml:space="preserve"> </w:t>
      </w:r>
      <w:r w:rsidRPr="00C7687B">
        <w:t>(234). 133–153.</w:t>
      </w:r>
    </w:p>
    <w:p w14:paraId="77E62586" w14:textId="51DD989C" w:rsidR="00BC2828" w:rsidRPr="00BC2828" w:rsidRDefault="00BC2828" w:rsidP="00BC2828">
      <w:pPr>
        <w:ind w:left="720" w:hanging="720"/>
      </w:pPr>
      <w:r w:rsidRPr="00BC2828">
        <w:t xml:space="preserve">Suarez, Michael F. 2014. Book history from descriptive bibliographies. In Leslie Howsam (ed.), </w:t>
      </w:r>
      <w:r w:rsidRPr="00BC2828">
        <w:rPr>
          <w:i/>
          <w:iCs/>
        </w:rPr>
        <w:t>The Cambridge Companion to the History of the Book</w:t>
      </w:r>
      <w:r w:rsidRPr="00BC2828">
        <w:t>, 199–218. Cambridge: Cambridge University Press.</w:t>
      </w:r>
      <w:r>
        <w:t xml:space="preserve"> </w:t>
      </w:r>
    </w:p>
    <w:p w14:paraId="398DBE76" w14:textId="729A8669" w:rsidR="006B042F" w:rsidRPr="006B042F" w:rsidRDefault="006B042F" w:rsidP="006B042F">
      <w:pPr>
        <w:ind w:left="720" w:hanging="720"/>
        <w:rPr>
          <w:i/>
          <w:iCs/>
        </w:rPr>
      </w:pPr>
      <w:r w:rsidRPr="006B042F">
        <w:t>Tedder, H</w:t>
      </w:r>
      <w:r>
        <w:t xml:space="preserve">. R. 2004. Notary, Julian (b. c. </w:t>
      </w:r>
      <w:r w:rsidRPr="006B042F">
        <w:t xml:space="preserve">1455, d. in or after 1523). </w:t>
      </w:r>
      <w:r>
        <w:t xml:space="preserve">rev. Norman Blake. </w:t>
      </w:r>
      <w:r w:rsidRPr="006B042F">
        <w:rPr>
          <w:i/>
          <w:iCs/>
        </w:rPr>
        <w:t>Oxford Dictionary of National Biography</w:t>
      </w:r>
      <w:r w:rsidRPr="006B042F">
        <w:t>. Oxford University Press.</w:t>
      </w:r>
    </w:p>
    <w:p w14:paraId="1B46634F" w14:textId="77777777" w:rsidR="008F2F10" w:rsidRPr="00C7687B" w:rsidRDefault="008F2F10" w:rsidP="008F2F10">
      <w:pPr>
        <w:ind w:left="720" w:hanging="720"/>
      </w:pPr>
      <w:r w:rsidRPr="00C7687B">
        <w:t xml:space="preserve">Th. Gries, Stefan. 2017. </w:t>
      </w:r>
      <w:r w:rsidRPr="00F02C9E">
        <w:rPr>
          <w:i/>
        </w:rPr>
        <w:t>Ten lectures on quantitative approaches in cognitive linguistics: corpus-linguistic, experimental, and statistical applications</w:t>
      </w:r>
      <w:r w:rsidRPr="00C7687B">
        <w:t>. Leiden: Brill.</w:t>
      </w:r>
    </w:p>
    <w:p w14:paraId="765C8837" w14:textId="77777777" w:rsidR="008F2F10" w:rsidRPr="00C7687B" w:rsidRDefault="008F2F10" w:rsidP="008F2F10">
      <w:pPr>
        <w:ind w:left="720" w:hanging="720"/>
      </w:pPr>
      <w:r w:rsidRPr="00C7687B">
        <w:t xml:space="preserve">Th. Gries, Stefan &amp; Martin Hilpert. 2008. The identification of stages in diachronic data: variability-based neighbour clustering. </w:t>
      </w:r>
      <w:r w:rsidRPr="00F02C9E">
        <w:rPr>
          <w:i/>
        </w:rPr>
        <w:t>Corpora</w:t>
      </w:r>
      <w:r w:rsidRPr="00C7687B">
        <w:t xml:space="preserve"> 3(1). 59–81. </w:t>
      </w:r>
    </w:p>
    <w:p w14:paraId="56E2A0DD" w14:textId="77777777" w:rsidR="008F2F10" w:rsidRPr="00C7687B" w:rsidRDefault="008F2F10" w:rsidP="008F2F10">
      <w:pPr>
        <w:ind w:left="720" w:hanging="720"/>
      </w:pPr>
      <w:r w:rsidRPr="00C7687B">
        <w:t xml:space="preserve">Thaisen, Jacob. 2012a. A probabilistic analysis of a Middle English text. </w:t>
      </w:r>
      <w:r w:rsidRPr="00F02C9E">
        <w:rPr>
          <w:i/>
        </w:rPr>
        <w:t>New Technologies in Medieval and Renaissance Studies</w:t>
      </w:r>
      <w:r w:rsidRPr="00C7687B">
        <w:t xml:space="preserve"> 3. 171–200.</w:t>
      </w:r>
    </w:p>
    <w:p w14:paraId="4F4213ED" w14:textId="77777777" w:rsidR="008F2F10" w:rsidRPr="00C7687B" w:rsidRDefault="008F2F10" w:rsidP="008F2F10">
      <w:pPr>
        <w:ind w:left="720" w:hanging="720"/>
      </w:pPr>
      <w:r w:rsidRPr="00C7687B">
        <w:t>Th</w:t>
      </w:r>
      <w:r>
        <w:t>aisen, Jacob. 2012b. Gamelyn’s place among the early e</w:t>
      </w:r>
      <w:r w:rsidRPr="00C7687B">
        <w:t xml:space="preserve">xemplars for Chaucer’s </w:t>
      </w:r>
      <w:r w:rsidRPr="00F02C9E">
        <w:rPr>
          <w:i/>
        </w:rPr>
        <w:t>Canterbury Tales</w:t>
      </w:r>
      <w:r w:rsidRPr="00C7687B">
        <w:t xml:space="preserve">. </w:t>
      </w:r>
      <w:r w:rsidRPr="00F02C9E">
        <w:rPr>
          <w:i/>
        </w:rPr>
        <w:t>Neophilologus</w:t>
      </w:r>
      <w:r w:rsidRPr="00C7687B">
        <w:t xml:space="preserve"> 97(2). 395–415.</w:t>
      </w:r>
    </w:p>
    <w:p w14:paraId="35035C8A" w14:textId="77777777" w:rsidR="008F2F10" w:rsidRPr="00C7687B" w:rsidRDefault="008F2F10" w:rsidP="008F2F10">
      <w:pPr>
        <w:ind w:left="720" w:hanging="720"/>
      </w:pPr>
      <w:r>
        <w:t>Thaisen, Jacob. 2014. Initial</w:t>
      </w:r>
      <w:r>
        <w:lastRenderedPageBreak/>
        <w:t xml:space="preserve"> position in the Middle English v</w:t>
      </w:r>
      <w:r w:rsidRPr="00C7687B">
        <w:t xml:space="preserve">erse Line. </w:t>
      </w:r>
      <w:r w:rsidRPr="00F02C9E">
        <w:rPr>
          <w:i/>
        </w:rPr>
        <w:t>English Studies</w:t>
      </w:r>
      <w:r w:rsidRPr="00C7687B">
        <w:t xml:space="preserve"> 95(5). 500–513.</w:t>
      </w:r>
    </w:p>
    <w:p w14:paraId="5D01F41F" w14:textId="77777777" w:rsidR="008F2F10" w:rsidRPr="00C7687B" w:rsidRDefault="008F2F10" w:rsidP="008F2F10">
      <w:pPr>
        <w:ind w:left="720" w:hanging="720"/>
      </w:pPr>
      <w:r w:rsidRPr="00C7687B">
        <w:t xml:space="preserve">Turney, Peter D. 2006. Similarity of semantic relations. </w:t>
      </w:r>
      <w:r w:rsidRPr="00F02C9E">
        <w:rPr>
          <w:i/>
        </w:rPr>
        <w:t>Computational Linguistics</w:t>
      </w:r>
      <w:r w:rsidRPr="00C7687B">
        <w:t xml:space="preserve"> 32(3). 379–416.</w:t>
      </w:r>
    </w:p>
    <w:p w14:paraId="2EFF28DF" w14:textId="77777777" w:rsidR="008F2F10" w:rsidRPr="00C7687B" w:rsidRDefault="008F2F10" w:rsidP="008F2F10">
      <w:pPr>
        <w:ind w:left="720" w:hanging="720"/>
      </w:pPr>
      <w:r w:rsidRPr="00C7687B">
        <w:t xml:space="preserve">Turney, Peter D. &amp; Patrick Pantel. 2010. From frequency to meaning: vector space models of semantics. </w:t>
      </w:r>
      <w:r w:rsidRPr="00F02C9E">
        <w:rPr>
          <w:i/>
        </w:rPr>
        <w:t>Journal of Artificial Intelligence Research</w:t>
      </w:r>
      <w:r w:rsidRPr="00C7687B">
        <w:t xml:space="preserve"> 37. 141–188.</w:t>
      </w:r>
    </w:p>
    <w:p w14:paraId="0DCFC42A" w14:textId="77777777" w:rsidR="008F2F10" w:rsidRPr="00C7687B" w:rsidRDefault="008F2F10" w:rsidP="008F2F10">
      <w:pPr>
        <w:ind w:left="720" w:hanging="720"/>
      </w:pPr>
      <w:r w:rsidRPr="00C7687B">
        <w:lastRenderedPageBreak/>
        <w:t xml:space="preserve">Updike, Daniel B. 1937. </w:t>
      </w:r>
      <w:r w:rsidRPr="00F02C9E">
        <w:rPr>
          <w:i/>
        </w:rPr>
        <w:t>Printing types, their history, forms and use</w:t>
      </w:r>
      <w:r w:rsidRPr="00C7687B">
        <w:t>. London: Oxford University Press.</w:t>
      </w:r>
    </w:p>
    <w:p w14:paraId="76A527DE" w14:textId="77777777" w:rsidR="008F2F10" w:rsidRDefault="008F2F10" w:rsidP="008F2F10">
      <w:pPr>
        <w:ind w:left="720" w:hanging="720"/>
      </w:pPr>
      <w:r w:rsidRPr="00C7687B">
        <w:t xml:space="preserve">Upward, Christopher &amp; George Davidson. 2011. </w:t>
      </w:r>
      <w:r w:rsidRPr="00F02C9E">
        <w:rPr>
          <w:i/>
        </w:rPr>
        <w:t>The history of English spelling</w:t>
      </w:r>
      <w:r w:rsidRPr="00C7687B">
        <w:t>. Oxford: Wiley-Blackwell.</w:t>
      </w:r>
    </w:p>
    <w:p w14:paraId="044A37EA" w14:textId="68A60CDB" w:rsidR="00A35EF7" w:rsidRPr="00A35EF7" w:rsidRDefault="00A35EF7" w:rsidP="00A35EF7">
      <w:pPr>
        <w:ind w:left="720" w:hanging="720"/>
      </w:pPr>
      <w:r w:rsidRPr="00A35EF7">
        <w:t xml:space="preserve">Vickers, Brian. 2011. Review essay: Shakespeare and authorship studies in the twenty-first century. </w:t>
      </w:r>
      <w:r w:rsidRPr="00A35EF7">
        <w:rPr>
          <w:i/>
          <w:iCs/>
        </w:rPr>
        <w:t>Shakespeare Quarterly</w:t>
      </w:r>
      <w:r w:rsidRPr="00A35EF7">
        <w:t xml:space="preserve"> 62</w:t>
      </w:r>
      <w:r>
        <w:t xml:space="preserve"> </w:t>
      </w:r>
      <w:r w:rsidRPr="00A35EF7">
        <w:t>(Spring). 106–142.</w:t>
      </w:r>
    </w:p>
    <w:p w14:paraId="5AFD93BB" w14:textId="77777777" w:rsidR="00271691" w:rsidRPr="00271691" w:rsidRDefault="00271691" w:rsidP="00271691">
      <w:pPr>
        <w:ind w:left="720" w:hanging="720"/>
      </w:pPr>
      <w:r w:rsidRPr="00271691">
        <w:t xml:space="preserve">Voeste, Anja. 2007. Variability and professionalism as prerequisites of standardization. In Stephan Elspaß, Nils Langer, Joachim Scharloth &amp; Wim Vandenbussche (eds.), </w:t>
      </w:r>
      <w:r w:rsidRPr="00271691">
        <w:rPr>
          <w:i/>
          <w:iCs/>
        </w:rPr>
        <w:t>Germanic language histories “from below” (1700-2000)</w:t>
      </w:r>
      <w:r w:rsidRPr="00271691">
        <w:t>, 295–308. Berlin: de Gruyter.</w:t>
      </w:r>
    </w:p>
    <w:p w14:paraId="38F75AB9" w14:textId="77777777" w:rsidR="008F2F10" w:rsidRPr="00C7687B" w:rsidRDefault="008F2F10" w:rsidP="008F2F10">
      <w:pPr>
        <w:ind w:left="720" w:hanging="720"/>
      </w:pPr>
      <w:r w:rsidRPr="00C7687B">
        <w:t xml:space="preserve">Voragine, Jacobus de. 1998. </w:t>
      </w:r>
      <w:r>
        <w:rPr>
          <w:i/>
        </w:rPr>
        <w:t>The Golden Legend: s</w:t>
      </w:r>
      <w:r w:rsidRPr="00F02C9E">
        <w:rPr>
          <w:i/>
        </w:rPr>
        <w:t>elections</w:t>
      </w:r>
      <w:r w:rsidRPr="00C7687B">
        <w:t>. (Ed.) Richard Hamer. (Trans.) Christopher Stace. London: Penguin Classics.</w:t>
      </w:r>
    </w:p>
    <w:p w14:paraId="0460346A" w14:textId="77777777" w:rsidR="008F2F10" w:rsidRPr="00C7687B" w:rsidRDefault="008F2F10" w:rsidP="008F2F10">
      <w:pPr>
        <w:ind w:left="720" w:hanging="720"/>
      </w:pPr>
      <w:r w:rsidRPr="00C7687B">
        <w:t xml:space="preserve">Wakelin, Daniel. 2011. Caxton’s exemplar for the </w:t>
      </w:r>
      <w:r w:rsidRPr="00F02C9E">
        <w:rPr>
          <w:i/>
        </w:rPr>
        <w:t>Chronicles of England</w:t>
      </w:r>
      <w:r w:rsidRPr="00C7687B">
        <w:t xml:space="preserve">? </w:t>
      </w:r>
      <w:r w:rsidRPr="00F02C9E">
        <w:rPr>
          <w:i/>
        </w:rPr>
        <w:t>Journal of the Early Book Society: for the study of manuscripts and printing history</w:t>
      </w:r>
      <w:r w:rsidRPr="00C7687B">
        <w:t xml:space="preserve"> 14. 75–113.</w:t>
      </w:r>
    </w:p>
    <w:p w14:paraId="79C78BBD" w14:textId="77777777" w:rsidR="008F2F10" w:rsidRPr="00C7687B" w:rsidRDefault="008F2F10" w:rsidP="008F2F10">
      <w:pPr>
        <w:ind w:left="720" w:hanging="720"/>
      </w:pPr>
      <w:r w:rsidRPr="00C7687B">
        <w:t xml:space="preserve">Waldron, Ronald. 1999. Caxton and the </w:t>
      </w:r>
      <w:r w:rsidRPr="00F02C9E">
        <w:rPr>
          <w:i/>
        </w:rPr>
        <w:t>Polychronicon</w:t>
      </w:r>
      <w:r w:rsidRPr="00C7687B">
        <w:t xml:space="preserve">. In Geoffrey Lester (ed.), </w:t>
      </w:r>
      <w:r w:rsidRPr="00F02C9E">
        <w:rPr>
          <w:i/>
        </w:rPr>
        <w:t>Chaucer in perspective: Middle English essays in honour of Norman Blake</w:t>
      </w:r>
      <w:r w:rsidRPr="00C7687B">
        <w:t>, 375–395. Sheffield: Sheffield Academic Press.</w:t>
      </w:r>
    </w:p>
    <w:p w14:paraId="7748CB91" w14:textId="77777777" w:rsidR="008F2F10" w:rsidRPr="00C7687B" w:rsidRDefault="008F2F10" w:rsidP="008F2F10">
      <w:pPr>
        <w:ind w:left="720" w:hanging="720"/>
      </w:pPr>
      <w:r w:rsidRPr="00C7687B">
        <w:t>W</w:t>
      </w:r>
      <w:r>
        <w:t>ard, Joe H. 1963. Hierarchical grouping to optimize an objective f</w:t>
      </w:r>
      <w:r w:rsidRPr="00C7687B">
        <w:t xml:space="preserve">unction. </w:t>
      </w:r>
      <w:r w:rsidRPr="00F02C9E">
        <w:rPr>
          <w:i/>
        </w:rPr>
        <w:t xml:space="preserve">Journal of the American Statistical Association </w:t>
      </w:r>
      <w:r w:rsidRPr="00C7687B">
        <w:t xml:space="preserve">58(301). 236–244. </w:t>
      </w:r>
    </w:p>
    <w:p w14:paraId="3EB667E5" w14:textId="77777777" w:rsidR="008F2F10" w:rsidRDefault="008F2F10" w:rsidP="008F2F10">
      <w:pPr>
        <w:ind w:left="720" w:hanging="720"/>
      </w:pPr>
      <w:r w:rsidRPr="00C7687B">
        <w:t xml:space="preserve">Wieling, Martijn, Robert G. Shackleton Jr &amp; John Nerbonne. 2013. Analyzing phonetic variation in the traditional English dialects: Simultaneously clustering dialects and phonetic features. </w:t>
      </w:r>
      <w:r w:rsidRPr="00F02C9E">
        <w:rPr>
          <w:i/>
        </w:rPr>
        <w:t>Literary and Linguistic Computing</w:t>
      </w:r>
      <w:r w:rsidRPr="00C7687B">
        <w:t xml:space="preserve"> 28(1). 31–41.</w:t>
      </w:r>
    </w:p>
    <w:p w14:paraId="76BC9D85" w14:textId="77777777" w:rsidR="008F2F10" w:rsidRDefault="008F2F10" w:rsidP="008F2F10">
      <w:pPr>
        <w:ind w:left="720" w:hanging="720"/>
      </w:pPr>
      <w:r w:rsidRPr="00A956DA">
        <w:t xml:space="preserve">Wiggins, Alison. 2004. Are Auchinleck manuscript scribes 1 and 6 the same scribe? The advantages of whole-data analysis and electronic texts. </w:t>
      </w:r>
      <w:r>
        <w:rPr>
          <w:i/>
          <w:iCs/>
        </w:rPr>
        <w:t xml:space="preserve">Medium </w:t>
      </w:r>
      <w:r w:rsidRPr="001E0A86">
        <w:rPr>
          <w:i/>
          <w:iCs/>
        </w:rPr>
        <w:t>Æ</w:t>
      </w:r>
      <w:r w:rsidRPr="00A956DA">
        <w:rPr>
          <w:i/>
          <w:iCs/>
        </w:rPr>
        <w:t>vum</w:t>
      </w:r>
      <w:r w:rsidRPr="00A956DA">
        <w:t xml:space="preserve"> 73(1). 10–26.</w:t>
      </w:r>
    </w:p>
    <w:p w14:paraId="4EC1694C" w14:textId="47313F12" w:rsidR="008855E0" w:rsidRPr="00A956DA" w:rsidRDefault="008855E0" w:rsidP="008855E0">
      <w:pPr>
        <w:ind w:left="720" w:hanging="720"/>
      </w:pPr>
      <w:r>
        <w:t>W</w:t>
      </w:r>
      <w:r w:rsidRPr="008855E0">
        <w:t xml:space="preserve">itmore, Michael &amp; Jonathan Hope. 2007. Shakespeare by the numbers: on the linguistic texture of the late plays. In Subha Mukherji &amp; Raphael Lyne (eds.), </w:t>
      </w:r>
      <w:r w:rsidRPr="008855E0">
        <w:rPr>
          <w:i/>
          <w:iCs/>
        </w:rPr>
        <w:t>Early Modern Tragicomedy</w:t>
      </w:r>
      <w:r w:rsidRPr="008855E0">
        <w:t>, 133–153. Suffolk: Boydell &amp; Brewer.</w:t>
      </w:r>
    </w:p>
    <w:p w14:paraId="72B15C14" w14:textId="0ADBDF5D" w:rsidR="008F2F10" w:rsidRDefault="008F2F10" w:rsidP="008F2F10">
      <w:pPr>
        <w:ind w:left="720" w:hanging="720"/>
      </w:pPr>
      <w:r w:rsidRPr="00C7687B">
        <w:t xml:space="preserve">Witmore, Michael, Jonathan Hope &amp; Michael Gleicher. 2016. Digital approaches to the language of Shakespearean tragedy. In Michael Neill &amp; David Schalkwyk (eds.), </w:t>
      </w:r>
      <w:r w:rsidRPr="00C178DA">
        <w:rPr>
          <w:i/>
        </w:rPr>
        <w:t>The Oxford handbook of Shakespearean tragedy</w:t>
      </w:r>
      <w:r w:rsidRPr="00C7687B">
        <w:t>, 316–335. Oxford: Oxford University Press.</w:t>
      </w:r>
    </w:p>
    <w:p w14:paraId="767A17B3" w14:textId="69E9A61D" w:rsidR="001C3FA6" w:rsidRPr="001C3FA6" w:rsidRDefault="001C3FA6" w:rsidP="004E3DC8">
      <w:pPr>
        <w:spacing w:line="240" w:lineRule="auto"/>
        <w:ind w:firstLine="0"/>
        <w:jc w:val="left"/>
      </w:pPr>
    </w:p>
    <w:sectPr w:rsidR="001C3FA6" w:rsidRPr="001C3FA6" w:rsidSect="004E3DC8">
      <w:headerReference w:type="default" r:id="rId97"/>
      <w:type w:val="continuous"/>
      <w:pgSz w:w="11900" w:h="16840"/>
      <w:pgMar w:top="1440" w:right="1440" w:bottom="1440" w:left="1440" w:header="720" w:footer="720" w:gutter="1152"/>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A67A9CF" w16cid:durableId="1E2ED4BA"/>
  <w16cid:commentId w16cid:paraId="16AEE0BB" w16cid:durableId="1E2ED7C8"/>
  <w16cid:commentId w16cid:paraId="3CC278ED" w16cid:durableId="1E317E6F"/>
  <w16cid:commentId w16cid:paraId="33452F7E" w16cid:durableId="1E3541B9"/>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34BAFE" w14:textId="77777777" w:rsidR="00AE3C75" w:rsidRDefault="00AE3C75" w:rsidP="000737CB">
      <w:r>
        <w:separator/>
      </w:r>
    </w:p>
  </w:endnote>
  <w:endnote w:type="continuationSeparator" w:id="0">
    <w:p w14:paraId="6C6E916B" w14:textId="77777777" w:rsidR="00AE3C75" w:rsidRDefault="00AE3C75" w:rsidP="000737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NewRomanPSMT">
    <w:altName w:val="Times New Roman"/>
    <w:charset w:val="00"/>
    <w:family w:val="roman"/>
    <w:pitch w:val="variable"/>
    <w:sig w:usb0="E0002AEF" w:usb1="C0007841" w:usb2="00000009" w:usb3="00000000" w:csb0="000001FF" w:csb1="00000000"/>
  </w:font>
  <w:font w:name="Cambria">
    <w:panose1 w:val="02040503050406030204"/>
    <w:charset w:val="00"/>
    <w:family w:val="roman"/>
    <w:pitch w:val="variable"/>
    <w:sig w:usb0="E00006FF" w:usb1="400004FF" w:usb2="00000000" w:usb3="00000000" w:csb0="0000019F" w:csb1="00000000"/>
  </w:font>
  <w:font w:name="Helvetica">
    <w:panose1 w:val="020B0604020202020204"/>
    <w:charset w:val="00"/>
    <w:family w:val="auto"/>
    <w:pitch w:val="variable"/>
    <w:sig w:usb0="E00002FF" w:usb1="5000785B" w:usb2="00000000" w:usb3="00000000" w:csb0="0000019F" w:csb1="00000000"/>
  </w:font>
  <w:font w:name="Geneva">
    <w:altName w:val="Arial"/>
    <w:charset w:val="00"/>
    <w:family w:val="swiss"/>
    <w:pitch w:val="variable"/>
    <w:sig w:usb0="E00002FF" w:usb1="5200205F" w:usb2="00A0C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348868" w14:textId="77777777" w:rsidR="001F5127" w:rsidRDefault="001F5127" w:rsidP="003E685F">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6FEB045" w14:textId="77777777" w:rsidR="001F5127" w:rsidRDefault="001F5127" w:rsidP="003E685F">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48007FC" w14:textId="436D6669" w:rsidR="001F5127" w:rsidRDefault="001F5127" w:rsidP="000737CB">
    <w:pPr>
      <w:pStyle w:val="Footer"/>
      <w:rPr>
        <w:rStyle w:val="PageNumber"/>
      </w:rPr>
    </w:pPr>
  </w:p>
  <w:p w14:paraId="38D17171" w14:textId="77777777" w:rsidR="001F5127" w:rsidRDefault="001F5127" w:rsidP="000737CB">
    <w:pPr>
      <w:pStyle w:val="Footer"/>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08DA18" w14:textId="3700F3BC" w:rsidR="001F5127" w:rsidRDefault="001F5127" w:rsidP="003E685F">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326AAC">
      <w:rPr>
        <w:rStyle w:val="PageNumber"/>
        <w:noProof/>
      </w:rPr>
      <w:t>59</w:t>
    </w:r>
    <w:r>
      <w:rPr>
        <w:rStyle w:val="PageNumber"/>
      </w:rPr>
      <w:fldChar w:fldCharType="end"/>
    </w:r>
  </w:p>
  <w:p w14:paraId="1E46C590" w14:textId="35E57EE5" w:rsidR="001F5127" w:rsidRDefault="001F5127" w:rsidP="005509E7">
    <w:pPr>
      <w:pStyle w:val="Footer"/>
      <w:jc w:val="center"/>
    </w:pP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EEB0DB" w14:textId="0359E7B0" w:rsidR="001F5127" w:rsidRDefault="001F5127" w:rsidP="00004D21">
    <w:pPr>
      <w:pStyle w:val="Footer"/>
      <w:ind w:firstLine="0"/>
      <w:jc w:val="center"/>
    </w:pPr>
    <w:r>
      <w:rPr>
        <w:rStyle w:val="PageNumber"/>
      </w:rPr>
      <w:fldChar w:fldCharType="begin"/>
    </w:r>
    <w:r>
      <w:rPr>
        <w:rStyle w:val="PageNumber"/>
      </w:rPr>
      <w:instrText xml:space="preserve">PAGE  </w:instrText>
    </w:r>
    <w:r>
      <w:rPr>
        <w:rStyle w:val="PageNumber"/>
      </w:rPr>
      <w:fldChar w:fldCharType="separate"/>
    </w:r>
    <w:r w:rsidR="00326AAC">
      <w:rPr>
        <w:rStyle w:val="PageNumber"/>
        <w:noProof/>
      </w:rPr>
      <w:t>62</w:t>
    </w:r>
    <w:r>
      <w:rPr>
        <w:rStyle w:val="PageNumber"/>
      </w:rPr>
      <w:fldChar w:fldCharType="end"/>
    </w: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CCD3A9" w14:textId="4B6D8C28" w:rsidR="001F5127" w:rsidRDefault="001F5127" w:rsidP="000737CB">
    <w:pPr>
      <w:pStyle w:val="Footer"/>
      <w:rPr>
        <w:rStyle w:val="PageNumber"/>
      </w:rPr>
    </w:pPr>
    <w:r>
      <w:rPr>
        <w:rStyle w:val="PageNumber"/>
      </w:rPr>
      <w:tab/>
    </w:r>
    <w:r>
      <w:rPr>
        <w:rStyle w:val="PageNumber"/>
      </w:rPr>
      <w:tab/>
    </w:r>
  </w:p>
  <w:p w14:paraId="4DE0FD98" w14:textId="77777777" w:rsidR="001F5127" w:rsidRDefault="001F5127" w:rsidP="000737CB">
    <w:pPr>
      <w:pStyle w:val="Footer"/>
    </w:pPr>
    <w:r>
      <w:tab/>
    </w:r>
    <w:r>
      <w:tab/>
    </w: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A5AC4B" w14:textId="77777777" w:rsidR="001F5127" w:rsidRDefault="001F5127" w:rsidP="000737CB">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2CCFA4FF" w14:textId="77777777" w:rsidR="001F5127" w:rsidRDefault="001F5127" w:rsidP="000737CB">
    <w:pPr>
      <w:pStyle w:val="Footer"/>
    </w:pP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852B7E" w14:textId="25F50AD9" w:rsidR="001F5127" w:rsidRDefault="001F5127" w:rsidP="003E685F">
    <w:pPr>
      <w:pStyle w:val="Footer"/>
      <w:ind w:firstLine="0"/>
      <w:jc w:val="center"/>
    </w:pPr>
    <w:r>
      <w:rPr>
        <w:rStyle w:val="PageNumber"/>
      </w:rPr>
      <w:fldChar w:fldCharType="begin"/>
    </w:r>
    <w:r>
      <w:rPr>
        <w:rStyle w:val="PageNumber"/>
      </w:rPr>
      <w:instrText xml:space="preserve">PAGE  </w:instrText>
    </w:r>
    <w:r>
      <w:rPr>
        <w:rStyle w:val="PageNumber"/>
      </w:rPr>
      <w:fldChar w:fldCharType="separate"/>
    </w:r>
    <w:r w:rsidR="00326AAC">
      <w:rPr>
        <w:rStyle w:val="PageNumber"/>
        <w:noProof/>
      </w:rPr>
      <w:t>129</w:t>
    </w:r>
    <w:r>
      <w:rPr>
        <w:rStyle w:val="PageNumber"/>
      </w:rPr>
      <w:fldChar w:fldCharType="end"/>
    </w: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0E69BD" w14:textId="5B76BD85" w:rsidR="001F5127" w:rsidRDefault="001F5127" w:rsidP="003E685F">
    <w:pPr>
      <w:pStyle w:val="Footer"/>
      <w:ind w:firstLine="0"/>
      <w:jc w:val="center"/>
    </w:pP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30606B" w14:textId="75516D55" w:rsidR="001F5127" w:rsidRDefault="001F5127" w:rsidP="003E685F">
    <w:pPr>
      <w:pStyle w:val="Footer"/>
      <w:ind w:firstLine="0"/>
      <w:jc w:val="center"/>
    </w:pPr>
    <w:r>
      <w:tab/>
    </w: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9A6EC2" w14:textId="5156E78C" w:rsidR="001F5127" w:rsidRDefault="001F5127" w:rsidP="003E685F">
    <w:pPr>
      <w:pStyle w:val="Footer"/>
      <w:ind w:firstLine="0"/>
      <w:jc w:val="center"/>
    </w:pPr>
    <w:r>
      <w:rPr>
        <w:rStyle w:val="PageNumber"/>
      </w:rPr>
      <w:fldChar w:fldCharType="begin"/>
    </w:r>
    <w:r>
      <w:rPr>
        <w:rStyle w:val="PageNumber"/>
      </w:rPr>
      <w:instrText xml:space="preserve">PAGE  </w:instrText>
    </w:r>
    <w:r>
      <w:rPr>
        <w:rStyle w:val="PageNumber"/>
      </w:rPr>
      <w:fldChar w:fldCharType="separate"/>
    </w:r>
    <w:r w:rsidR="00326AAC">
      <w:rPr>
        <w:rStyle w:val="PageNumber"/>
        <w:noProof/>
      </w:rPr>
      <w:t>209</w:t>
    </w:r>
    <w:r>
      <w:rPr>
        <w:rStyle w:val="PageNumber"/>
      </w:rPr>
      <w:fldChar w:fldCharType="end"/>
    </w:r>
  </w:p>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A469CC" w14:textId="77777777" w:rsidR="001F5127" w:rsidRDefault="001F5127" w:rsidP="000737CB">
    <w:pPr>
      <w:pStyle w:val="Footer"/>
    </w:pPr>
    <w:r>
      <w:tab/>
    </w:r>
    <w:r>
      <w:tab/>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43BFC8" w14:textId="77777777" w:rsidR="001F5127" w:rsidRDefault="001F5127" w:rsidP="000737CB">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BD3703" w14:textId="247B094C" w:rsidR="001F5127" w:rsidRDefault="001F5127" w:rsidP="00AC51D5">
    <w:pPr>
      <w:pStyle w:val="Footer"/>
      <w:framePr w:wrap="none" w:vAnchor="text" w:hAnchor="margin" w:xAlign="center" w:y="1"/>
      <w:ind w:firstLine="121"/>
      <w:jc w:val="center"/>
      <w:rPr>
        <w:rStyle w:val="PageNumber"/>
      </w:rPr>
    </w:pPr>
    <w:r>
      <w:rPr>
        <w:rStyle w:val="PageNumber"/>
      </w:rPr>
      <w:fldChar w:fldCharType="begin"/>
    </w:r>
    <w:r>
      <w:rPr>
        <w:rStyle w:val="PageNumber"/>
      </w:rPr>
      <w:instrText xml:space="preserve">PAGE  </w:instrText>
    </w:r>
    <w:r>
      <w:rPr>
        <w:rStyle w:val="PageNumber"/>
      </w:rPr>
      <w:fldChar w:fldCharType="separate"/>
    </w:r>
    <w:r w:rsidR="00326AAC">
      <w:rPr>
        <w:rStyle w:val="PageNumber"/>
        <w:noProof/>
      </w:rPr>
      <w:t>15</w:t>
    </w:r>
    <w:r>
      <w:rPr>
        <w:rStyle w:val="PageNumber"/>
      </w:rPr>
      <w:fldChar w:fldCharType="end"/>
    </w:r>
  </w:p>
  <w:p w14:paraId="1F7C81F6" w14:textId="77777777" w:rsidR="001F5127" w:rsidRDefault="001F5127" w:rsidP="00D11844">
    <w:pPr>
      <w:pStyle w:val="Footer"/>
      <w:jc w:val="cen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CCCDBA" w14:textId="77777777" w:rsidR="001F5127" w:rsidRDefault="001F5127" w:rsidP="00CF38DD">
    <w:pPr>
      <w:pStyle w:val="Footer"/>
      <w:framePr w:wrap="none"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1F591010" w14:textId="77777777" w:rsidR="001F5127" w:rsidRDefault="001F5127" w:rsidP="00AC51D5">
    <w:pPr>
      <w:pStyle w:val="Footer"/>
      <w:ind w:right="360"/>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032D17" w14:textId="77777777" w:rsidR="001F5127" w:rsidRDefault="001F5127" w:rsidP="000737CB">
    <w:pPr>
      <w:pStyle w:val="Foote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2A4D46" w14:textId="77777777" w:rsidR="001F5127" w:rsidRPr="00BA5D84" w:rsidRDefault="001F5127" w:rsidP="00BA5D84">
    <w:pPr>
      <w:pStyle w:val="Foote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F49BC7" w14:textId="77777777" w:rsidR="001F5127" w:rsidRDefault="001F5127" w:rsidP="003E685F">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24AF6AC" w14:textId="20C454C4" w:rsidR="001F5127" w:rsidRDefault="001F5127" w:rsidP="000737CB">
    <w:pPr>
      <w:pStyle w:val="Footer"/>
      <w:rPr>
        <w:rStyle w:val="PageNumber"/>
      </w:rPr>
    </w:pPr>
  </w:p>
  <w:p w14:paraId="50E5EDFD" w14:textId="77777777" w:rsidR="001F5127" w:rsidRDefault="001F5127" w:rsidP="000737CB">
    <w:pPr>
      <w:pStyle w:val="Footer"/>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C8BF05" w14:textId="606236BF" w:rsidR="001F5127" w:rsidRDefault="001F5127" w:rsidP="0077106E">
    <w:pPr>
      <w:pStyle w:val="Footer"/>
      <w:ind w:firstLine="90"/>
      <w:jc w:val="center"/>
    </w:pPr>
    <w:r>
      <w:rPr>
        <w:rStyle w:val="PageNumber"/>
      </w:rPr>
      <w:fldChar w:fldCharType="begin"/>
    </w:r>
    <w:r>
      <w:rPr>
        <w:rStyle w:val="PageNumber"/>
      </w:rPr>
      <w:instrText xml:space="preserve">PAGE  </w:instrText>
    </w:r>
    <w:r>
      <w:rPr>
        <w:rStyle w:val="PageNumber"/>
      </w:rPr>
      <w:fldChar w:fldCharType="separate"/>
    </w:r>
    <w:r w:rsidR="00326AAC">
      <w:rPr>
        <w:rStyle w:val="PageNumber"/>
        <w:noProof/>
      </w:rPr>
      <w:t>41</w:t>
    </w:r>
    <w:r>
      <w:rPr>
        <w:rStyle w:val="PageNumber"/>
      </w:rPr>
      <w:fldChar w:fldCharType="end"/>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6468FD" w14:textId="77777777" w:rsidR="001F5127" w:rsidRDefault="001F5127" w:rsidP="005509E7">
    <w:pPr>
      <w:pStyle w:val="Footer"/>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6E6861" w14:textId="77777777" w:rsidR="00AE3C75" w:rsidRDefault="00AE3C75" w:rsidP="00795DFD">
      <w:pPr>
        <w:ind w:firstLine="0"/>
      </w:pPr>
      <w:r>
        <w:separator/>
      </w:r>
    </w:p>
  </w:footnote>
  <w:footnote w:type="continuationSeparator" w:id="0">
    <w:p w14:paraId="024CE812" w14:textId="77777777" w:rsidR="00AE3C75" w:rsidRDefault="00AE3C75" w:rsidP="000737CB">
      <w:r>
        <w:continuationSeparator/>
      </w:r>
    </w:p>
  </w:footnote>
  <w:footnote w:id="1">
    <w:p w14:paraId="1A81A206" w14:textId="43BBB0E2" w:rsidR="001F5127" w:rsidRDefault="001F5127" w:rsidP="00282C1C">
      <w:pPr>
        <w:pStyle w:val="FootnoteText"/>
        <w:ind w:firstLine="0"/>
      </w:pPr>
      <w:r>
        <w:rPr>
          <w:rStyle w:val="FootnoteReference"/>
        </w:rPr>
        <w:footnoteRef/>
      </w:r>
      <w:r>
        <w:t xml:space="preserve"> Sections of this chapter were published in an earlier form in Shute (2017). </w:t>
      </w:r>
    </w:p>
  </w:footnote>
  <w:footnote w:id="2">
    <w:p w14:paraId="62A2E7D2" w14:textId="5551218A" w:rsidR="001F5127" w:rsidRDefault="001F5127" w:rsidP="005E3F39">
      <w:pPr>
        <w:pStyle w:val="FootnoteText"/>
        <w:ind w:firstLine="0"/>
      </w:pPr>
      <w:r>
        <w:rPr>
          <w:rStyle w:val="FootnoteReference"/>
        </w:rPr>
        <w:footnoteRef/>
      </w:r>
      <w:r>
        <w:t xml:space="preserve"> </w:t>
      </w:r>
      <w:r w:rsidRPr="00795DFD">
        <w:rPr>
          <w:sz w:val="18"/>
          <w:szCs w:val="18"/>
        </w:rPr>
        <w:t xml:space="preserve">The naming of Caxton’s typefaces follows that used in Blades </w:t>
      </w:r>
      <w:r w:rsidRPr="00B278D9">
        <w:rPr>
          <w:sz w:val="18"/>
          <w:szCs w:val="18"/>
        </w:rPr>
        <w:t>(1971</w:t>
      </w:r>
      <w:r>
        <w:rPr>
          <w:sz w:val="18"/>
          <w:szCs w:val="18"/>
        </w:rPr>
        <w:t xml:space="preserve"> [1877]</w:t>
      </w:r>
      <w:r w:rsidRPr="00B278D9">
        <w:rPr>
          <w:sz w:val="18"/>
          <w:szCs w:val="18"/>
        </w:rPr>
        <w:t>)</w:t>
      </w:r>
      <w:r w:rsidRPr="00795DFD">
        <w:rPr>
          <w:sz w:val="18"/>
          <w:szCs w:val="18"/>
        </w:rPr>
        <w:t>.</w:t>
      </w:r>
    </w:p>
  </w:footnote>
  <w:footnote w:id="3">
    <w:p w14:paraId="6FFBAEEA" w14:textId="253EC584" w:rsidR="001F5127" w:rsidRPr="00795DFD" w:rsidRDefault="001F5127" w:rsidP="00795DFD">
      <w:pPr>
        <w:pStyle w:val="NoSpacing"/>
        <w:spacing w:line="240" w:lineRule="auto"/>
        <w:ind w:left="142" w:hanging="142"/>
        <w:rPr>
          <w:sz w:val="18"/>
          <w:szCs w:val="18"/>
        </w:rPr>
      </w:pPr>
      <w:r w:rsidRPr="005C54CE">
        <w:rPr>
          <w:rStyle w:val="FootnoteReference"/>
        </w:rPr>
        <w:footnoteRef/>
      </w:r>
      <w:r w:rsidRPr="00795DFD">
        <w:rPr>
          <w:sz w:val="18"/>
          <w:szCs w:val="18"/>
        </w:rPr>
        <w:t xml:space="preserve"> See Chapter 4: Methodological design for further information on the selection of texts used in this study.</w:t>
      </w:r>
    </w:p>
  </w:footnote>
  <w:footnote w:id="4">
    <w:p w14:paraId="4BE87EEB" w14:textId="5F500DD6" w:rsidR="001F5127" w:rsidRPr="00795DFD" w:rsidRDefault="001F5127" w:rsidP="00795DFD">
      <w:pPr>
        <w:pStyle w:val="FootnoteText"/>
        <w:ind w:left="142" w:hanging="142"/>
        <w:rPr>
          <w:sz w:val="18"/>
          <w:szCs w:val="18"/>
        </w:rPr>
      </w:pPr>
      <w:r w:rsidRPr="005C54CE">
        <w:rPr>
          <w:rStyle w:val="FootnoteReference"/>
        </w:rPr>
        <w:footnoteRef/>
      </w:r>
      <w:r w:rsidRPr="00795DFD">
        <w:rPr>
          <w:sz w:val="18"/>
          <w:szCs w:val="18"/>
        </w:rPr>
        <w:t xml:space="preserve"> An earlier version of this chapter was published as </w:t>
      </w:r>
      <w:r w:rsidRPr="00725366">
        <w:rPr>
          <w:sz w:val="18"/>
          <w:szCs w:val="18"/>
        </w:rPr>
        <w:t>Shute (2017).</w:t>
      </w:r>
      <w:r w:rsidRPr="00795DFD">
        <w:rPr>
          <w:sz w:val="18"/>
          <w:szCs w:val="18"/>
        </w:rPr>
        <w:t xml:space="preserve"> </w:t>
      </w:r>
    </w:p>
  </w:footnote>
  <w:footnote w:id="5">
    <w:p w14:paraId="129D14EB" w14:textId="77777777" w:rsidR="001F5127" w:rsidRPr="00795DFD" w:rsidRDefault="001F5127" w:rsidP="00795DFD">
      <w:pPr>
        <w:pStyle w:val="FootnoteText"/>
        <w:ind w:left="142" w:hanging="142"/>
        <w:rPr>
          <w:sz w:val="18"/>
          <w:szCs w:val="18"/>
        </w:rPr>
      </w:pPr>
      <w:r w:rsidRPr="005C54CE">
        <w:rPr>
          <w:rStyle w:val="FootnoteReference"/>
        </w:rPr>
        <w:footnoteRef/>
      </w:r>
      <w:r w:rsidRPr="00795DFD">
        <w:rPr>
          <w:sz w:val="18"/>
          <w:szCs w:val="18"/>
        </w:rPr>
        <w:t xml:space="preserve"> Caxton opened shop in Westminster in 1476, and died in 1491.</w:t>
      </w:r>
    </w:p>
  </w:footnote>
  <w:footnote w:id="6">
    <w:p w14:paraId="2F383D16" w14:textId="77777777" w:rsidR="001F5127" w:rsidRPr="00795DFD" w:rsidRDefault="001F5127" w:rsidP="00795DFD">
      <w:pPr>
        <w:pStyle w:val="FootnoteText"/>
        <w:ind w:left="142" w:hanging="142"/>
        <w:rPr>
          <w:sz w:val="18"/>
          <w:szCs w:val="18"/>
        </w:rPr>
      </w:pPr>
      <w:r w:rsidRPr="005C54CE">
        <w:rPr>
          <w:rStyle w:val="FootnoteReference"/>
        </w:rPr>
        <w:footnoteRef/>
      </w:r>
      <w:r w:rsidRPr="00795DFD">
        <w:rPr>
          <w:sz w:val="18"/>
          <w:szCs w:val="18"/>
        </w:rPr>
        <w:t xml:space="preserve"> Frequencies have been shortened to one decimal place.</w:t>
      </w:r>
    </w:p>
  </w:footnote>
  <w:footnote w:id="7">
    <w:p w14:paraId="1B8C33EF" w14:textId="77777777" w:rsidR="001F5127" w:rsidRPr="00795DFD" w:rsidRDefault="001F5127" w:rsidP="00795DFD">
      <w:pPr>
        <w:spacing w:line="240" w:lineRule="auto"/>
        <w:ind w:left="142" w:hanging="142"/>
        <w:rPr>
          <w:sz w:val="18"/>
          <w:szCs w:val="18"/>
        </w:rPr>
      </w:pPr>
      <w:r w:rsidRPr="005C54CE">
        <w:rPr>
          <w:rStyle w:val="FootnoteReference"/>
        </w:rPr>
        <w:footnoteRef/>
      </w:r>
      <w:r w:rsidRPr="00795DFD">
        <w:rPr>
          <w:sz w:val="18"/>
          <w:szCs w:val="18"/>
        </w:rPr>
        <w:t xml:space="preserve"> Breaking words over lines was never a method utilised in the poetry. This is due to the line lengths; on no occasions were the lines long enough in the Nun’s Priest’s Tale or the Manciple’s Tale to come close to the right margin. The lines never run onto the next line, and so it would not be possible to break the final word over two lines. </w:t>
      </w:r>
    </w:p>
  </w:footnote>
  <w:footnote w:id="8">
    <w:p w14:paraId="6CB1217A" w14:textId="287D8E56" w:rsidR="001F5127" w:rsidRPr="00795DFD" w:rsidRDefault="001F5127" w:rsidP="00795DFD">
      <w:pPr>
        <w:spacing w:line="240" w:lineRule="auto"/>
        <w:ind w:left="142" w:hanging="142"/>
        <w:rPr>
          <w:sz w:val="18"/>
          <w:szCs w:val="18"/>
        </w:rPr>
      </w:pPr>
      <w:r w:rsidRPr="005C54CE">
        <w:rPr>
          <w:rStyle w:val="FootnoteReference"/>
        </w:rPr>
        <w:footnoteRef/>
      </w:r>
      <w:r w:rsidRPr="00795DFD">
        <w:rPr>
          <w:sz w:val="18"/>
          <w:szCs w:val="18"/>
        </w:rPr>
        <w:t xml:space="preserve"> However, see Blake’s earlier paper for completely the opposite point of view: “The most common [way to justify the text] was to use or alternatively to expand abbreviations” </w:t>
      </w:r>
      <w:r w:rsidRPr="005111B3">
        <w:rPr>
          <w:sz w:val="18"/>
          <w:szCs w:val="18"/>
        </w:rPr>
        <w:t>(Blake 1989:</w:t>
      </w:r>
      <w:r>
        <w:rPr>
          <w:sz w:val="18"/>
          <w:szCs w:val="18"/>
        </w:rPr>
        <w:t xml:space="preserve"> </w:t>
      </w:r>
      <w:r w:rsidRPr="005111B3">
        <w:rPr>
          <w:sz w:val="18"/>
          <w:szCs w:val="18"/>
        </w:rPr>
        <w:t>409)</w:t>
      </w:r>
      <w:r w:rsidRPr="00795DFD">
        <w:rPr>
          <w:sz w:val="18"/>
          <w:szCs w:val="18"/>
        </w:rPr>
        <w:t>.</w:t>
      </w:r>
    </w:p>
  </w:footnote>
  <w:footnote w:id="9">
    <w:p w14:paraId="625E345D" w14:textId="77777777" w:rsidR="001F5127" w:rsidRPr="00795DFD" w:rsidRDefault="001F5127" w:rsidP="00795DFD">
      <w:pPr>
        <w:pStyle w:val="FootnoteText"/>
        <w:ind w:left="142" w:hanging="142"/>
        <w:rPr>
          <w:sz w:val="18"/>
          <w:szCs w:val="18"/>
        </w:rPr>
      </w:pPr>
      <w:r w:rsidRPr="005C54CE">
        <w:rPr>
          <w:rStyle w:val="FootnoteReference"/>
        </w:rPr>
        <w:footnoteRef/>
      </w:r>
      <w:r w:rsidRPr="00795DFD">
        <w:rPr>
          <w:sz w:val="18"/>
          <w:szCs w:val="18"/>
        </w:rPr>
        <w:t xml:space="preserve"> There is, however, the possibility that compositors would be able to guess accurately the space that words would take up on their composing stick. However, the number of words would vary slightly line to line, so it seems likely that this would be an inaccurate skill and lines would still require further justification.</w:t>
      </w:r>
    </w:p>
  </w:footnote>
  <w:footnote w:id="10">
    <w:p w14:paraId="51C023C5" w14:textId="77777777" w:rsidR="001F5127" w:rsidRPr="00795DFD" w:rsidRDefault="001F5127" w:rsidP="005306CF">
      <w:pPr>
        <w:pStyle w:val="FootnoteText"/>
        <w:ind w:left="142" w:hanging="142"/>
        <w:rPr>
          <w:sz w:val="18"/>
          <w:szCs w:val="18"/>
        </w:rPr>
      </w:pPr>
      <w:r w:rsidRPr="005C54CE">
        <w:rPr>
          <w:rStyle w:val="FootnoteReference"/>
        </w:rPr>
        <w:footnoteRef/>
      </w:r>
      <w:r w:rsidRPr="00795DFD">
        <w:rPr>
          <w:sz w:val="18"/>
          <w:szCs w:val="18"/>
        </w:rPr>
        <w:t xml:space="preserve"> The algorithms used in this study all use Euclidean distance as a distance measure. A basic definition of Euclidean distance would describe it as the “normal” measure of distance we experience in three dimensions, which takes the direct path “as the crow flies” between two points. In high-dimensional space, Euclidean distances have some unintuitive properties that complicate their use. However, most clustering algorithms use Euclidean distance as standard. An example of an alternative distance measure is Manhattan distance, which does not take the diagonal as the crow flies route between two points, but instead takes the sum of the side of the (hyper)rectangle between them. </w:t>
      </w:r>
    </w:p>
  </w:footnote>
  <w:footnote w:id="11">
    <w:p w14:paraId="53291B80" w14:textId="77777777" w:rsidR="001F5127" w:rsidRPr="00795DFD" w:rsidRDefault="001F5127" w:rsidP="005306CF">
      <w:pPr>
        <w:pStyle w:val="FootnoteText"/>
        <w:ind w:left="142" w:hanging="142"/>
        <w:rPr>
          <w:sz w:val="18"/>
          <w:szCs w:val="18"/>
        </w:rPr>
      </w:pPr>
      <w:r w:rsidRPr="005C54CE">
        <w:rPr>
          <w:rStyle w:val="FootnoteReference"/>
        </w:rPr>
        <w:footnoteRef/>
      </w:r>
      <w:r w:rsidRPr="00795DFD">
        <w:rPr>
          <w:sz w:val="18"/>
          <w:szCs w:val="18"/>
        </w:rPr>
        <w:t xml:space="preserve"> Because the dimensions in this study are drawn from the spelling variants that exist in the text, in addition to yielding real numbers, the number of dimensions will be finite. </w:t>
      </w:r>
    </w:p>
  </w:footnote>
  <w:footnote w:id="12">
    <w:p w14:paraId="31FD67BB" w14:textId="77777777" w:rsidR="001F5127" w:rsidRPr="00795DFD" w:rsidRDefault="001F5127" w:rsidP="00F47CEF">
      <w:pPr>
        <w:pStyle w:val="FootnoteText"/>
        <w:ind w:left="142" w:hanging="142"/>
        <w:rPr>
          <w:sz w:val="18"/>
          <w:szCs w:val="18"/>
        </w:rPr>
      </w:pPr>
      <w:r w:rsidRPr="005C54CE">
        <w:rPr>
          <w:rStyle w:val="FootnoteReference"/>
        </w:rPr>
        <w:footnoteRef/>
      </w:r>
      <w:r w:rsidRPr="00795DFD">
        <w:rPr>
          <w:sz w:val="18"/>
          <w:szCs w:val="18"/>
        </w:rPr>
        <w:t xml:space="preserve"> The following example of the behaviour of data in high-dimensional </w:t>
      </w:r>
      <w:r>
        <w:rPr>
          <w:sz w:val="18"/>
          <w:szCs w:val="18"/>
        </w:rPr>
        <w:t xml:space="preserve">space is expanded and applied </w:t>
      </w:r>
      <w:r w:rsidRPr="00795DFD">
        <w:rPr>
          <w:sz w:val="18"/>
          <w:szCs w:val="18"/>
        </w:rPr>
        <w:t xml:space="preserve">to spelling data from that used in Moisl </w:t>
      </w:r>
      <w:r w:rsidRPr="00795DFD">
        <w:rPr>
          <w:sz w:val="18"/>
          <w:szCs w:val="18"/>
        </w:rPr>
        <w:fldChar w:fldCharType="begin" w:fldLock="1"/>
      </w:r>
      <w:r w:rsidRPr="00795DFD">
        <w:rPr>
          <w:sz w:val="18"/>
          <w:szCs w:val="18"/>
        </w:rPr>
        <w:instrText>ADDIN CSL_CITATION { "citationItems" : [ { "id" : "ITEM-1", "itemData" : { "author" : [ { "dropping-particle" : "", "family" : "Moisl", "given" : "Hermann", "non-dropping-particle" : "", "parse-names" : false, "suffix" : "" } ], "id" : "ITEM-1", "issued" : { "date-parts" : [ [ "2015" ] ] }, "publisher" : "de Gruyter Mouton", "publisher-place" : "Berlin", "title" : "Cluster analysis for corpus linguistics", "type" : "book" }, "suppress-author" : 1, "uris" : [ "http://www.mendeley.com/documents/?uuid=45961d1e-56eb-4463-86dd-9ee8ca142dbd" ] } ], "mendeley" : { "formattedCitation" : "(2015)", "plainTextFormattedCitation" : "(2015)", "previouslyFormattedCitation" : "(2015)" }, "properties" : { "noteIndex" : 0 }, "schema" : "https://github.com/citation-style-language/schema/raw/master/csl-citation.json" }</w:instrText>
      </w:r>
      <w:r w:rsidRPr="00795DFD">
        <w:rPr>
          <w:sz w:val="18"/>
          <w:szCs w:val="18"/>
        </w:rPr>
        <w:fldChar w:fldCharType="separate"/>
      </w:r>
      <w:r w:rsidRPr="00795DFD">
        <w:rPr>
          <w:noProof/>
          <w:sz w:val="18"/>
          <w:szCs w:val="18"/>
        </w:rPr>
        <w:t>(2015)</w:t>
      </w:r>
      <w:r w:rsidRPr="00795DFD">
        <w:rPr>
          <w:sz w:val="18"/>
          <w:szCs w:val="18"/>
        </w:rPr>
        <w:fldChar w:fldCharType="end"/>
      </w:r>
      <w:r w:rsidRPr="00795DFD">
        <w:rPr>
          <w:sz w:val="18"/>
          <w:szCs w:val="18"/>
        </w:rPr>
        <w:t>.</w:t>
      </w:r>
    </w:p>
  </w:footnote>
  <w:footnote w:id="13">
    <w:p w14:paraId="281BABF8" w14:textId="77777777" w:rsidR="001F5127" w:rsidRDefault="001F5127" w:rsidP="0023489E">
      <w:pPr>
        <w:pStyle w:val="FootnoteText"/>
        <w:ind w:firstLine="0"/>
        <w:rPr>
          <w:sz w:val="18"/>
          <w:szCs w:val="18"/>
        </w:rPr>
      </w:pPr>
      <w:r w:rsidRPr="005C54CE">
        <w:rPr>
          <w:rStyle w:val="FootnoteReference"/>
        </w:rPr>
        <w:footnoteRef/>
      </w:r>
      <w:r w:rsidRPr="00795DFD">
        <w:rPr>
          <w:sz w:val="18"/>
          <w:szCs w:val="18"/>
        </w:rPr>
        <w:t xml:space="preserve"> Here the amount of available space taken up by the quires is</w:t>
      </w:r>
    </w:p>
    <w:p w14:paraId="454588E2" w14:textId="67224F60" w:rsidR="001F5127" w:rsidRPr="00795DFD" w:rsidRDefault="001F5127" w:rsidP="0023489E">
      <w:pPr>
        <w:pStyle w:val="FootnoteText"/>
        <w:ind w:left="180" w:firstLine="0"/>
        <w:rPr>
          <w:sz w:val="18"/>
          <w:szCs w:val="18"/>
        </w:rPr>
      </w:pPr>
      <w:r w:rsidRPr="00795DFD">
        <w:rPr>
          <w:sz w:val="18"/>
          <w:szCs w:val="18"/>
        </w:rPr>
        <w:t>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55% of the available space.</w:t>
      </w:r>
    </w:p>
  </w:footnote>
  <w:footnote w:id="14">
    <w:p w14:paraId="6AF4EAEB" w14:textId="77777777" w:rsidR="001F5127" w:rsidRPr="00795DFD" w:rsidRDefault="001F5127" w:rsidP="00AF14EB">
      <w:pPr>
        <w:pStyle w:val="FootnoteText"/>
        <w:ind w:left="144" w:hanging="144"/>
        <w:contextualSpacing/>
        <w:rPr>
          <w:sz w:val="18"/>
          <w:szCs w:val="18"/>
        </w:rPr>
      </w:pPr>
      <w:r w:rsidRPr="005C54CE">
        <w:rPr>
          <w:rStyle w:val="FootnoteReference"/>
        </w:rPr>
        <w:footnoteRef/>
      </w:r>
      <w:r w:rsidRPr="00795DFD">
        <w:rPr>
          <w:sz w:val="18"/>
          <w:szCs w:val="18"/>
        </w:rPr>
        <w:t xml:space="preserve"> Or at least </w:t>
      </w:r>
      <w:r w:rsidRPr="00795DFD">
        <w:rPr>
          <w:smallCaps/>
          <w:sz w:val="18"/>
          <w:szCs w:val="18"/>
        </w:rPr>
        <w:t>abandoned</w:t>
      </w:r>
      <w:r w:rsidRPr="00795DFD">
        <w:rPr>
          <w:sz w:val="18"/>
          <w:szCs w:val="18"/>
        </w:rPr>
        <w:t xml:space="preserve"> is used fewer than five times. The choice to put a threshold on the frequency of words was made to increase the confidence interval of the ratios for each text, and to avoid over-representation by very infrequent terms. For extended discussion, see</w:t>
      </w:r>
      <w:r>
        <w:rPr>
          <w:sz w:val="18"/>
          <w:szCs w:val="18"/>
        </w:rPr>
        <w:t xml:space="preserve"> Section </w:t>
      </w:r>
      <w:r>
        <w:rPr>
          <w:sz w:val="18"/>
          <w:szCs w:val="18"/>
        </w:rPr>
        <w:fldChar w:fldCharType="begin"/>
      </w:r>
      <w:r>
        <w:rPr>
          <w:sz w:val="18"/>
          <w:szCs w:val="18"/>
        </w:rPr>
        <w:instrText xml:space="preserve"> REF _Ref497745024 \r  \* MERGEFORMAT </w:instrText>
      </w:r>
      <w:r>
        <w:rPr>
          <w:sz w:val="18"/>
          <w:szCs w:val="18"/>
        </w:rPr>
        <w:fldChar w:fldCharType="separate"/>
      </w:r>
      <w:r>
        <w:rPr>
          <w:sz w:val="18"/>
          <w:szCs w:val="18"/>
        </w:rPr>
        <w:t>5.3.1</w:t>
      </w:r>
      <w:r>
        <w:rPr>
          <w:sz w:val="18"/>
          <w:szCs w:val="18"/>
        </w:rPr>
        <w:fldChar w:fldCharType="end"/>
      </w:r>
      <w:r w:rsidRPr="00795DFD">
        <w:rPr>
          <w:sz w:val="18"/>
          <w:szCs w:val="18"/>
        </w:rPr>
        <w:t xml:space="preserve">. </w:t>
      </w:r>
    </w:p>
  </w:footnote>
  <w:footnote w:id="15">
    <w:p w14:paraId="201B3B50" w14:textId="58C0741E" w:rsidR="001F5127" w:rsidRPr="00085517" w:rsidRDefault="001F5127" w:rsidP="00085517">
      <w:pPr>
        <w:pStyle w:val="FootnoteText"/>
        <w:ind w:firstLine="0"/>
        <w:rPr>
          <w:sz w:val="18"/>
          <w:szCs w:val="18"/>
        </w:rPr>
      </w:pPr>
      <w:r w:rsidRPr="00085517">
        <w:rPr>
          <w:rStyle w:val="FootnoteReference"/>
          <w:sz w:val="18"/>
          <w:szCs w:val="18"/>
        </w:rPr>
        <w:footnoteRef/>
      </w:r>
      <w:r w:rsidRPr="00085517">
        <w:rPr>
          <w:sz w:val="18"/>
          <w:szCs w:val="18"/>
        </w:rPr>
        <w:t xml:space="preserve"> Though elsewhere in this thesis the similarity scores are always rounded to two decimal places. </w:t>
      </w:r>
    </w:p>
  </w:footnote>
  <w:footnote w:id="16">
    <w:p w14:paraId="4C2639CB" w14:textId="70D5B7D0" w:rsidR="001F5127" w:rsidRPr="00795DFD" w:rsidRDefault="001F5127" w:rsidP="00795DFD">
      <w:pPr>
        <w:pStyle w:val="FootnoteText"/>
        <w:ind w:left="142" w:hanging="142"/>
        <w:rPr>
          <w:sz w:val="18"/>
          <w:szCs w:val="18"/>
        </w:rPr>
      </w:pPr>
      <w:r w:rsidRPr="005C54CE">
        <w:rPr>
          <w:rStyle w:val="FootnoteReference"/>
        </w:rPr>
        <w:footnoteRef/>
      </w:r>
      <w:r w:rsidRPr="00795DFD">
        <w:rPr>
          <w:sz w:val="18"/>
          <w:szCs w:val="18"/>
        </w:rPr>
        <w:t xml:space="preserve"> The quires of the </w:t>
      </w:r>
      <w:r w:rsidRPr="00795DFD">
        <w:rPr>
          <w:i/>
          <w:sz w:val="18"/>
          <w:szCs w:val="18"/>
        </w:rPr>
        <w:t>Polychronicon</w:t>
      </w:r>
      <w:r w:rsidRPr="00795DFD">
        <w:rPr>
          <w:sz w:val="18"/>
          <w:szCs w:val="18"/>
        </w:rPr>
        <w:t xml:space="preserve">, unlike the other texts used by Caxton, are numbered instead of lettered. The numbering </w:t>
      </w:r>
      <w:r>
        <w:rPr>
          <w:sz w:val="18"/>
          <w:szCs w:val="18"/>
        </w:rPr>
        <w:t>in the text itself is</w:t>
      </w:r>
      <w:r w:rsidRPr="00795DFD">
        <w:rPr>
          <w:sz w:val="18"/>
          <w:szCs w:val="18"/>
        </w:rPr>
        <w:t xml:space="preserve"> frequently inaccurate and the numbers given here are those given by Hellinga </w:t>
      </w:r>
      <w:r>
        <w:rPr>
          <w:sz w:val="18"/>
          <w:szCs w:val="18"/>
        </w:rPr>
        <w:t>and</w:t>
      </w:r>
      <w:r w:rsidRPr="00795DFD">
        <w:rPr>
          <w:sz w:val="18"/>
          <w:szCs w:val="18"/>
        </w:rPr>
        <w:t xml:space="preserve"> Painter in the </w:t>
      </w:r>
      <w:r w:rsidRPr="00795DFD">
        <w:rPr>
          <w:i/>
          <w:sz w:val="18"/>
          <w:szCs w:val="18"/>
        </w:rPr>
        <w:t>BMC</w:t>
      </w:r>
      <w:r w:rsidRPr="00795DFD">
        <w:rPr>
          <w:sz w:val="18"/>
          <w:szCs w:val="18"/>
        </w:rPr>
        <w:t>.</w:t>
      </w:r>
    </w:p>
  </w:footnote>
  <w:footnote w:id="17">
    <w:p w14:paraId="53B8A03E" w14:textId="1B8A7D27" w:rsidR="001F5127" w:rsidRPr="00795DFD" w:rsidRDefault="001F5127" w:rsidP="00134872">
      <w:pPr>
        <w:pStyle w:val="FootnoteText"/>
        <w:ind w:left="142" w:hanging="142"/>
        <w:rPr>
          <w:sz w:val="18"/>
          <w:szCs w:val="18"/>
        </w:rPr>
      </w:pPr>
      <w:r w:rsidRPr="005C54CE">
        <w:rPr>
          <w:rStyle w:val="FootnoteReference"/>
        </w:rPr>
        <w:footnoteRef/>
      </w:r>
      <w:r w:rsidRPr="00795DFD">
        <w:rPr>
          <w:sz w:val="18"/>
          <w:szCs w:val="18"/>
        </w:rPr>
        <w:t xml:space="preserve"> Due to </w:t>
      </w:r>
      <w:r>
        <w:rPr>
          <w:sz w:val="18"/>
          <w:szCs w:val="18"/>
        </w:rPr>
        <w:t xml:space="preserve">slight </w:t>
      </w:r>
      <w:r w:rsidRPr="00795DFD">
        <w:rPr>
          <w:sz w:val="18"/>
          <w:szCs w:val="18"/>
        </w:rPr>
        <w:t>differences in the results</w:t>
      </w:r>
      <w:r>
        <w:rPr>
          <w:sz w:val="18"/>
          <w:szCs w:val="18"/>
        </w:rPr>
        <w:t xml:space="preserve"> caused by variations in the number of spellings</w:t>
      </w:r>
      <w:r w:rsidRPr="00795DFD">
        <w:rPr>
          <w:sz w:val="18"/>
          <w:szCs w:val="18"/>
        </w:rPr>
        <w:t>, the program R has moved the cluster containing the texts that were translated by Caxton to the leftmost area of the chart. Aside from shuf</w:t>
      </w:r>
      <w:r>
        <w:rPr>
          <w:sz w:val="18"/>
          <w:szCs w:val="18"/>
        </w:rPr>
        <w:t xml:space="preserve">fling the order of the clusters—and the text of </w:t>
      </w:r>
      <w:r>
        <w:rPr>
          <w:i/>
          <w:sz w:val="18"/>
          <w:szCs w:val="18"/>
        </w:rPr>
        <w:t>Paris and Vienne</w:t>
      </w:r>
      <w:r>
        <w:rPr>
          <w:sz w:val="18"/>
          <w:szCs w:val="18"/>
        </w:rPr>
        <w:t xml:space="preserve">—the </w:t>
      </w:r>
      <w:r w:rsidRPr="00795DFD">
        <w:rPr>
          <w:sz w:val="18"/>
          <w:szCs w:val="18"/>
        </w:rPr>
        <w:t>contents of the cl</w:t>
      </w:r>
      <w:r>
        <w:rPr>
          <w:sz w:val="18"/>
          <w:szCs w:val="18"/>
        </w:rPr>
        <w:t xml:space="preserve">usters are otherwise identical to those </w:t>
      </w:r>
      <w:r w:rsidRPr="00BF7BD1">
        <w:rPr>
          <w:sz w:val="18"/>
          <w:szCs w:val="18"/>
        </w:rPr>
        <w:t xml:space="preserve">in </w:t>
      </w:r>
      <w:r w:rsidR="002730C0">
        <w:rPr>
          <w:sz w:val="18"/>
          <w:szCs w:val="18"/>
        </w:rPr>
        <w:t>Figure 9.9</w:t>
      </w:r>
      <w:r w:rsidRPr="00BF7BD1">
        <w:rPr>
          <w:sz w:val="18"/>
          <w:szCs w:val="18"/>
        </w:rPr>
        <w: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0DA7E6" w14:textId="3E043A18" w:rsidR="001F5127" w:rsidRDefault="001F5127" w:rsidP="000737CB">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54B3DD" w14:textId="77777777" w:rsidR="001F5127" w:rsidRDefault="001F5127" w:rsidP="000737CB">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E4358D" w14:textId="00268B4F" w:rsidR="001F5127" w:rsidRDefault="001F5127" w:rsidP="000737CB">
    <w:pPr>
      <w:pStyle w:val="Heade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007EBF" w14:textId="543E5230" w:rsidR="001F5127" w:rsidRDefault="001F5127" w:rsidP="000737CB">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92928B1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5D329BE"/>
    <w:multiLevelType w:val="hybridMultilevel"/>
    <w:tmpl w:val="3A6A75A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5F11EDB"/>
    <w:multiLevelType w:val="multilevel"/>
    <w:tmpl w:val="0032FC6C"/>
    <w:lvl w:ilvl="0">
      <w:start w:val="1"/>
      <w:numFmt w:val="decimal"/>
      <w:suff w:val="space"/>
      <w:lvlText w:val="Chapter %1."/>
      <w:lvlJc w:val="left"/>
      <w:pPr>
        <w:ind w:left="720" w:hanging="360"/>
      </w:pPr>
      <w:rPr>
        <w:rFonts w:hint="default"/>
      </w:rPr>
    </w:lvl>
    <w:lvl w:ilvl="1">
      <w:start w:val="1"/>
      <w:numFmt w:val="decimal"/>
      <w:isLgl/>
      <w:lvlText w:val="%1.%2."/>
      <w:lvlJc w:val="left"/>
      <w:pPr>
        <w:ind w:left="1080" w:hanging="720"/>
      </w:pPr>
      <w:rPr>
        <w:rFonts w:ascii="Times New Roman" w:hAnsi="Times New Roman" w:cs="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isLgl/>
      <w:lvlText w:val="%1.%2.%3."/>
      <w:lvlJc w:val="left"/>
      <w:pPr>
        <w:ind w:left="1080" w:hanging="720"/>
      </w:pPr>
      <w:rPr>
        <w:rFonts w:hint="default"/>
        <w:b/>
        <w:i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3" w15:restartNumberingAfterBreak="0">
    <w:nsid w:val="0980188B"/>
    <w:multiLevelType w:val="multilevel"/>
    <w:tmpl w:val="0032FC6C"/>
    <w:lvl w:ilvl="0">
      <w:start w:val="1"/>
      <w:numFmt w:val="decimal"/>
      <w:suff w:val="space"/>
      <w:lvlText w:val="Chapter %1."/>
      <w:lvlJc w:val="left"/>
      <w:pPr>
        <w:ind w:left="720" w:hanging="360"/>
      </w:pPr>
      <w:rPr>
        <w:rFonts w:hint="default"/>
      </w:rPr>
    </w:lvl>
    <w:lvl w:ilvl="1">
      <w:start w:val="1"/>
      <w:numFmt w:val="decimal"/>
      <w:isLgl/>
      <w:lvlText w:val="%1.%2."/>
      <w:lvlJc w:val="left"/>
      <w:pPr>
        <w:ind w:left="1080" w:hanging="720"/>
      </w:pPr>
      <w:rPr>
        <w:rFonts w:ascii="Times New Roman" w:hAnsi="Times New Roman" w:cs="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isLgl/>
      <w:lvlText w:val="%1.%2.%3."/>
      <w:lvlJc w:val="left"/>
      <w:pPr>
        <w:ind w:left="1080" w:hanging="720"/>
      </w:pPr>
      <w:rPr>
        <w:rFonts w:hint="default"/>
        <w:b/>
        <w:i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4" w15:restartNumberingAfterBreak="0">
    <w:nsid w:val="0BB72F0D"/>
    <w:multiLevelType w:val="multilevel"/>
    <w:tmpl w:val="A56EEF4C"/>
    <w:lvl w:ilvl="0">
      <w:start w:val="6"/>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5" w15:restartNumberingAfterBreak="0">
    <w:nsid w:val="1208775C"/>
    <w:multiLevelType w:val="multilevel"/>
    <w:tmpl w:val="9E4E7D90"/>
    <w:lvl w:ilvl="0">
      <w:start w:val="1"/>
      <w:numFmt w:val="decimal"/>
      <w:pStyle w:val="Heading1"/>
      <w:suff w:val="space"/>
      <w:lvlText w:val="Chapter %1:"/>
      <w:lvlJc w:val="left"/>
      <w:pPr>
        <w:ind w:left="720" w:hanging="360"/>
      </w:pPr>
      <w:rPr>
        <w:rFonts w:hint="default"/>
      </w:rPr>
    </w:lvl>
    <w:lvl w:ilvl="1">
      <w:start w:val="1"/>
      <w:numFmt w:val="decimal"/>
      <w:pStyle w:val="Heading2"/>
      <w:isLgl/>
      <w:lvlText w:val="%1.%2."/>
      <w:lvlJc w:val="left"/>
      <w:pPr>
        <w:ind w:left="1080" w:hanging="720"/>
      </w:pPr>
      <w:rPr>
        <w:rFonts w:ascii="Times New Roman" w:hAnsi="Times New Roman" w:cs="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pStyle w:val="Heading3"/>
      <w:isLgl/>
      <w:lvlText w:val="%1.%2.%3."/>
      <w:lvlJc w:val="left"/>
      <w:pPr>
        <w:ind w:left="1080" w:hanging="720"/>
      </w:pPr>
      <w:rPr>
        <w:rFonts w:hint="default"/>
        <w:b/>
        <w:i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6" w15:restartNumberingAfterBreak="0">
    <w:nsid w:val="167E153C"/>
    <w:multiLevelType w:val="hybridMultilevel"/>
    <w:tmpl w:val="B6045A3A"/>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30421933"/>
    <w:multiLevelType w:val="multilevel"/>
    <w:tmpl w:val="C082C1CA"/>
    <w:lvl w:ilvl="0">
      <w:start w:val="5"/>
      <w:numFmt w:val="decimal"/>
      <w:suff w:val="space"/>
      <w:lvlText w:val="Chapter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decimal"/>
      <w:lvlText w:val="%3."/>
      <w:lvlJc w:val="left"/>
      <w:pPr>
        <w:ind w:left="0" w:firstLine="0"/>
      </w:pPr>
      <w:rPr>
        <w:rFonts w:hint="default"/>
        <w:b/>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8" w15:restartNumberingAfterBreak="0">
    <w:nsid w:val="32EF29BD"/>
    <w:multiLevelType w:val="hybridMultilevel"/>
    <w:tmpl w:val="040A45CC"/>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3C635EF6"/>
    <w:multiLevelType w:val="hybridMultilevel"/>
    <w:tmpl w:val="1E2A8A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4F05BAC"/>
    <w:multiLevelType w:val="hybridMultilevel"/>
    <w:tmpl w:val="4ADAE59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50E764D4"/>
    <w:multiLevelType w:val="hybridMultilevel"/>
    <w:tmpl w:val="DE3AD2CC"/>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5322078D"/>
    <w:multiLevelType w:val="hybridMultilevel"/>
    <w:tmpl w:val="6CCE8056"/>
    <w:lvl w:ilvl="0" w:tplc="CB6C7A76">
      <w:start w:val="1"/>
      <w:numFmt w:val="decimal"/>
      <w:lvlText w:val="%1."/>
      <w:lvlJc w:val="left"/>
      <w:pPr>
        <w:ind w:left="720" w:hanging="360"/>
      </w:pPr>
      <w:rPr>
        <w:rFonts w:ascii="Times New Roman" w:hAnsi="Times New Roman" w:cs="Times New Roman"/>
        <w:b w:val="0"/>
        <w:bCs w:val="0"/>
        <w:i w:val="0"/>
        <w:iCs w:val="0"/>
        <w:sz w:val="24"/>
        <w:szCs w:val="24"/>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3" w15:restartNumberingAfterBreak="0">
    <w:nsid w:val="69152B4D"/>
    <w:multiLevelType w:val="hybridMultilevel"/>
    <w:tmpl w:val="DAB26850"/>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6B88149C"/>
    <w:multiLevelType w:val="hybridMultilevel"/>
    <w:tmpl w:val="CA70E80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74610054"/>
    <w:multiLevelType w:val="hybridMultilevel"/>
    <w:tmpl w:val="8DF229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4C33FC4"/>
    <w:multiLevelType w:val="multilevel"/>
    <w:tmpl w:val="F5461C4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7E6D7C37"/>
    <w:multiLevelType w:val="hybridMultilevel"/>
    <w:tmpl w:val="2F90269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7"/>
  </w:num>
  <w:num w:numId="2">
    <w:abstractNumId w:val="5"/>
  </w:num>
  <w:num w:numId="3">
    <w:abstractNumId w:val="16"/>
  </w:num>
  <w:num w:numId="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15"/>
  </w:num>
  <w:num w:numId="8">
    <w:abstractNumId w:val="3"/>
  </w:num>
  <w:num w:numId="9">
    <w:abstractNumId w:val="12"/>
  </w:num>
  <w:num w:numId="10">
    <w:abstractNumId w:val="2"/>
  </w:num>
  <w:num w:numId="11">
    <w:abstractNumId w:val="13"/>
  </w:num>
  <w:num w:numId="12">
    <w:abstractNumId w:val="10"/>
  </w:num>
  <w:num w:numId="13">
    <w:abstractNumId w:val="8"/>
  </w:num>
  <w:num w:numId="14">
    <w:abstractNumId w:val="1"/>
  </w:num>
  <w:num w:numId="15">
    <w:abstractNumId w:val="6"/>
  </w:num>
  <w:num w:numId="16">
    <w:abstractNumId w:val="17"/>
  </w:num>
  <w:num w:numId="17">
    <w:abstractNumId w:val="11"/>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
  </w:num>
  <w:num w:numId="20">
    <w:abstractNumId w:val="1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hideSpellingError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576"/>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3A62"/>
    <w:rsid w:val="00000483"/>
    <w:rsid w:val="00000693"/>
    <w:rsid w:val="00001813"/>
    <w:rsid w:val="00001AD4"/>
    <w:rsid w:val="00002293"/>
    <w:rsid w:val="0000265D"/>
    <w:rsid w:val="00002C68"/>
    <w:rsid w:val="00002DAA"/>
    <w:rsid w:val="000033A5"/>
    <w:rsid w:val="0000375F"/>
    <w:rsid w:val="00003C7E"/>
    <w:rsid w:val="00004645"/>
    <w:rsid w:val="00004D21"/>
    <w:rsid w:val="00004FCD"/>
    <w:rsid w:val="000072DA"/>
    <w:rsid w:val="00007858"/>
    <w:rsid w:val="00007978"/>
    <w:rsid w:val="00010083"/>
    <w:rsid w:val="00011644"/>
    <w:rsid w:val="00011E61"/>
    <w:rsid w:val="0001267B"/>
    <w:rsid w:val="0001407B"/>
    <w:rsid w:val="000144A9"/>
    <w:rsid w:val="00015FDD"/>
    <w:rsid w:val="0001621B"/>
    <w:rsid w:val="000162DA"/>
    <w:rsid w:val="00016746"/>
    <w:rsid w:val="0001735B"/>
    <w:rsid w:val="00017369"/>
    <w:rsid w:val="00017559"/>
    <w:rsid w:val="00017B02"/>
    <w:rsid w:val="000207F0"/>
    <w:rsid w:val="00021CBD"/>
    <w:rsid w:val="00021CD6"/>
    <w:rsid w:val="00022B23"/>
    <w:rsid w:val="00022C8C"/>
    <w:rsid w:val="0002426A"/>
    <w:rsid w:val="0002455B"/>
    <w:rsid w:val="000246D4"/>
    <w:rsid w:val="00024804"/>
    <w:rsid w:val="0002566D"/>
    <w:rsid w:val="00025FEC"/>
    <w:rsid w:val="0002605F"/>
    <w:rsid w:val="00026113"/>
    <w:rsid w:val="00026CB2"/>
    <w:rsid w:val="00030F9E"/>
    <w:rsid w:val="00032A8C"/>
    <w:rsid w:val="00032D64"/>
    <w:rsid w:val="000348FC"/>
    <w:rsid w:val="000364FB"/>
    <w:rsid w:val="00037260"/>
    <w:rsid w:val="000372E1"/>
    <w:rsid w:val="0004006C"/>
    <w:rsid w:val="0004045C"/>
    <w:rsid w:val="0004046C"/>
    <w:rsid w:val="00041D2E"/>
    <w:rsid w:val="00042772"/>
    <w:rsid w:val="0004310C"/>
    <w:rsid w:val="00043302"/>
    <w:rsid w:val="00043D3B"/>
    <w:rsid w:val="00044683"/>
    <w:rsid w:val="00044C0C"/>
    <w:rsid w:val="0004504F"/>
    <w:rsid w:val="000457EE"/>
    <w:rsid w:val="00046DBD"/>
    <w:rsid w:val="0005003F"/>
    <w:rsid w:val="0005136C"/>
    <w:rsid w:val="00051D5C"/>
    <w:rsid w:val="00051FF0"/>
    <w:rsid w:val="00052414"/>
    <w:rsid w:val="000526AA"/>
    <w:rsid w:val="000527A8"/>
    <w:rsid w:val="000529A6"/>
    <w:rsid w:val="00053557"/>
    <w:rsid w:val="000553D5"/>
    <w:rsid w:val="00055EEC"/>
    <w:rsid w:val="00056356"/>
    <w:rsid w:val="000567C8"/>
    <w:rsid w:val="00056B44"/>
    <w:rsid w:val="00056F31"/>
    <w:rsid w:val="00060C50"/>
    <w:rsid w:val="00060E8A"/>
    <w:rsid w:val="000614DB"/>
    <w:rsid w:val="00061C3B"/>
    <w:rsid w:val="00062175"/>
    <w:rsid w:val="000631D9"/>
    <w:rsid w:val="00063BFC"/>
    <w:rsid w:val="000645C6"/>
    <w:rsid w:val="00064918"/>
    <w:rsid w:val="0006500C"/>
    <w:rsid w:val="00065720"/>
    <w:rsid w:val="00065818"/>
    <w:rsid w:val="0006600C"/>
    <w:rsid w:val="00066967"/>
    <w:rsid w:val="00066C5E"/>
    <w:rsid w:val="0006731D"/>
    <w:rsid w:val="00067AA1"/>
    <w:rsid w:val="0007047D"/>
    <w:rsid w:val="000707A6"/>
    <w:rsid w:val="00070805"/>
    <w:rsid w:val="00071A2A"/>
    <w:rsid w:val="00071BD5"/>
    <w:rsid w:val="00072221"/>
    <w:rsid w:val="00072828"/>
    <w:rsid w:val="00072FBD"/>
    <w:rsid w:val="00073487"/>
    <w:rsid w:val="000737CB"/>
    <w:rsid w:val="000738FD"/>
    <w:rsid w:val="00073E0D"/>
    <w:rsid w:val="00073EAD"/>
    <w:rsid w:val="00074039"/>
    <w:rsid w:val="0007424F"/>
    <w:rsid w:val="00074617"/>
    <w:rsid w:val="00075533"/>
    <w:rsid w:val="00075E06"/>
    <w:rsid w:val="00076A81"/>
    <w:rsid w:val="00076C2C"/>
    <w:rsid w:val="00076EB8"/>
    <w:rsid w:val="0007747F"/>
    <w:rsid w:val="00077B56"/>
    <w:rsid w:val="00077EE6"/>
    <w:rsid w:val="00080639"/>
    <w:rsid w:val="00080887"/>
    <w:rsid w:val="000811B2"/>
    <w:rsid w:val="00081BDB"/>
    <w:rsid w:val="000820AD"/>
    <w:rsid w:val="000830F0"/>
    <w:rsid w:val="00083490"/>
    <w:rsid w:val="000836A3"/>
    <w:rsid w:val="00083717"/>
    <w:rsid w:val="00083804"/>
    <w:rsid w:val="000839F5"/>
    <w:rsid w:val="00083C00"/>
    <w:rsid w:val="00084A5D"/>
    <w:rsid w:val="00084CE5"/>
    <w:rsid w:val="000854FF"/>
    <w:rsid w:val="00085517"/>
    <w:rsid w:val="00086929"/>
    <w:rsid w:val="00086D30"/>
    <w:rsid w:val="0008796A"/>
    <w:rsid w:val="00091E9C"/>
    <w:rsid w:val="0009284D"/>
    <w:rsid w:val="00092C21"/>
    <w:rsid w:val="00092F70"/>
    <w:rsid w:val="000930EC"/>
    <w:rsid w:val="000941D7"/>
    <w:rsid w:val="00094933"/>
    <w:rsid w:val="00094F47"/>
    <w:rsid w:val="00095245"/>
    <w:rsid w:val="00095262"/>
    <w:rsid w:val="000964A3"/>
    <w:rsid w:val="00096F71"/>
    <w:rsid w:val="0009716F"/>
    <w:rsid w:val="000972EF"/>
    <w:rsid w:val="00097625"/>
    <w:rsid w:val="000A01E5"/>
    <w:rsid w:val="000A14D0"/>
    <w:rsid w:val="000A1DF8"/>
    <w:rsid w:val="000A25E2"/>
    <w:rsid w:val="000A278E"/>
    <w:rsid w:val="000A29EF"/>
    <w:rsid w:val="000A2CF1"/>
    <w:rsid w:val="000A3BFF"/>
    <w:rsid w:val="000A3F89"/>
    <w:rsid w:val="000A437B"/>
    <w:rsid w:val="000A555A"/>
    <w:rsid w:val="000A59AC"/>
    <w:rsid w:val="000A6EB5"/>
    <w:rsid w:val="000A7250"/>
    <w:rsid w:val="000A7621"/>
    <w:rsid w:val="000B0049"/>
    <w:rsid w:val="000B03E8"/>
    <w:rsid w:val="000B0A83"/>
    <w:rsid w:val="000B0B83"/>
    <w:rsid w:val="000B0BB8"/>
    <w:rsid w:val="000B1D8C"/>
    <w:rsid w:val="000B274D"/>
    <w:rsid w:val="000B2BB4"/>
    <w:rsid w:val="000B3319"/>
    <w:rsid w:val="000B3354"/>
    <w:rsid w:val="000B3DB5"/>
    <w:rsid w:val="000B425A"/>
    <w:rsid w:val="000B5E9A"/>
    <w:rsid w:val="000B6F35"/>
    <w:rsid w:val="000C0393"/>
    <w:rsid w:val="000C0764"/>
    <w:rsid w:val="000C0F72"/>
    <w:rsid w:val="000C17CF"/>
    <w:rsid w:val="000C1DE8"/>
    <w:rsid w:val="000C2BDB"/>
    <w:rsid w:val="000C4248"/>
    <w:rsid w:val="000C4E86"/>
    <w:rsid w:val="000C5425"/>
    <w:rsid w:val="000C587A"/>
    <w:rsid w:val="000C5C47"/>
    <w:rsid w:val="000C728F"/>
    <w:rsid w:val="000C741A"/>
    <w:rsid w:val="000D003F"/>
    <w:rsid w:val="000D015E"/>
    <w:rsid w:val="000D01A1"/>
    <w:rsid w:val="000D09B6"/>
    <w:rsid w:val="000D0B7B"/>
    <w:rsid w:val="000D29A9"/>
    <w:rsid w:val="000D40CB"/>
    <w:rsid w:val="000D5366"/>
    <w:rsid w:val="000D5845"/>
    <w:rsid w:val="000D59D1"/>
    <w:rsid w:val="000D609A"/>
    <w:rsid w:val="000D7B41"/>
    <w:rsid w:val="000E0705"/>
    <w:rsid w:val="000E0EB8"/>
    <w:rsid w:val="000E1DF8"/>
    <w:rsid w:val="000E2186"/>
    <w:rsid w:val="000E23A6"/>
    <w:rsid w:val="000E35C8"/>
    <w:rsid w:val="000E37F6"/>
    <w:rsid w:val="000E3862"/>
    <w:rsid w:val="000E3CFC"/>
    <w:rsid w:val="000E43BA"/>
    <w:rsid w:val="000E4417"/>
    <w:rsid w:val="000E463F"/>
    <w:rsid w:val="000E4730"/>
    <w:rsid w:val="000E4A37"/>
    <w:rsid w:val="000E4DE4"/>
    <w:rsid w:val="000E70DF"/>
    <w:rsid w:val="000E7252"/>
    <w:rsid w:val="000E7D4E"/>
    <w:rsid w:val="000F0801"/>
    <w:rsid w:val="000F0E89"/>
    <w:rsid w:val="000F119C"/>
    <w:rsid w:val="000F1937"/>
    <w:rsid w:val="000F1992"/>
    <w:rsid w:val="000F1AFA"/>
    <w:rsid w:val="000F2390"/>
    <w:rsid w:val="000F27D8"/>
    <w:rsid w:val="000F54F6"/>
    <w:rsid w:val="000F5698"/>
    <w:rsid w:val="000F5857"/>
    <w:rsid w:val="000F5A6D"/>
    <w:rsid w:val="000F60F9"/>
    <w:rsid w:val="000F646E"/>
    <w:rsid w:val="000F64F5"/>
    <w:rsid w:val="000F6F95"/>
    <w:rsid w:val="0010083B"/>
    <w:rsid w:val="0010129C"/>
    <w:rsid w:val="00101D41"/>
    <w:rsid w:val="0010250A"/>
    <w:rsid w:val="00102DB9"/>
    <w:rsid w:val="00103FF5"/>
    <w:rsid w:val="00104331"/>
    <w:rsid w:val="001045E0"/>
    <w:rsid w:val="00104CBE"/>
    <w:rsid w:val="00104CD2"/>
    <w:rsid w:val="001050C0"/>
    <w:rsid w:val="00105D8D"/>
    <w:rsid w:val="001070D1"/>
    <w:rsid w:val="001078AD"/>
    <w:rsid w:val="00107F00"/>
    <w:rsid w:val="001102FF"/>
    <w:rsid w:val="00110810"/>
    <w:rsid w:val="0011140B"/>
    <w:rsid w:val="00111525"/>
    <w:rsid w:val="00111A93"/>
    <w:rsid w:val="00112130"/>
    <w:rsid w:val="0011249E"/>
    <w:rsid w:val="00112881"/>
    <w:rsid w:val="00113982"/>
    <w:rsid w:val="00114E61"/>
    <w:rsid w:val="00115510"/>
    <w:rsid w:val="00116B70"/>
    <w:rsid w:val="0012028B"/>
    <w:rsid w:val="001204CC"/>
    <w:rsid w:val="00121525"/>
    <w:rsid w:val="0012162D"/>
    <w:rsid w:val="00122AAC"/>
    <w:rsid w:val="0012359A"/>
    <w:rsid w:val="00123B05"/>
    <w:rsid w:val="00123BB3"/>
    <w:rsid w:val="00123D4F"/>
    <w:rsid w:val="00123DED"/>
    <w:rsid w:val="00124538"/>
    <w:rsid w:val="00124615"/>
    <w:rsid w:val="00124CA5"/>
    <w:rsid w:val="0012528F"/>
    <w:rsid w:val="00126962"/>
    <w:rsid w:val="00130184"/>
    <w:rsid w:val="00130638"/>
    <w:rsid w:val="00130A9A"/>
    <w:rsid w:val="00130D2A"/>
    <w:rsid w:val="0013101C"/>
    <w:rsid w:val="00131290"/>
    <w:rsid w:val="00131CF7"/>
    <w:rsid w:val="00132E39"/>
    <w:rsid w:val="00133C36"/>
    <w:rsid w:val="00134126"/>
    <w:rsid w:val="0013477F"/>
    <w:rsid w:val="00134872"/>
    <w:rsid w:val="00134923"/>
    <w:rsid w:val="00136362"/>
    <w:rsid w:val="001366E4"/>
    <w:rsid w:val="00136716"/>
    <w:rsid w:val="001372D7"/>
    <w:rsid w:val="001405FF"/>
    <w:rsid w:val="001411B6"/>
    <w:rsid w:val="00141A5B"/>
    <w:rsid w:val="00141DEF"/>
    <w:rsid w:val="0014200A"/>
    <w:rsid w:val="00143EC8"/>
    <w:rsid w:val="00144014"/>
    <w:rsid w:val="001440B0"/>
    <w:rsid w:val="001450D0"/>
    <w:rsid w:val="00145D0C"/>
    <w:rsid w:val="001460E8"/>
    <w:rsid w:val="001465BF"/>
    <w:rsid w:val="001468AA"/>
    <w:rsid w:val="00146AB5"/>
    <w:rsid w:val="00147108"/>
    <w:rsid w:val="0014793F"/>
    <w:rsid w:val="00150D1C"/>
    <w:rsid w:val="0015125A"/>
    <w:rsid w:val="00152446"/>
    <w:rsid w:val="001528A1"/>
    <w:rsid w:val="00152EBC"/>
    <w:rsid w:val="00153884"/>
    <w:rsid w:val="00154454"/>
    <w:rsid w:val="001547AF"/>
    <w:rsid w:val="00154983"/>
    <w:rsid w:val="00154EB5"/>
    <w:rsid w:val="00155873"/>
    <w:rsid w:val="00155AA8"/>
    <w:rsid w:val="00156819"/>
    <w:rsid w:val="00156829"/>
    <w:rsid w:val="0016080A"/>
    <w:rsid w:val="00161C44"/>
    <w:rsid w:val="00161D4C"/>
    <w:rsid w:val="00161F77"/>
    <w:rsid w:val="00162389"/>
    <w:rsid w:val="00162E31"/>
    <w:rsid w:val="00165C35"/>
    <w:rsid w:val="00165E51"/>
    <w:rsid w:val="001666FF"/>
    <w:rsid w:val="00170899"/>
    <w:rsid w:val="00170938"/>
    <w:rsid w:val="00171ED3"/>
    <w:rsid w:val="001725AC"/>
    <w:rsid w:val="00172F1A"/>
    <w:rsid w:val="00172FD0"/>
    <w:rsid w:val="001738DC"/>
    <w:rsid w:val="00173DDA"/>
    <w:rsid w:val="0017411C"/>
    <w:rsid w:val="0017436E"/>
    <w:rsid w:val="001746C7"/>
    <w:rsid w:val="00174980"/>
    <w:rsid w:val="00174D94"/>
    <w:rsid w:val="00174E02"/>
    <w:rsid w:val="00175844"/>
    <w:rsid w:val="00175E21"/>
    <w:rsid w:val="0017694E"/>
    <w:rsid w:val="00176CED"/>
    <w:rsid w:val="00176F2B"/>
    <w:rsid w:val="001771F0"/>
    <w:rsid w:val="001779FB"/>
    <w:rsid w:val="00177A7A"/>
    <w:rsid w:val="0018126E"/>
    <w:rsid w:val="00181F17"/>
    <w:rsid w:val="0018246E"/>
    <w:rsid w:val="0018289D"/>
    <w:rsid w:val="0018299C"/>
    <w:rsid w:val="00182F41"/>
    <w:rsid w:val="00183C87"/>
    <w:rsid w:val="00183DFF"/>
    <w:rsid w:val="0018432B"/>
    <w:rsid w:val="00184AF3"/>
    <w:rsid w:val="0018599C"/>
    <w:rsid w:val="00185E18"/>
    <w:rsid w:val="00185F86"/>
    <w:rsid w:val="00186B1F"/>
    <w:rsid w:val="001871CB"/>
    <w:rsid w:val="001904F5"/>
    <w:rsid w:val="00193413"/>
    <w:rsid w:val="001940EB"/>
    <w:rsid w:val="00194241"/>
    <w:rsid w:val="0019432D"/>
    <w:rsid w:val="00194425"/>
    <w:rsid w:val="00195AC5"/>
    <w:rsid w:val="00195F43"/>
    <w:rsid w:val="00196023"/>
    <w:rsid w:val="00196D1F"/>
    <w:rsid w:val="001A09D1"/>
    <w:rsid w:val="001A311A"/>
    <w:rsid w:val="001A3183"/>
    <w:rsid w:val="001A353C"/>
    <w:rsid w:val="001A4347"/>
    <w:rsid w:val="001A4388"/>
    <w:rsid w:val="001A44DD"/>
    <w:rsid w:val="001A494D"/>
    <w:rsid w:val="001A51EA"/>
    <w:rsid w:val="001A5F25"/>
    <w:rsid w:val="001A687B"/>
    <w:rsid w:val="001A68A4"/>
    <w:rsid w:val="001A70C0"/>
    <w:rsid w:val="001A7209"/>
    <w:rsid w:val="001B013F"/>
    <w:rsid w:val="001B07EF"/>
    <w:rsid w:val="001B1199"/>
    <w:rsid w:val="001B2CC7"/>
    <w:rsid w:val="001B3736"/>
    <w:rsid w:val="001B39C5"/>
    <w:rsid w:val="001B3D06"/>
    <w:rsid w:val="001B4105"/>
    <w:rsid w:val="001B4A6B"/>
    <w:rsid w:val="001B514A"/>
    <w:rsid w:val="001B55CF"/>
    <w:rsid w:val="001B745D"/>
    <w:rsid w:val="001B7BC6"/>
    <w:rsid w:val="001C06B1"/>
    <w:rsid w:val="001C0A28"/>
    <w:rsid w:val="001C0DD6"/>
    <w:rsid w:val="001C1D08"/>
    <w:rsid w:val="001C20B5"/>
    <w:rsid w:val="001C2288"/>
    <w:rsid w:val="001C285F"/>
    <w:rsid w:val="001C2B88"/>
    <w:rsid w:val="001C2CD6"/>
    <w:rsid w:val="001C328E"/>
    <w:rsid w:val="001C338A"/>
    <w:rsid w:val="001C361D"/>
    <w:rsid w:val="001C37CF"/>
    <w:rsid w:val="001C3F00"/>
    <w:rsid w:val="001C3FA6"/>
    <w:rsid w:val="001C43F9"/>
    <w:rsid w:val="001C6440"/>
    <w:rsid w:val="001C796A"/>
    <w:rsid w:val="001D0088"/>
    <w:rsid w:val="001D060C"/>
    <w:rsid w:val="001D0988"/>
    <w:rsid w:val="001D1017"/>
    <w:rsid w:val="001D14B8"/>
    <w:rsid w:val="001D14BA"/>
    <w:rsid w:val="001D1C0B"/>
    <w:rsid w:val="001D1CFD"/>
    <w:rsid w:val="001D28F8"/>
    <w:rsid w:val="001D29A2"/>
    <w:rsid w:val="001D29BA"/>
    <w:rsid w:val="001D2A74"/>
    <w:rsid w:val="001D3293"/>
    <w:rsid w:val="001D33C7"/>
    <w:rsid w:val="001D3B5B"/>
    <w:rsid w:val="001D3FF6"/>
    <w:rsid w:val="001D4166"/>
    <w:rsid w:val="001D4433"/>
    <w:rsid w:val="001D46EE"/>
    <w:rsid w:val="001D48E8"/>
    <w:rsid w:val="001D4BE4"/>
    <w:rsid w:val="001D4C17"/>
    <w:rsid w:val="001D50F4"/>
    <w:rsid w:val="001D57BE"/>
    <w:rsid w:val="001D5F81"/>
    <w:rsid w:val="001D6673"/>
    <w:rsid w:val="001D6D9F"/>
    <w:rsid w:val="001D6F0B"/>
    <w:rsid w:val="001D7125"/>
    <w:rsid w:val="001D713F"/>
    <w:rsid w:val="001D78AE"/>
    <w:rsid w:val="001D7F46"/>
    <w:rsid w:val="001E1A65"/>
    <w:rsid w:val="001E1E68"/>
    <w:rsid w:val="001E28D3"/>
    <w:rsid w:val="001E2BBE"/>
    <w:rsid w:val="001E2FC4"/>
    <w:rsid w:val="001E3657"/>
    <w:rsid w:val="001E41AD"/>
    <w:rsid w:val="001E4731"/>
    <w:rsid w:val="001E49D8"/>
    <w:rsid w:val="001E636E"/>
    <w:rsid w:val="001E7171"/>
    <w:rsid w:val="001F152D"/>
    <w:rsid w:val="001F1A3D"/>
    <w:rsid w:val="001F29CE"/>
    <w:rsid w:val="001F2DD6"/>
    <w:rsid w:val="001F2F0D"/>
    <w:rsid w:val="001F3903"/>
    <w:rsid w:val="001F4F5C"/>
    <w:rsid w:val="001F5127"/>
    <w:rsid w:val="001F5D38"/>
    <w:rsid w:val="001F60D9"/>
    <w:rsid w:val="001F6408"/>
    <w:rsid w:val="001F6977"/>
    <w:rsid w:val="001F7932"/>
    <w:rsid w:val="00200B35"/>
    <w:rsid w:val="00201333"/>
    <w:rsid w:val="00201379"/>
    <w:rsid w:val="00201467"/>
    <w:rsid w:val="0020146E"/>
    <w:rsid w:val="002014A3"/>
    <w:rsid w:val="002015DE"/>
    <w:rsid w:val="00201C94"/>
    <w:rsid w:val="002022F2"/>
    <w:rsid w:val="00202449"/>
    <w:rsid w:val="00202EC3"/>
    <w:rsid w:val="00203062"/>
    <w:rsid w:val="00205103"/>
    <w:rsid w:val="0020601B"/>
    <w:rsid w:val="0020605E"/>
    <w:rsid w:val="0020623B"/>
    <w:rsid w:val="002073C1"/>
    <w:rsid w:val="0020758D"/>
    <w:rsid w:val="00211B2D"/>
    <w:rsid w:val="00211D98"/>
    <w:rsid w:val="00212782"/>
    <w:rsid w:val="00212E6A"/>
    <w:rsid w:val="00213AB8"/>
    <w:rsid w:val="00213ADC"/>
    <w:rsid w:val="002141BA"/>
    <w:rsid w:val="0021486C"/>
    <w:rsid w:val="002148BA"/>
    <w:rsid w:val="00214AFA"/>
    <w:rsid w:val="00214ECB"/>
    <w:rsid w:val="002153C0"/>
    <w:rsid w:val="0021550A"/>
    <w:rsid w:val="00216959"/>
    <w:rsid w:val="00217351"/>
    <w:rsid w:val="002176B2"/>
    <w:rsid w:val="00217B7F"/>
    <w:rsid w:val="002200A2"/>
    <w:rsid w:val="002205F6"/>
    <w:rsid w:val="00220F69"/>
    <w:rsid w:val="00222204"/>
    <w:rsid w:val="0022255A"/>
    <w:rsid w:val="00222B54"/>
    <w:rsid w:val="0022363D"/>
    <w:rsid w:val="002238CE"/>
    <w:rsid w:val="00223BB9"/>
    <w:rsid w:val="00224578"/>
    <w:rsid w:val="00225A4C"/>
    <w:rsid w:val="00225B62"/>
    <w:rsid w:val="00227525"/>
    <w:rsid w:val="002277B3"/>
    <w:rsid w:val="00227C53"/>
    <w:rsid w:val="002303E5"/>
    <w:rsid w:val="00230F0E"/>
    <w:rsid w:val="0023111F"/>
    <w:rsid w:val="002340BB"/>
    <w:rsid w:val="0023467B"/>
    <w:rsid w:val="0023489E"/>
    <w:rsid w:val="00234BB8"/>
    <w:rsid w:val="00235559"/>
    <w:rsid w:val="0023620E"/>
    <w:rsid w:val="002367F1"/>
    <w:rsid w:val="002373DF"/>
    <w:rsid w:val="002400CA"/>
    <w:rsid w:val="0024057D"/>
    <w:rsid w:val="002406F8"/>
    <w:rsid w:val="002409C5"/>
    <w:rsid w:val="00240C4B"/>
    <w:rsid w:val="00240DD0"/>
    <w:rsid w:val="00241D97"/>
    <w:rsid w:val="0024215F"/>
    <w:rsid w:val="00242237"/>
    <w:rsid w:val="00243E39"/>
    <w:rsid w:val="00244D4F"/>
    <w:rsid w:val="002453CE"/>
    <w:rsid w:val="00245446"/>
    <w:rsid w:val="00245980"/>
    <w:rsid w:val="00246EE2"/>
    <w:rsid w:val="00247C2F"/>
    <w:rsid w:val="00247CB6"/>
    <w:rsid w:val="0025029A"/>
    <w:rsid w:val="002507D2"/>
    <w:rsid w:val="00251715"/>
    <w:rsid w:val="002518A9"/>
    <w:rsid w:val="00251940"/>
    <w:rsid w:val="00251BC8"/>
    <w:rsid w:val="0025264D"/>
    <w:rsid w:val="002530AD"/>
    <w:rsid w:val="002538F4"/>
    <w:rsid w:val="00253AF8"/>
    <w:rsid w:val="00253D21"/>
    <w:rsid w:val="0025538B"/>
    <w:rsid w:val="00257D58"/>
    <w:rsid w:val="002603A6"/>
    <w:rsid w:val="0026056D"/>
    <w:rsid w:val="00260C36"/>
    <w:rsid w:val="00260D81"/>
    <w:rsid w:val="002616E0"/>
    <w:rsid w:val="002618FE"/>
    <w:rsid w:val="0026212D"/>
    <w:rsid w:val="00262374"/>
    <w:rsid w:val="00262439"/>
    <w:rsid w:val="00262443"/>
    <w:rsid w:val="0026244A"/>
    <w:rsid w:val="0026360E"/>
    <w:rsid w:val="0026451A"/>
    <w:rsid w:val="00264CBE"/>
    <w:rsid w:val="00264E43"/>
    <w:rsid w:val="00264E6C"/>
    <w:rsid w:val="00265527"/>
    <w:rsid w:val="002676D4"/>
    <w:rsid w:val="00270296"/>
    <w:rsid w:val="00270899"/>
    <w:rsid w:val="00270EBB"/>
    <w:rsid w:val="002713D1"/>
    <w:rsid w:val="00271691"/>
    <w:rsid w:val="00271776"/>
    <w:rsid w:val="00272539"/>
    <w:rsid w:val="00272DC4"/>
    <w:rsid w:val="002730C0"/>
    <w:rsid w:val="002739C0"/>
    <w:rsid w:val="0027476F"/>
    <w:rsid w:val="00274FCA"/>
    <w:rsid w:val="00276856"/>
    <w:rsid w:val="00276AEC"/>
    <w:rsid w:val="00276ED3"/>
    <w:rsid w:val="00277E53"/>
    <w:rsid w:val="002805DC"/>
    <w:rsid w:val="00280C13"/>
    <w:rsid w:val="00280F23"/>
    <w:rsid w:val="00281301"/>
    <w:rsid w:val="0028138D"/>
    <w:rsid w:val="00281838"/>
    <w:rsid w:val="00281923"/>
    <w:rsid w:val="0028258C"/>
    <w:rsid w:val="00282C19"/>
    <w:rsid w:val="00282C1C"/>
    <w:rsid w:val="00283CB2"/>
    <w:rsid w:val="00283F8B"/>
    <w:rsid w:val="00284B8D"/>
    <w:rsid w:val="00285549"/>
    <w:rsid w:val="002855D9"/>
    <w:rsid w:val="00285C31"/>
    <w:rsid w:val="002879B0"/>
    <w:rsid w:val="00287BF4"/>
    <w:rsid w:val="00287FA5"/>
    <w:rsid w:val="00287FE5"/>
    <w:rsid w:val="002900DA"/>
    <w:rsid w:val="00290266"/>
    <w:rsid w:val="00290E76"/>
    <w:rsid w:val="00290FCB"/>
    <w:rsid w:val="00292E57"/>
    <w:rsid w:val="00293BF8"/>
    <w:rsid w:val="00295BF8"/>
    <w:rsid w:val="0029788D"/>
    <w:rsid w:val="00297E55"/>
    <w:rsid w:val="00297F08"/>
    <w:rsid w:val="002A0210"/>
    <w:rsid w:val="002A0C3C"/>
    <w:rsid w:val="002A147A"/>
    <w:rsid w:val="002A167C"/>
    <w:rsid w:val="002A2496"/>
    <w:rsid w:val="002A3BD0"/>
    <w:rsid w:val="002A3D57"/>
    <w:rsid w:val="002A3E6E"/>
    <w:rsid w:val="002A3EE8"/>
    <w:rsid w:val="002A41DE"/>
    <w:rsid w:val="002A4286"/>
    <w:rsid w:val="002A5284"/>
    <w:rsid w:val="002A55F1"/>
    <w:rsid w:val="002A5717"/>
    <w:rsid w:val="002A57EE"/>
    <w:rsid w:val="002A57FC"/>
    <w:rsid w:val="002A59A6"/>
    <w:rsid w:val="002A6096"/>
    <w:rsid w:val="002A6146"/>
    <w:rsid w:val="002A6192"/>
    <w:rsid w:val="002B00A1"/>
    <w:rsid w:val="002B0553"/>
    <w:rsid w:val="002B05AE"/>
    <w:rsid w:val="002B0A79"/>
    <w:rsid w:val="002B1164"/>
    <w:rsid w:val="002B24C0"/>
    <w:rsid w:val="002B266E"/>
    <w:rsid w:val="002B2780"/>
    <w:rsid w:val="002B2ADC"/>
    <w:rsid w:val="002B2F96"/>
    <w:rsid w:val="002B302E"/>
    <w:rsid w:val="002B360C"/>
    <w:rsid w:val="002B3671"/>
    <w:rsid w:val="002B3B26"/>
    <w:rsid w:val="002B402E"/>
    <w:rsid w:val="002B43C4"/>
    <w:rsid w:val="002B452F"/>
    <w:rsid w:val="002B45B5"/>
    <w:rsid w:val="002B49C6"/>
    <w:rsid w:val="002B4F4E"/>
    <w:rsid w:val="002B6958"/>
    <w:rsid w:val="002C00F5"/>
    <w:rsid w:val="002C268E"/>
    <w:rsid w:val="002C3028"/>
    <w:rsid w:val="002C3205"/>
    <w:rsid w:val="002C45CE"/>
    <w:rsid w:val="002C46A8"/>
    <w:rsid w:val="002C5315"/>
    <w:rsid w:val="002C53B3"/>
    <w:rsid w:val="002C5CBF"/>
    <w:rsid w:val="002C5F0B"/>
    <w:rsid w:val="002C626D"/>
    <w:rsid w:val="002C697C"/>
    <w:rsid w:val="002C69E4"/>
    <w:rsid w:val="002C6B02"/>
    <w:rsid w:val="002C776F"/>
    <w:rsid w:val="002C7B3E"/>
    <w:rsid w:val="002C7D4A"/>
    <w:rsid w:val="002D00F3"/>
    <w:rsid w:val="002D027A"/>
    <w:rsid w:val="002D0586"/>
    <w:rsid w:val="002D1931"/>
    <w:rsid w:val="002D19E3"/>
    <w:rsid w:val="002D3BE3"/>
    <w:rsid w:val="002D3CE0"/>
    <w:rsid w:val="002D4115"/>
    <w:rsid w:val="002D4632"/>
    <w:rsid w:val="002D465E"/>
    <w:rsid w:val="002D4BF5"/>
    <w:rsid w:val="002D552E"/>
    <w:rsid w:val="002D72A5"/>
    <w:rsid w:val="002D7D73"/>
    <w:rsid w:val="002E0C3E"/>
    <w:rsid w:val="002E1B25"/>
    <w:rsid w:val="002E21AC"/>
    <w:rsid w:val="002E2417"/>
    <w:rsid w:val="002E2EB3"/>
    <w:rsid w:val="002E3731"/>
    <w:rsid w:val="002E41A7"/>
    <w:rsid w:val="002E478D"/>
    <w:rsid w:val="002E5D38"/>
    <w:rsid w:val="002E6137"/>
    <w:rsid w:val="002E6B63"/>
    <w:rsid w:val="002E7588"/>
    <w:rsid w:val="002F017B"/>
    <w:rsid w:val="002F040B"/>
    <w:rsid w:val="002F0803"/>
    <w:rsid w:val="002F0A4E"/>
    <w:rsid w:val="002F0D17"/>
    <w:rsid w:val="002F11BC"/>
    <w:rsid w:val="002F11FE"/>
    <w:rsid w:val="002F132C"/>
    <w:rsid w:val="002F1C10"/>
    <w:rsid w:val="002F2BEB"/>
    <w:rsid w:val="002F2D9C"/>
    <w:rsid w:val="002F2DA7"/>
    <w:rsid w:val="002F449E"/>
    <w:rsid w:val="002F5C66"/>
    <w:rsid w:val="00300E8B"/>
    <w:rsid w:val="003011B3"/>
    <w:rsid w:val="0030258F"/>
    <w:rsid w:val="0030260E"/>
    <w:rsid w:val="00302685"/>
    <w:rsid w:val="003026B8"/>
    <w:rsid w:val="00303563"/>
    <w:rsid w:val="00303962"/>
    <w:rsid w:val="003041DD"/>
    <w:rsid w:val="00305C81"/>
    <w:rsid w:val="003069DB"/>
    <w:rsid w:val="00307455"/>
    <w:rsid w:val="00307B67"/>
    <w:rsid w:val="00307C11"/>
    <w:rsid w:val="0031013C"/>
    <w:rsid w:val="0031224A"/>
    <w:rsid w:val="0031230B"/>
    <w:rsid w:val="00312656"/>
    <w:rsid w:val="00312B99"/>
    <w:rsid w:val="00312EF0"/>
    <w:rsid w:val="003130CE"/>
    <w:rsid w:val="00313675"/>
    <w:rsid w:val="003152D6"/>
    <w:rsid w:val="00315673"/>
    <w:rsid w:val="003165E1"/>
    <w:rsid w:val="00316F34"/>
    <w:rsid w:val="00320A78"/>
    <w:rsid w:val="00321411"/>
    <w:rsid w:val="00321A2E"/>
    <w:rsid w:val="00322130"/>
    <w:rsid w:val="0032317E"/>
    <w:rsid w:val="003231D3"/>
    <w:rsid w:val="003238CD"/>
    <w:rsid w:val="003243BF"/>
    <w:rsid w:val="003244CA"/>
    <w:rsid w:val="00324B6C"/>
    <w:rsid w:val="00324C10"/>
    <w:rsid w:val="00324FF3"/>
    <w:rsid w:val="0032543C"/>
    <w:rsid w:val="00325E51"/>
    <w:rsid w:val="0032646D"/>
    <w:rsid w:val="003267A0"/>
    <w:rsid w:val="00326954"/>
    <w:rsid w:val="00326AAC"/>
    <w:rsid w:val="00326DB0"/>
    <w:rsid w:val="0032758E"/>
    <w:rsid w:val="0032798D"/>
    <w:rsid w:val="00330325"/>
    <w:rsid w:val="00330DC7"/>
    <w:rsid w:val="00334835"/>
    <w:rsid w:val="0033530B"/>
    <w:rsid w:val="003355D9"/>
    <w:rsid w:val="0033654A"/>
    <w:rsid w:val="00336A4F"/>
    <w:rsid w:val="00340917"/>
    <w:rsid w:val="00340B4B"/>
    <w:rsid w:val="00342860"/>
    <w:rsid w:val="00342B79"/>
    <w:rsid w:val="00342EA7"/>
    <w:rsid w:val="00343638"/>
    <w:rsid w:val="00343D7E"/>
    <w:rsid w:val="00343E11"/>
    <w:rsid w:val="00344046"/>
    <w:rsid w:val="0034477B"/>
    <w:rsid w:val="00344E54"/>
    <w:rsid w:val="00345056"/>
    <w:rsid w:val="003469D7"/>
    <w:rsid w:val="00346B9D"/>
    <w:rsid w:val="003475F1"/>
    <w:rsid w:val="00347961"/>
    <w:rsid w:val="00347B6E"/>
    <w:rsid w:val="00347C00"/>
    <w:rsid w:val="00350610"/>
    <w:rsid w:val="00350E3C"/>
    <w:rsid w:val="003518F1"/>
    <w:rsid w:val="0035227E"/>
    <w:rsid w:val="003524EC"/>
    <w:rsid w:val="00352C05"/>
    <w:rsid w:val="003532D2"/>
    <w:rsid w:val="0035498B"/>
    <w:rsid w:val="00354C3B"/>
    <w:rsid w:val="00354DC2"/>
    <w:rsid w:val="00354F4F"/>
    <w:rsid w:val="00355339"/>
    <w:rsid w:val="0035660D"/>
    <w:rsid w:val="003567AF"/>
    <w:rsid w:val="00356843"/>
    <w:rsid w:val="00357088"/>
    <w:rsid w:val="00357614"/>
    <w:rsid w:val="003577C5"/>
    <w:rsid w:val="00360082"/>
    <w:rsid w:val="00360696"/>
    <w:rsid w:val="003607C4"/>
    <w:rsid w:val="00360C8A"/>
    <w:rsid w:val="00360E3B"/>
    <w:rsid w:val="00361A40"/>
    <w:rsid w:val="00361E63"/>
    <w:rsid w:val="00362D9A"/>
    <w:rsid w:val="00364126"/>
    <w:rsid w:val="00364CC1"/>
    <w:rsid w:val="0036589A"/>
    <w:rsid w:val="00365C34"/>
    <w:rsid w:val="003662C7"/>
    <w:rsid w:val="0036643A"/>
    <w:rsid w:val="003665E7"/>
    <w:rsid w:val="00366E0A"/>
    <w:rsid w:val="0036702E"/>
    <w:rsid w:val="003676E3"/>
    <w:rsid w:val="00367D34"/>
    <w:rsid w:val="0037015B"/>
    <w:rsid w:val="00372044"/>
    <w:rsid w:val="00372836"/>
    <w:rsid w:val="00373073"/>
    <w:rsid w:val="00373930"/>
    <w:rsid w:val="0037397B"/>
    <w:rsid w:val="00373AC5"/>
    <w:rsid w:val="00373F14"/>
    <w:rsid w:val="00374209"/>
    <w:rsid w:val="00374AEA"/>
    <w:rsid w:val="00374BD0"/>
    <w:rsid w:val="00375E24"/>
    <w:rsid w:val="00376830"/>
    <w:rsid w:val="003776B1"/>
    <w:rsid w:val="00377765"/>
    <w:rsid w:val="003779D7"/>
    <w:rsid w:val="00377B07"/>
    <w:rsid w:val="003800BF"/>
    <w:rsid w:val="00380797"/>
    <w:rsid w:val="0038127C"/>
    <w:rsid w:val="003821C2"/>
    <w:rsid w:val="00382582"/>
    <w:rsid w:val="003826EC"/>
    <w:rsid w:val="00382BAC"/>
    <w:rsid w:val="00383835"/>
    <w:rsid w:val="0038398F"/>
    <w:rsid w:val="00383B1D"/>
    <w:rsid w:val="00384480"/>
    <w:rsid w:val="00385578"/>
    <w:rsid w:val="00385758"/>
    <w:rsid w:val="003864AB"/>
    <w:rsid w:val="0038727F"/>
    <w:rsid w:val="003876A6"/>
    <w:rsid w:val="00390433"/>
    <w:rsid w:val="00390801"/>
    <w:rsid w:val="00390D4B"/>
    <w:rsid w:val="003910BD"/>
    <w:rsid w:val="0039186D"/>
    <w:rsid w:val="00391B67"/>
    <w:rsid w:val="00391D72"/>
    <w:rsid w:val="00392C81"/>
    <w:rsid w:val="00392F46"/>
    <w:rsid w:val="0039310B"/>
    <w:rsid w:val="00393D6F"/>
    <w:rsid w:val="00394D84"/>
    <w:rsid w:val="00394F64"/>
    <w:rsid w:val="00397495"/>
    <w:rsid w:val="00397549"/>
    <w:rsid w:val="00397AEA"/>
    <w:rsid w:val="003A00D1"/>
    <w:rsid w:val="003A0512"/>
    <w:rsid w:val="003A1354"/>
    <w:rsid w:val="003A1C8F"/>
    <w:rsid w:val="003A2005"/>
    <w:rsid w:val="003A240B"/>
    <w:rsid w:val="003A2613"/>
    <w:rsid w:val="003A2843"/>
    <w:rsid w:val="003A2C32"/>
    <w:rsid w:val="003A3573"/>
    <w:rsid w:val="003A38F4"/>
    <w:rsid w:val="003A4A98"/>
    <w:rsid w:val="003A4CB2"/>
    <w:rsid w:val="003A4E14"/>
    <w:rsid w:val="003A5858"/>
    <w:rsid w:val="003A62FE"/>
    <w:rsid w:val="003A7D10"/>
    <w:rsid w:val="003B1D49"/>
    <w:rsid w:val="003B22A7"/>
    <w:rsid w:val="003B2676"/>
    <w:rsid w:val="003B2B3C"/>
    <w:rsid w:val="003B349F"/>
    <w:rsid w:val="003B3554"/>
    <w:rsid w:val="003B3EB3"/>
    <w:rsid w:val="003B4632"/>
    <w:rsid w:val="003B48D1"/>
    <w:rsid w:val="003B4B2C"/>
    <w:rsid w:val="003B4CFD"/>
    <w:rsid w:val="003B5611"/>
    <w:rsid w:val="003B562C"/>
    <w:rsid w:val="003B5DD5"/>
    <w:rsid w:val="003B748B"/>
    <w:rsid w:val="003C028F"/>
    <w:rsid w:val="003C0518"/>
    <w:rsid w:val="003C073C"/>
    <w:rsid w:val="003C12F2"/>
    <w:rsid w:val="003C1594"/>
    <w:rsid w:val="003C1660"/>
    <w:rsid w:val="003C1B6B"/>
    <w:rsid w:val="003C2224"/>
    <w:rsid w:val="003C282B"/>
    <w:rsid w:val="003C2A28"/>
    <w:rsid w:val="003C2D13"/>
    <w:rsid w:val="003C2FB6"/>
    <w:rsid w:val="003C3366"/>
    <w:rsid w:val="003C48D1"/>
    <w:rsid w:val="003C5B23"/>
    <w:rsid w:val="003C633E"/>
    <w:rsid w:val="003C78D3"/>
    <w:rsid w:val="003D0B11"/>
    <w:rsid w:val="003D1D20"/>
    <w:rsid w:val="003D33E3"/>
    <w:rsid w:val="003D37AA"/>
    <w:rsid w:val="003D4221"/>
    <w:rsid w:val="003D42AF"/>
    <w:rsid w:val="003D46F0"/>
    <w:rsid w:val="003D4E98"/>
    <w:rsid w:val="003D4F03"/>
    <w:rsid w:val="003D58AA"/>
    <w:rsid w:val="003D5F62"/>
    <w:rsid w:val="003D6312"/>
    <w:rsid w:val="003D66A4"/>
    <w:rsid w:val="003D6F25"/>
    <w:rsid w:val="003D74B6"/>
    <w:rsid w:val="003D758D"/>
    <w:rsid w:val="003E1B1B"/>
    <w:rsid w:val="003E26F7"/>
    <w:rsid w:val="003E2CE4"/>
    <w:rsid w:val="003E2FA4"/>
    <w:rsid w:val="003E35E1"/>
    <w:rsid w:val="003E3A4E"/>
    <w:rsid w:val="003E4986"/>
    <w:rsid w:val="003E4A90"/>
    <w:rsid w:val="003E4ABF"/>
    <w:rsid w:val="003E685F"/>
    <w:rsid w:val="003E69A1"/>
    <w:rsid w:val="003E6E91"/>
    <w:rsid w:val="003E72E7"/>
    <w:rsid w:val="003E7991"/>
    <w:rsid w:val="003F0A91"/>
    <w:rsid w:val="003F1350"/>
    <w:rsid w:val="003F1F30"/>
    <w:rsid w:val="003F2917"/>
    <w:rsid w:val="003F356D"/>
    <w:rsid w:val="003F3E96"/>
    <w:rsid w:val="003F403B"/>
    <w:rsid w:val="003F472C"/>
    <w:rsid w:val="003F4AF4"/>
    <w:rsid w:val="003F5572"/>
    <w:rsid w:val="003F5E51"/>
    <w:rsid w:val="003F5EA7"/>
    <w:rsid w:val="003F61E2"/>
    <w:rsid w:val="003F6CCA"/>
    <w:rsid w:val="003F79FC"/>
    <w:rsid w:val="00400231"/>
    <w:rsid w:val="00401071"/>
    <w:rsid w:val="004030EA"/>
    <w:rsid w:val="004031F0"/>
    <w:rsid w:val="0040377E"/>
    <w:rsid w:val="00403B36"/>
    <w:rsid w:val="00404174"/>
    <w:rsid w:val="00404CE8"/>
    <w:rsid w:val="00404E16"/>
    <w:rsid w:val="0040522E"/>
    <w:rsid w:val="0040580D"/>
    <w:rsid w:val="004065D4"/>
    <w:rsid w:val="00406703"/>
    <w:rsid w:val="00406FA7"/>
    <w:rsid w:val="00407ABC"/>
    <w:rsid w:val="00410438"/>
    <w:rsid w:val="00411671"/>
    <w:rsid w:val="00411690"/>
    <w:rsid w:val="00411DF2"/>
    <w:rsid w:val="004120C4"/>
    <w:rsid w:val="004121D8"/>
    <w:rsid w:val="004136EC"/>
    <w:rsid w:val="00413DE6"/>
    <w:rsid w:val="00414037"/>
    <w:rsid w:val="00414A49"/>
    <w:rsid w:val="004151A6"/>
    <w:rsid w:val="00415D9E"/>
    <w:rsid w:val="00415FBC"/>
    <w:rsid w:val="00416303"/>
    <w:rsid w:val="00420320"/>
    <w:rsid w:val="004205DA"/>
    <w:rsid w:val="00420F66"/>
    <w:rsid w:val="004211C9"/>
    <w:rsid w:val="00422A26"/>
    <w:rsid w:val="004230E1"/>
    <w:rsid w:val="00424423"/>
    <w:rsid w:val="00424640"/>
    <w:rsid w:val="004249DB"/>
    <w:rsid w:val="004258CE"/>
    <w:rsid w:val="00426BAD"/>
    <w:rsid w:val="00426F78"/>
    <w:rsid w:val="004271C7"/>
    <w:rsid w:val="004278BF"/>
    <w:rsid w:val="00427B91"/>
    <w:rsid w:val="00430007"/>
    <w:rsid w:val="00430E81"/>
    <w:rsid w:val="00430FE6"/>
    <w:rsid w:val="0043134C"/>
    <w:rsid w:val="00431B85"/>
    <w:rsid w:val="004321E3"/>
    <w:rsid w:val="00432918"/>
    <w:rsid w:val="00435160"/>
    <w:rsid w:val="00435863"/>
    <w:rsid w:val="0043661D"/>
    <w:rsid w:val="00436653"/>
    <w:rsid w:val="00436E80"/>
    <w:rsid w:val="004373CA"/>
    <w:rsid w:val="00437BF7"/>
    <w:rsid w:val="00437BFB"/>
    <w:rsid w:val="004403A3"/>
    <w:rsid w:val="004406B6"/>
    <w:rsid w:val="004421E0"/>
    <w:rsid w:val="0044256D"/>
    <w:rsid w:val="0044287E"/>
    <w:rsid w:val="00443462"/>
    <w:rsid w:val="0044357C"/>
    <w:rsid w:val="00443DD6"/>
    <w:rsid w:val="00444780"/>
    <w:rsid w:val="0044480E"/>
    <w:rsid w:val="00444E46"/>
    <w:rsid w:val="00445253"/>
    <w:rsid w:val="004454AA"/>
    <w:rsid w:val="00445E14"/>
    <w:rsid w:val="00446BE8"/>
    <w:rsid w:val="004479D3"/>
    <w:rsid w:val="004506E7"/>
    <w:rsid w:val="00450736"/>
    <w:rsid w:val="0045250D"/>
    <w:rsid w:val="00452BFF"/>
    <w:rsid w:val="00452ED3"/>
    <w:rsid w:val="00453776"/>
    <w:rsid w:val="00453A1D"/>
    <w:rsid w:val="00453DD2"/>
    <w:rsid w:val="00453E2D"/>
    <w:rsid w:val="00453E56"/>
    <w:rsid w:val="00454457"/>
    <w:rsid w:val="00454551"/>
    <w:rsid w:val="004546FD"/>
    <w:rsid w:val="0045479E"/>
    <w:rsid w:val="004553B2"/>
    <w:rsid w:val="0045545E"/>
    <w:rsid w:val="004563D4"/>
    <w:rsid w:val="004568CE"/>
    <w:rsid w:val="0045755C"/>
    <w:rsid w:val="00457861"/>
    <w:rsid w:val="0046030F"/>
    <w:rsid w:val="00460403"/>
    <w:rsid w:val="004609FA"/>
    <w:rsid w:val="00461D5D"/>
    <w:rsid w:val="00462845"/>
    <w:rsid w:val="004628F8"/>
    <w:rsid w:val="00462AA9"/>
    <w:rsid w:val="004634DC"/>
    <w:rsid w:val="00463868"/>
    <w:rsid w:val="00463886"/>
    <w:rsid w:val="00465090"/>
    <w:rsid w:val="004661B7"/>
    <w:rsid w:val="00466EC6"/>
    <w:rsid w:val="004673FA"/>
    <w:rsid w:val="00470209"/>
    <w:rsid w:val="004708CF"/>
    <w:rsid w:val="00470C71"/>
    <w:rsid w:val="00471153"/>
    <w:rsid w:val="004718FC"/>
    <w:rsid w:val="0047257F"/>
    <w:rsid w:val="00472B02"/>
    <w:rsid w:val="00472D51"/>
    <w:rsid w:val="004732C6"/>
    <w:rsid w:val="004733F4"/>
    <w:rsid w:val="004744C6"/>
    <w:rsid w:val="00477FAC"/>
    <w:rsid w:val="0048026C"/>
    <w:rsid w:val="004803D3"/>
    <w:rsid w:val="004806AF"/>
    <w:rsid w:val="004807D5"/>
    <w:rsid w:val="00480A3C"/>
    <w:rsid w:val="00481000"/>
    <w:rsid w:val="0048228A"/>
    <w:rsid w:val="0048277B"/>
    <w:rsid w:val="004832CC"/>
    <w:rsid w:val="00483D32"/>
    <w:rsid w:val="00484D7B"/>
    <w:rsid w:val="0048656B"/>
    <w:rsid w:val="00486677"/>
    <w:rsid w:val="00486EB6"/>
    <w:rsid w:val="0048709C"/>
    <w:rsid w:val="00487157"/>
    <w:rsid w:val="00487278"/>
    <w:rsid w:val="004872E2"/>
    <w:rsid w:val="004874B4"/>
    <w:rsid w:val="00487FE5"/>
    <w:rsid w:val="004903BF"/>
    <w:rsid w:val="00491090"/>
    <w:rsid w:val="0049201D"/>
    <w:rsid w:val="00493733"/>
    <w:rsid w:val="00494389"/>
    <w:rsid w:val="0049494D"/>
    <w:rsid w:val="00494958"/>
    <w:rsid w:val="00495443"/>
    <w:rsid w:val="00495614"/>
    <w:rsid w:val="00495AF1"/>
    <w:rsid w:val="00496FEC"/>
    <w:rsid w:val="00497062"/>
    <w:rsid w:val="0049736F"/>
    <w:rsid w:val="00497498"/>
    <w:rsid w:val="0049763B"/>
    <w:rsid w:val="004977C1"/>
    <w:rsid w:val="00497FD1"/>
    <w:rsid w:val="004A05A0"/>
    <w:rsid w:val="004A1131"/>
    <w:rsid w:val="004A1188"/>
    <w:rsid w:val="004A13CF"/>
    <w:rsid w:val="004A1A82"/>
    <w:rsid w:val="004A2811"/>
    <w:rsid w:val="004A2B46"/>
    <w:rsid w:val="004A2DFF"/>
    <w:rsid w:val="004A3349"/>
    <w:rsid w:val="004A385C"/>
    <w:rsid w:val="004A3A53"/>
    <w:rsid w:val="004A4086"/>
    <w:rsid w:val="004A40F8"/>
    <w:rsid w:val="004A49F7"/>
    <w:rsid w:val="004A4DC8"/>
    <w:rsid w:val="004A5267"/>
    <w:rsid w:val="004A542B"/>
    <w:rsid w:val="004A565C"/>
    <w:rsid w:val="004A5F73"/>
    <w:rsid w:val="004A67CE"/>
    <w:rsid w:val="004A6AC7"/>
    <w:rsid w:val="004A723D"/>
    <w:rsid w:val="004B0368"/>
    <w:rsid w:val="004B0A74"/>
    <w:rsid w:val="004B13ED"/>
    <w:rsid w:val="004B2AF7"/>
    <w:rsid w:val="004B2FF9"/>
    <w:rsid w:val="004B37AD"/>
    <w:rsid w:val="004B3954"/>
    <w:rsid w:val="004B4041"/>
    <w:rsid w:val="004B449B"/>
    <w:rsid w:val="004B5837"/>
    <w:rsid w:val="004B5A6F"/>
    <w:rsid w:val="004B5D40"/>
    <w:rsid w:val="004B6256"/>
    <w:rsid w:val="004B651B"/>
    <w:rsid w:val="004B6938"/>
    <w:rsid w:val="004B696A"/>
    <w:rsid w:val="004B7021"/>
    <w:rsid w:val="004B77E4"/>
    <w:rsid w:val="004B7F3E"/>
    <w:rsid w:val="004C01B4"/>
    <w:rsid w:val="004C0C09"/>
    <w:rsid w:val="004C1583"/>
    <w:rsid w:val="004C1AA9"/>
    <w:rsid w:val="004C205C"/>
    <w:rsid w:val="004C2499"/>
    <w:rsid w:val="004C2717"/>
    <w:rsid w:val="004C29BE"/>
    <w:rsid w:val="004C33AD"/>
    <w:rsid w:val="004C3465"/>
    <w:rsid w:val="004C392E"/>
    <w:rsid w:val="004C3C31"/>
    <w:rsid w:val="004C5DA7"/>
    <w:rsid w:val="004C659C"/>
    <w:rsid w:val="004C6970"/>
    <w:rsid w:val="004C6AED"/>
    <w:rsid w:val="004C6DC6"/>
    <w:rsid w:val="004C6F73"/>
    <w:rsid w:val="004C7EF5"/>
    <w:rsid w:val="004D0172"/>
    <w:rsid w:val="004D028B"/>
    <w:rsid w:val="004D0592"/>
    <w:rsid w:val="004D0978"/>
    <w:rsid w:val="004D1EA8"/>
    <w:rsid w:val="004D284B"/>
    <w:rsid w:val="004D2BFD"/>
    <w:rsid w:val="004D304A"/>
    <w:rsid w:val="004D331A"/>
    <w:rsid w:val="004D343D"/>
    <w:rsid w:val="004D4BD1"/>
    <w:rsid w:val="004D56D0"/>
    <w:rsid w:val="004D5D1A"/>
    <w:rsid w:val="004D6499"/>
    <w:rsid w:val="004D7473"/>
    <w:rsid w:val="004D76DC"/>
    <w:rsid w:val="004D7A86"/>
    <w:rsid w:val="004E04D5"/>
    <w:rsid w:val="004E1FF4"/>
    <w:rsid w:val="004E268B"/>
    <w:rsid w:val="004E3C31"/>
    <w:rsid w:val="004E3DC8"/>
    <w:rsid w:val="004E4739"/>
    <w:rsid w:val="004E513B"/>
    <w:rsid w:val="004E5870"/>
    <w:rsid w:val="004E6335"/>
    <w:rsid w:val="004E6CCB"/>
    <w:rsid w:val="004E70D9"/>
    <w:rsid w:val="004E73D4"/>
    <w:rsid w:val="004E7652"/>
    <w:rsid w:val="004E77AB"/>
    <w:rsid w:val="004E77D3"/>
    <w:rsid w:val="004E7860"/>
    <w:rsid w:val="004F0455"/>
    <w:rsid w:val="004F15E4"/>
    <w:rsid w:val="004F38AC"/>
    <w:rsid w:val="004F40A8"/>
    <w:rsid w:val="004F481E"/>
    <w:rsid w:val="004F4B3C"/>
    <w:rsid w:val="004F5D7B"/>
    <w:rsid w:val="004F5EE4"/>
    <w:rsid w:val="004F6533"/>
    <w:rsid w:val="004F6885"/>
    <w:rsid w:val="004F711E"/>
    <w:rsid w:val="00501E55"/>
    <w:rsid w:val="005022E4"/>
    <w:rsid w:val="0050237E"/>
    <w:rsid w:val="0050311F"/>
    <w:rsid w:val="0050374D"/>
    <w:rsid w:val="005038AB"/>
    <w:rsid w:val="00504B5C"/>
    <w:rsid w:val="00504C5D"/>
    <w:rsid w:val="005063ED"/>
    <w:rsid w:val="00506B85"/>
    <w:rsid w:val="00506EC1"/>
    <w:rsid w:val="0050715E"/>
    <w:rsid w:val="005071F4"/>
    <w:rsid w:val="005079BA"/>
    <w:rsid w:val="00507C9B"/>
    <w:rsid w:val="00507DE5"/>
    <w:rsid w:val="005111B3"/>
    <w:rsid w:val="00511353"/>
    <w:rsid w:val="005114E6"/>
    <w:rsid w:val="00511FE8"/>
    <w:rsid w:val="0051282A"/>
    <w:rsid w:val="00512FA5"/>
    <w:rsid w:val="00513A8C"/>
    <w:rsid w:val="00514792"/>
    <w:rsid w:val="00514A19"/>
    <w:rsid w:val="005150DE"/>
    <w:rsid w:val="00515682"/>
    <w:rsid w:val="00515855"/>
    <w:rsid w:val="00516717"/>
    <w:rsid w:val="00517362"/>
    <w:rsid w:val="005178FD"/>
    <w:rsid w:val="00520544"/>
    <w:rsid w:val="00521A6C"/>
    <w:rsid w:val="00522CF3"/>
    <w:rsid w:val="00523F66"/>
    <w:rsid w:val="00524141"/>
    <w:rsid w:val="0052437F"/>
    <w:rsid w:val="005246EA"/>
    <w:rsid w:val="00526522"/>
    <w:rsid w:val="0052677C"/>
    <w:rsid w:val="00526EFE"/>
    <w:rsid w:val="00527008"/>
    <w:rsid w:val="00527EA5"/>
    <w:rsid w:val="005306CF"/>
    <w:rsid w:val="00531B4F"/>
    <w:rsid w:val="0053397D"/>
    <w:rsid w:val="00533D4C"/>
    <w:rsid w:val="0053460E"/>
    <w:rsid w:val="00534EFC"/>
    <w:rsid w:val="0053557C"/>
    <w:rsid w:val="00535DE0"/>
    <w:rsid w:val="00535F5E"/>
    <w:rsid w:val="00536497"/>
    <w:rsid w:val="00536C6C"/>
    <w:rsid w:val="005376D4"/>
    <w:rsid w:val="00537980"/>
    <w:rsid w:val="00537D22"/>
    <w:rsid w:val="005400A8"/>
    <w:rsid w:val="00542225"/>
    <w:rsid w:val="0054239C"/>
    <w:rsid w:val="00542826"/>
    <w:rsid w:val="00542AF2"/>
    <w:rsid w:val="00543395"/>
    <w:rsid w:val="00543519"/>
    <w:rsid w:val="00543841"/>
    <w:rsid w:val="00545B0A"/>
    <w:rsid w:val="005461B7"/>
    <w:rsid w:val="0054650B"/>
    <w:rsid w:val="00546C4B"/>
    <w:rsid w:val="0054737C"/>
    <w:rsid w:val="00550243"/>
    <w:rsid w:val="005504A5"/>
    <w:rsid w:val="005509E7"/>
    <w:rsid w:val="00550AFA"/>
    <w:rsid w:val="005515CF"/>
    <w:rsid w:val="00551970"/>
    <w:rsid w:val="0055198D"/>
    <w:rsid w:val="0055246E"/>
    <w:rsid w:val="005539C6"/>
    <w:rsid w:val="00553FED"/>
    <w:rsid w:val="00554340"/>
    <w:rsid w:val="00554CC3"/>
    <w:rsid w:val="00554F30"/>
    <w:rsid w:val="005560E9"/>
    <w:rsid w:val="0055656F"/>
    <w:rsid w:val="00556F38"/>
    <w:rsid w:val="00557315"/>
    <w:rsid w:val="005575CE"/>
    <w:rsid w:val="00560131"/>
    <w:rsid w:val="00560BB3"/>
    <w:rsid w:val="0056192F"/>
    <w:rsid w:val="00561FFF"/>
    <w:rsid w:val="005624DB"/>
    <w:rsid w:val="00562A60"/>
    <w:rsid w:val="00562AAF"/>
    <w:rsid w:val="00562BE5"/>
    <w:rsid w:val="00562E01"/>
    <w:rsid w:val="00562E53"/>
    <w:rsid w:val="00562FFE"/>
    <w:rsid w:val="005634F7"/>
    <w:rsid w:val="00564CC4"/>
    <w:rsid w:val="00565092"/>
    <w:rsid w:val="005650EF"/>
    <w:rsid w:val="00565E5E"/>
    <w:rsid w:val="00566161"/>
    <w:rsid w:val="00566C56"/>
    <w:rsid w:val="00567353"/>
    <w:rsid w:val="0057020B"/>
    <w:rsid w:val="005705D0"/>
    <w:rsid w:val="00570815"/>
    <w:rsid w:val="00570DB4"/>
    <w:rsid w:val="005714E2"/>
    <w:rsid w:val="0057161B"/>
    <w:rsid w:val="00571A85"/>
    <w:rsid w:val="00571B7A"/>
    <w:rsid w:val="005723AB"/>
    <w:rsid w:val="00572C7B"/>
    <w:rsid w:val="00573282"/>
    <w:rsid w:val="005732F1"/>
    <w:rsid w:val="005733AE"/>
    <w:rsid w:val="00573895"/>
    <w:rsid w:val="005738C6"/>
    <w:rsid w:val="00573B61"/>
    <w:rsid w:val="00574490"/>
    <w:rsid w:val="00576127"/>
    <w:rsid w:val="005763EB"/>
    <w:rsid w:val="00577433"/>
    <w:rsid w:val="00577977"/>
    <w:rsid w:val="00577F8D"/>
    <w:rsid w:val="005807CD"/>
    <w:rsid w:val="00580B5D"/>
    <w:rsid w:val="00581210"/>
    <w:rsid w:val="0058122B"/>
    <w:rsid w:val="0058126C"/>
    <w:rsid w:val="00581395"/>
    <w:rsid w:val="005821A9"/>
    <w:rsid w:val="00582281"/>
    <w:rsid w:val="00584148"/>
    <w:rsid w:val="005861F3"/>
    <w:rsid w:val="005865F0"/>
    <w:rsid w:val="00586CA5"/>
    <w:rsid w:val="0058700C"/>
    <w:rsid w:val="00587580"/>
    <w:rsid w:val="005878FE"/>
    <w:rsid w:val="00590345"/>
    <w:rsid w:val="00591973"/>
    <w:rsid w:val="005932BC"/>
    <w:rsid w:val="005935B4"/>
    <w:rsid w:val="0059390F"/>
    <w:rsid w:val="005940A1"/>
    <w:rsid w:val="005940BD"/>
    <w:rsid w:val="00594422"/>
    <w:rsid w:val="0059506D"/>
    <w:rsid w:val="00595403"/>
    <w:rsid w:val="0059583E"/>
    <w:rsid w:val="0059600E"/>
    <w:rsid w:val="005A0507"/>
    <w:rsid w:val="005A0628"/>
    <w:rsid w:val="005A0DC3"/>
    <w:rsid w:val="005A0F95"/>
    <w:rsid w:val="005A259B"/>
    <w:rsid w:val="005A2698"/>
    <w:rsid w:val="005A2BAF"/>
    <w:rsid w:val="005A31F6"/>
    <w:rsid w:val="005A3981"/>
    <w:rsid w:val="005A3C5C"/>
    <w:rsid w:val="005A3C78"/>
    <w:rsid w:val="005A6174"/>
    <w:rsid w:val="005A65C7"/>
    <w:rsid w:val="005A6A55"/>
    <w:rsid w:val="005A73C4"/>
    <w:rsid w:val="005A7BBC"/>
    <w:rsid w:val="005B071F"/>
    <w:rsid w:val="005B098B"/>
    <w:rsid w:val="005B0CC9"/>
    <w:rsid w:val="005B1052"/>
    <w:rsid w:val="005B15B5"/>
    <w:rsid w:val="005B2273"/>
    <w:rsid w:val="005B24BF"/>
    <w:rsid w:val="005B24C0"/>
    <w:rsid w:val="005B24D6"/>
    <w:rsid w:val="005B2D98"/>
    <w:rsid w:val="005B4786"/>
    <w:rsid w:val="005B49C9"/>
    <w:rsid w:val="005B5812"/>
    <w:rsid w:val="005B5BCF"/>
    <w:rsid w:val="005B60B8"/>
    <w:rsid w:val="005B7BF1"/>
    <w:rsid w:val="005C1A6A"/>
    <w:rsid w:val="005C1ECF"/>
    <w:rsid w:val="005C2732"/>
    <w:rsid w:val="005C3EC1"/>
    <w:rsid w:val="005C4851"/>
    <w:rsid w:val="005C4AB9"/>
    <w:rsid w:val="005C4C29"/>
    <w:rsid w:val="005C5242"/>
    <w:rsid w:val="005C5461"/>
    <w:rsid w:val="005C54CE"/>
    <w:rsid w:val="005C576E"/>
    <w:rsid w:val="005C5D8B"/>
    <w:rsid w:val="005C613F"/>
    <w:rsid w:val="005C672B"/>
    <w:rsid w:val="005C69DF"/>
    <w:rsid w:val="005C6DBC"/>
    <w:rsid w:val="005C6DD1"/>
    <w:rsid w:val="005C7428"/>
    <w:rsid w:val="005C7C14"/>
    <w:rsid w:val="005C7EB4"/>
    <w:rsid w:val="005D06F2"/>
    <w:rsid w:val="005D0713"/>
    <w:rsid w:val="005D177B"/>
    <w:rsid w:val="005D2205"/>
    <w:rsid w:val="005D2A2C"/>
    <w:rsid w:val="005D310C"/>
    <w:rsid w:val="005D3934"/>
    <w:rsid w:val="005D39E8"/>
    <w:rsid w:val="005D3B17"/>
    <w:rsid w:val="005D3E93"/>
    <w:rsid w:val="005D46A7"/>
    <w:rsid w:val="005D48FB"/>
    <w:rsid w:val="005D4F90"/>
    <w:rsid w:val="005D6205"/>
    <w:rsid w:val="005D6CEA"/>
    <w:rsid w:val="005D6E51"/>
    <w:rsid w:val="005D71FB"/>
    <w:rsid w:val="005D7EE7"/>
    <w:rsid w:val="005E0065"/>
    <w:rsid w:val="005E09FB"/>
    <w:rsid w:val="005E108C"/>
    <w:rsid w:val="005E10C1"/>
    <w:rsid w:val="005E1FAF"/>
    <w:rsid w:val="005E20B5"/>
    <w:rsid w:val="005E2533"/>
    <w:rsid w:val="005E2F36"/>
    <w:rsid w:val="005E34A6"/>
    <w:rsid w:val="005E3AF1"/>
    <w:rsid w:val="005E3F39"/>
    <w:rsid w:val="005E3FF5"/>
    <w:rsid w:val="005E44B6"/>
    <w:rsid w:val="005E44E5"/>
    <w:rsid w:val="005E48D2"/>
    <w:rsid w:val="005E4E1A"/>
    <w:rsid w:val="005E5E37"/>
    <w:rsid w:val="005E667A"/>
    <w:rsid w:val="005E66A0"/>
    <w:rsid w:val="005E6A7D"/>
    <w:rsid w:val="005F08AB"/>
    <w:rsid w:val="005F0AC6"/>
    <w:rsid w:val="005F0C17"/>
    <w:rsid w:val="005F13F2"/>
    <w:rsid w:val="005F176C"/>
    <w:rsid w:val="005F1849"/>
    <w:rsid w:val="005F1E0E"/>
    <w:rsid w:val="005F24A1"/>
    <w:rsid w:val="005F2506"/>
    <w:rsid w:val="005F28CF"/>
    <w:rsid w:val="005F2E74"/>
    <w:rsid w:val="005F300D"/>
    <w:rsid w:val="005F3173"/>
    <w:rsid w:val="005F3241"/>
    <w:rsid w:val="005F4147"/>
    <w:rsid w:val="005F5314"/>
    <w:rsid w:val="005F6859"/>
    <w:rsid w:val="005F6E12"/>
    <w:rsid w:val="005F709E"/>
    <w:rsid w:val="005F7361"/>
    <w:rsid w:val="005F76F3"/>
    <w:rsid w:val="0060042A"/>
    <w:rsid w:val="00600466"/>
    <w:rsid w:val="00600690"/>
    <w:rsid w:val="00600991"/>
    <w:rsid w:val="00600C99"/>
    <w:rsid w:val="00600CD7"/>
    <w:rsid w:val="00600E10"/>
    <w:rsid w:val="006015B1"/>
    <w:rsid w:val="00601A1B"/>
    <w:rsid w:val="00601AE6"/>
    <w:rsid w:val="00601BF2"/>
    <w:rsid w:val="00601C01"/>
    <w:rsid w:val="006042E2"/>
    <w:rsid w:val="00604370"/>
    <w:rsid w:val="006046F2"/>
    <w:rsid w:val="00604C71"/>
    <w:rsid w:val="006059EC"/>
    <w:rsid w:val="0060633C"/>
    <w:rsid w:val="006065F8"/>
    <w:rsid w:val="00606AAA"/>
    <w:rsid w:val="00606CCF"/>
    <w:rsid w:val="00610263"/>
    <w:rsid w:val="006109E1"/>
    <w:rsid w:val="00610A4D"/>
    <w:rsid w:val="006113EF"/>
    <w:rsid w:val="00613112"/>
    <w:rsid w:val="00613856"/>
    <w:rsid w:val="00613878"/>
    <w:rsid w:val="00613C75"/>
    <w:rsid w:val="00613EF3"/>
    <w:rsid w:val="00615178"/>
    <w:rsid w:val="00615B45"/>
    <w:rsid w:val="006165EF"/>
    <w:rsid w:val="006169D4"/>
    <w:rsid w:val="006202E5"/>
    <w:rsid w:val="0062082E"/>
    <w:rsid w:val="00621088"/>
    <w:rsid w:val="006210E6"/>
    <w:rsid w:val="006221FE"/>
    <w:rsid w:val="00622724"/>
    <w:rsid w:val="00623951"/>
    <w:rsid w:val="00623D53"/>
    <w:rsid w:val="00624659"/>
    <w:rsid w:val="00625231"/>
    <w:rsid w:val="00625D47"/>
    <w:rsid w:val="00626720"/>
    <w:rsid w:val="00627121"/>
    <w:rsid w:val="0062730A"/>
    <w:rsid w:val="00627E2F"/>
    <w:rsid w:val="00630479"/>
    <w:rsid w:val="00630DBD"/>
    <w:rsid w:val="00630EB4"/>
    <w:rsid w:val="00632348"/>
    <w:rsid w:val="00632EC1"/>
    <w:rsid w:val="00634698"/>
    <w:rsid w:val="006346F6"/>
    <w:rsid w:val="00634B90"/>
    <w:rsid w:val="00634F6E"/>
    <w:rsid w:val="006352F8"/>
    <w:rsid w:val="0063541F"/>
    <w:rsid w:val="00635710"/>
    <w:rsid w:val="006363FD"/>
    <w:rsid w:val="0063688A"/>
    <w:rsid w:val="00636AA0"/>
    <w:rsid w:val="00636B26"/>
    <w:rsid w:val="00636CF1"/>
    <w:rsid w:val="00637234"/>
    <w:rsid w:val="00637BA0"/>
    <w:rsid w:val="00640A2D"/>
    <w:rsid w:val="00640BB8"/>
    <w:rsid w:val="00640DA9"/>
    <w:rsid w:val="00641388"/>
    <w:rsid w:val="00641621"/>
    <w:rsid w:val="00641747"/>
    <w:rsid w:val="00641B84"/>
    <w:rsid w:val="00642437"/>
    <w:rsid w:val="00642568"/>
    <w:rsid w:val="00643645"/>
    <w:rsid w:val="00643FB1"/>
    <w:rsid w:val="00644174"/>
    <w:rsid w:val="006451D5"/>
    <w:rsid w:val="00646029"/>
    <w:rsid w:val="00646648"/>
    <w:rsid w:val="006470B9"/>
    <w:rsid w:val="006472D7"/>
    <w:rsid w:val="006476FB"/>
    <w:rsid w:val="00647CA3"/>
    <w:rsid w:val="0065088C"/>
    <w:rsid w:val="006509B1"/>
    <w:rsid w:val="00650B5B"/>
    <w:rsid w:val="006516AE"/>
    <w:rsid w:val="0065272D"/>
    <w:rsid w:val="00652BF7"/>
    <w:rsid w:val="00653446"/>
    <w:rsid w:val="00653535"/>
    <w:rsid w:val="00654080"/>
    <w:rsid w:val="006541E0"/>
    <w:rsid w:val="00654DF2"/>
    <w:rsid w:val="00654E98"/>
    <w:rsid w:val="0065579F"/>
    <w:rsid w:val="00655CEC"/>
    <w:rsid w:val="00656814"/>
    <w:rsid w:val="0065769E"/>
    <w:rsid w:val="0066009E"/>
    <w:rsid w:val="00660E2C"/>
    <w:rsid w:val="006612E7"/>
    <w:rsid w:val="00661BCA"/>
    <w:rsid w:val="00661D19"/>
    <w:rsid w:val="00662C1A"/>
    <w:rsid w:val="0066382A"/>
    <w:rsid w:val="00663AE1"/>
    <w:rsid w:val="0066409B"/>
    <w:rsid w:val="00664483"/>
    <w:rsid w:val="00664898"/>
    <w:rsid w:val="00665568"/>
    <w:rsid w:val="00665646"/>
    <w:rsid w:val="00665749"/>
    <w:rsid w:val="0066598E"/>
    <w:rsid w:val="00667247"/>
    <w:rsid w:val="006675E2"/>
    <w:rsid w:val="00667D21"/>
    <w:rsid w:val="00667D81"/>
    <w:rsid w:val="006701FE"/>
    <w:rsid w:val="00670862"/>
    <w:rsid w:val="006736C5"/>
    <w:rsid w:val="006745A9"/>
    <w:rsid w:val="006765B2"/>
    <w:rsid w:val="006771BC"/>
    <w:rsid w:val="0067772B"/>
    <w:rsid w:val="00677BC5"/>
    <w:rsid w:val="00677D60"/>
    <w:rsid w:val="00680C3E"/>
    <w:rsid w:val="006810BB"/>
    <w:rsid w:val="006814CF"/>
    <w:rsid w:val="006823FD"/>
    <w:rsid w:val="0068258A"/>
    <w:rsid w:val="00683085"/>
    <w:rsid w:val="006831AC"/>
    <w:rsid w:val="00683290"/>
    <w:rsid w:val="0068364C"/>
    <w:rsid w:val="00684BDB"/>
    <w:rsid w:val="00685A66"/>
    <w:rsid w:val="00685B1D"/>
    <w:rsid w:val="00685D6A"/>
    <w:rsid w:val="0068640D"/>
    <w:rsid w:val="0068647D"/>
    <w:rsid w:val="0068698E"/>
    <w:rsid w:val="00686C2E"/>
    <w:rsid w:val="00687013"/>
    <w:rsid w:val="0068771B"/>
    <w:rsid w:val="00687BF1"/>
    <w:rsid w:val="006911A4"/>
    <w:rsid w:val="00691333"/>
    <w:rsid w:val="006916F3"/>
    <w:rsid w:val="00692917"/>
    <w:rsid w:val="00692A7F"/>
    <w:rsid w:val="006935D3"/>
    <w:rsid w:val="00693810"/>
    <w:rsid w:val="0069540E"/>
    <w:rsid w:val="006961F7"/>
    <w:rsid w:val="00696750"/>
    <w:rsid w:val="00696C37"/>
    <w:rsid w:val="00697017"/>
    <w:rsid w:val="00697BA6"/>
    <w:rsid w:val="00697F7F"/>
    <w:rsid w:val="00697FBF"/>
    <w:rsid w:val="006A1916"/>
    <w:rsid w:val="006A1FDE"/>
    <w:rsid w:val="006A23EC"/>
    <w:rsid w:val="006A24D2"/>
    <w:rsid w:val="006A2745"/>
    <w:rsid w:val="006A2F47"/>
    <w:rsid w:val="006A4059"/>
    <w:rsid w:val="006A4137"/>
    <w:rsid w:val="006A4524"/>
    <w:rsid w:val="006A5057"/>
    <w:rsid w:val="006A5440"/>
    <w:rsid w:val="006A5DAE"/>
    <w:rsid w:val="006A7007"/>
    <w:rsid w:val="006B042F"/>
    <w:rsid w:val="006B0490"/>
    <w:rsid w:val="006B05BE"/>
    <w:rsid w:val="006B2A4E"/>
    <w:rsid w:val="006B2C24"/>
    <w:rsid w:val="006B3215"/>
    <w:rsid w:val="006B41CF"/>
    <w:rsid w:val="006B450B"/>
    <w:rsid w:val="006B4D84"/>
    <w:rsid w:val="006B50E8"/>
    <w:rsid w:val="006B62B8"/>
    <w:rsid w:val="006B63A2"/>
    <w:rsid w:val="006B69D0"/>
    <w:rsid w:val="006B7289"/>
    <w:rsid w:val="006C077C"/>
    <w:rsid w:val="006C0A5D"/>
    <w:rsid w:val="006C1551"/>
    <w:rsid w:val="006C1B29"/>
    <w:rsid w:val="006C1F44"/>
    <w:rsid w:val="006C284E"/>
    <w:rsid w:val="006C377B"/>
    <w:rsid w:val="006C38BF"/>
    <w:rsid w:val="006C3E00"/>
    <w:rsid w:val="006C42DC"/>
    <w:rsid w:val="006C43B8"/>
    <w:rsid w:val="006C5E8B"/>
    <w:rsid w:val="006C620A"/>
    <w:rsid w:val="006C62E8"/>
    <w:rsid w:val="006C64A2"/>
    <w:rsid w:val="006C7209"/>
    <w:rsid w:val="006C7F36"/>
    <w:rsid w:val="006D034E"/>
    <w:rsid w:val="006D1B2A"/>
    <w:rsid w:val="006D1EEC"/>
    <w:rsid w:val="006D2010"/>
    <w:rsid w:val="006D3A99"/>
    <w:rsid w:val="006D3E44"/>
    <w:rsid w:val="006D418F"/>
    <w:rsid w:val="006D44C0"/>
    <w:rsid w:val="006D46D9"/>
    <w:rsid w:val="006D4A3E"/>
    <w:rsid w:val="006D4DC8"/>
    <w:rsid w:val="006D58C5"/>
    <w:rsid w:val="006D58F9"/>
    <w:rsid w:val="006D5919"/>
    <w:rsid w:val="006D6703"/>
    <w:rsid w:val="006D6A4B"/>
    <w:rsid w:val="006D72B4"/>
    <w:rsid w:val="006D7AF7"/>
    <w:rsid w:val="006E0217"/>
    <w:rsid w:val="006E0AE6"/>
    <w:rsid w:val="006E1222"/>
    <w:rsid w:val="006E26DE"/>
    <w:rsid w:val="006E27AB"/>
    <w:rsid w:val="006E36A3"/>
    <w:rsid w:val="006E391E"/>
    <w:rsid w:val="006E4E6D"/>
    <w:rsid w:val="006E5C1B"/>
    <w:rsid w:val="006E60C9"/>
    <w:rsid w:val="006E62A5"/>
    <w:rsid w:val="006E65BA"/>
    <w:rsid w:val="006E6BF6"/>
    <w:rsid w:val="006E7D55"/>
    <w:rsid w:val="006F0290"/>
    <w:rsid w:val="006F13F2"/>
    <w:rsid w:val="006F1A46"/>
    <w:rsid w:val="006F247E"/>
    <w:rsid w:val="006F3214"/>
    <w:rsid w:val="006F3458"/>
    <w:rsid w:val="006F40BB"/>
    <w:rsid w:val="006F4B9F"/>
    <w:rsid w:val="006F5DEE"/>
    <w:rsid w:val="006F5F6C"/>
    <w:rsid w:val="006F5FBC"/>
    <w:rsid w:val="006F6B58"/>
    <w:rsid w:val="006F7167"/>
    <w:rsid w:val="006F7315"/>
    <w:rsid w:val="006F7960"/>
    <w:rsid w:val="006F7B5E"/>
    <w:rsid w:val="006F7D36"/>
    <w:rsid w:val="007007B1"/>
    <w:rsid w:val="00700E90"/>
    <w:rsid w:val="007013D9"/>
    <w:rsid w:val="00701B2C"/>
    <w:rsid w:val="007021E3"/>
    <w:rsid w:val="007024D2"/>
    <w:rsid w:val="007026F0"/>
    <w:rsid w:val="00702B56"/>
    <w:rsid w:val="00702E9B"/>
    <w:rsid w:val="00703A61"/>
    <w:rsid w:val="00703A64"/>
    <w:rsid w:val="00705D99"/>
    <w:rsid w:val="00706056"/>
    <w:rsid w:val="007068C8"/>
    <w:rsid w:val="00707A05"/>
    <w:rsid w:val="00707CBE"/>
    <w:rsid w:val="00707DBC"/>
    <w:rsid w:val="00707F6B"/>
    <w:rsid w:val="00710042"/>
    <w:rsid w:val="00710912"/>
    <w:rsid w:val="00710B98"/>
    <w:rsid w:val="00710CB6"/>
    <w:rsid w:val="00710CC8"/>
    <w:rsid w:val="00711926"/>
    <w:rsid w:val="00711FB0"/>
    <w:rsid w:val="00712091"/>
    <w:rsid w:val="0071228E"/>
    <w:rsid w:val="0071240C"/>
    <w:rsid w:val="0071249C"/>
    <w:rsid w:val="00712F2E"/>
    <w:rsid w:val="00712FA2"/>
    <w:rsid w:val="00713070"/>
    <w:rsid w:val="00713F1E"/>
    <w:rsid w:val="007146BE"/>
    <w:rsid w:val="007149A2"/>
    <w:rsid w:val="00715E24"/>
    <w:rsid w:val="007166D7"/>
    <w:rsid w:val="007216F0"/>
    <w:rsid w:val="00721B6A"/>
    <w:rsid w:val="00721DFF"/>
    <w:rsid w:val="00722C84"/>
    <w:rsid w:val="007236BD"/>
    <w:rsid w:val="0072388C"/>
    <w:rsid w:val="00725366"/>
    <w:rsid w:val="007258AA"/>
    <w:rsid w:val="00725C11"/>
    <w:rsid w:val="00726C03"/>
    <w:rsid w:val="00726ED8"/>
    <w:rsid w:val="00727EA2"/>
    <w:rsid w:val="007315F1"/>
    <w:rsid w:val="0073191C"/>
    <w:rsid w:val="00731CF2"/>
    <w:rsid w:val="007339A3"/>
    <w:rsid w:val="00733FA2"/>
    <w:rsid w:val="00734BAE"/>
    <w:rsid w:val="0073510C"/>
    <w:rsid w:val="007360BF"/>
    <w:rsid w:val="00737178"/>
    <w:rsid w:val="007376BF"/>
    <w:rsid w:val="00737B8B"/>
    <w:rsid w:val="007402AD"/>
    <w:rsid w:val="00740647"/>
    <w:rsid w:val="00740B8C"/>
    <w:rsid w:val="00740C58"/>
    <w:rsid w:val="00740C6D"/>
    <w:rsid w:val="007417D3"/>
    <w:rsid w:val="007421FA"/>
    <w:rsid w:val="007435BE"/>
    <w:rsid w:val="00743BE7"/>
    <w:rsid w:val="0074458C"/>
    <w:rsid w:val="00744EFE"/>
    <w:rsid w:val="00746355"/>
    <w:rsid w:val="00746A72"/>
    <w:rsid w:val="0074735E"/>
    <w:rsid w:val="00747F51"/>
    <w:rsid w:val="00750202"/>
    <w:rsid w:val="00750663"/>
    <w:rsid w:val="0075112E"/>
    <w:rsid w:val="00751A85"/>
    <w:rsid w:val="00751FD0"/>
    <w:rsid w:val="0075234A"/>
    <w:rsid w:val="00753267"/>
    <w:rsid w:val="007536F7"/>
    <w:rsid w:val="0075416D"/>
    <w:rsid w:val="0075418E"/>
    <w:rsid w:val="007549BF"/>
    <w:rsid w:val="007550A9"/>
    <w:rsid w:val="00756174"/>
    <w:rsid w:val="007561E7"/>
    <w:rsid w:val="00756EDD"/>
    <w:rsid w:val="007578E0"/>
    <w:rsid w:val="00760AE6"/>
    <w:rsid w:val="00760B40"/>
    <w:rsid w:val="00760BCE"/>
    <w:rsid w:val="00760E68"/>
    <w:rsid w:val="00761DBB"/>
    <w:rsid w:val="00762959"/>
    <w:rsid w:val="0076329B"/>
    <w:rsid w:val="00763533"/>
    <w:rsid w:val="00763A85"/>
    <w:rsid w:val="00763CBC"/>
    <w:rsid w:val="0076407E"/>
    <w:rsid w:val="00764521"/>
    <w:rsid w:val="00764895"/>
    <w:rsid w:val="00764BA5"/>
    <w:rsid w:val="0076528F"/>
    <w:rsid w:val="007654DF"/>
    <w:rsid w:val="00765CC8"/>
    <w:rsid w:val="007663DA"/>
    <w:rsid w:val="007670E4"/>
    <w:rsid w:val="007678E2"/>
    <w:rsid w:val="007679B8"/>
    <w:rsid w:val="0077037A"/>
    <w:rsid w:val="00770D57"/>
    <w:rsid w:val="0077106E"/>
    <w:rsid w:val="00772ABE"/>
    <w:rsid w:val="00774156"/>
    <w:rsid w:val="007753DA"/>
    <w:rsid w:val="0077548B"/>
    <w:rsid w:val="0077662F"/>
    <w:rsid w:val="00776C9C"/>
    <w:rsid w:val="00776D12"/>
    <w:rsid w:val="00777D3F"/>
    <w:rsid w:val="00777E6D"/>
    <w:rsid w:val="00780440"/>
    <w:rsid w:val="00780861"/>
    <w:rsid w:val="00781242"/>
    <w:rsid w:val="00781B4F"/>
    <w:rsid w:val="007833C6"/>
    <w:rsid w:val="007838EE"/>
    <w:rsid w:val="00783EAA"/>
    <w:rsid w:val="007841E6"/>
    <w:rsid w:val="00785041"/>
    <w:rsid w:val="0078506F"/>
    <w:rsid w:val="00787A29"/>
    <w:rsid w:val="00790FBD"/>
    <w:rsid w:val="007919F5"/>
    <w:rsid w:val="00791F19"/>
    <w:rsid w:val="007930DB"/>
    <w:rsid w:val="00793F7E"/>
    <w:rsid w:val="007943F8"/>
    <w:rsid w:val="00794C53"/>
    <w:rsid w:val="00795860"/>
    <w:rsid w:val="00795C1D"/>
    <w:rsid w:val="00795DFD"/>
    <w:rsid w:val="0079607A"/>
    <w:rsid w:val="0079636E"/>
    <w:rsid w:val="007967C3"/>
    <w:rsid w:val="00796946"/>
    <w:rsid w:val="00796A5E"/>
    <w:rsid w:val="00796AA7"/>
    <w:rsid w:val="00796FE3"/>
    <w:rsid w:val="00797F99"/>
    <w:rsid w:val="007A1621"/>
    <w:rsid w:val="007A1D3A"/>
    <w:rsid w:val="007A212A"/>
    <w:rsid w:val="007A28E4"/>
    <w:rsid w:val="007A306E"/>
    <w:rsid w:val="007A411F"/>
    <w:rsid w:val="007A4430"/>
    <w:rsid w:val="007A4A2C"/>
    <w:rsid w:val="007A4B84"/>
    <w:rsid w:val="007A4C57"/>
    <w:rsid w:val="007A525F"/>
    <w:rsid w:val="007A58F3"/>
    <w:rsid w:val="007A5994"/>
    <w:rsid w:val="007A6A05"/>
    <w:rsid w:val="007A75CB"/>
    <w:rsid w:val="007A7710"/>
    <w:rsid w:val="007B00DD"/>
    <w:rsid w:val="007B19E0"/>
    <w:rsid w:val="007B1A4F"/>
    <w:rsid w:val="007B1BB4"/>
    <w:rsid w:val="007B268E"/>
    <w:rsid w:val="007B2800"/>
    <w:rsid w:val="007B2E23"/>
    <w:rsid w:val="007B2E5B"/>
    <w:rsid w:val="007B3AE0"/>
    <w:rsid w:val="007B3E22"/>
    <w:rsid w:val="007B40D4"/>
    <w:rsid w:val="007B553E"/>
    <w:rsid w:val="007B5C8A"/>
    <w:rsid w:val="007B6DA6"/>
    <w:rsid w:val="007B6EE5"/>
    <w:rsid w:val="007B7700"/>
    <w:rsid w:val="007C12A3"/>
    <w:rsid w:val="007C1867"/>
    <w:rsid w:val="007C1E1D"/>
    <w:rsid w:val="007C1FE6"/>
    <w:rsid w:val="007C26CF"/>
    <w:rsid w:val="007C2E0C"/>
    <w:rsid w:val="007C30A6"/>
    <w:rsid w:val="007C42E7"/>
    <w:rsid w:val="007C6170"/>
    <w:rsid w:val="007C7424"/>
    <w:rsid w:val="007C74CB"/>
    <w:rsid w:val="007C7CAA"/>
    <w:rsid w:val="007D0660"/>
    <w:rsid w:val="007D10D2"/>
    <w:rsid w:val="007D2830"/>
    <w:rsid w:val="007D2FC2"/>
    <w:rsid w:val="007D3068"/>
    <w:rsid w:val="007D32E5"/>
    <w:rsid w:val="007D3676"/>
    <w:rsid w:val="007D3D52"/>
    <w:rsid w:val="007D4066"/>
    <w:rsid w:val="007D4E1B"/>
    <w:rsid w:val="007D53C5"/>
    <w:rsid w:val="007D5F5E"/>
    <w:rsid w:val="007D60EC"/>
    <w:rsid w:val="007D68AE"/>
    <w:rsid w:val="007D706B"/>
    <w:rsid w:val="007D71EB"/>
    <w:rsid w:val="007D71F9"/>
    <w:rsid w:val="007D754B"/>
    <w:rsid w:val="007D783C"/>
    <w:rsid w:val="007E01D4"/>
    <w:rsid w:val="007E06DB"/>
    <w:rsid w:val="007E0B64"/>
    <w:rsid w:val="007E1BC4"/>
    <w:rsid w:val="007E1C6B"/>
    <w:rsid w:val="007E1E36"/>
    <w:rsid w:val="007E2353"/>
    <w:rsid w:val="007E26EA"/>
    <w:rsid w:val="007E2843"/>
    <w:rsid w:val="007E28AC"/>
    <w:rsid w:val="007E35B0"/>
    <w:rsid w:val="007E407C"/>
    <w:rsid w:val="007E44AE"/>
    <w:rsid w:val="007E4616"/>
    <w:rsid w:val="007E52EB"/>
    <w:rsid w:val="007E5652"/>
    <w:rsid w:val="007E5A1E"/>
    <w:rsid w:val="007E66D0"/>
    <w:rsid w:val="007E676B"/>
    <w:rsid w:val="007E7880"/>
    <w:rsid w:val="007E78BA"/>
    <w:rsid w:val="007E7D64"/>
    <w:rsid w:val="007F08FF"/>
    <w:rsid w:val="007F1362"/>
    <w:rsid w:val="007F1975"/>
    <w:rsid w:val="007F2276"/>
    <w:rsid w:val="007F25D8"/>
    <w:rsid w:val="007F2B69"/>
    <w:rsid w:val="007F2FC6"/>
    <w:rsid w:val="007F3AA2"/>
    <w:rsid w:val="007F3BE0"/>
    <w:rsid w:val="007F3BEB"/>
    <w:rsid w:val="007F45EB"/>
    <w:rsid w:val="007F48B5"/>
    <w:rsid w:val="007F5605"/>
    <w:rsid w:val="007F5E7B"/>
    <w:rsid w:val="007F61A0"/>
    <w:rsid w:val="007F6742"/>
    <w:rsid w:val="007F6D7C"/>
    <w:rsid w:val="0080007F"/>
    <w:rsid w:val="008011DB"/>
    <w:rsid w:val="00801A14"/>
    <w:rsid w:val="00801BC7"/>
    <w:rsid w:val="00801BF2"/>
    <w:rsid w:val="00801C9D"/>
    <w:rsid w:val="008027CE"/>
    <w:rsid w:val="00803AF5"/>
    <w:rsid w:val="00804EEF"/>
    <w:rsid w:val="008065F0"/>
    <w:rsid w:val="008072D8"/>
    <w:rsid w:val="0081037B"/>
    <w:rsid w:val="008113B0"/>
    <w:rsid w:val="0081331D"/>
    <w:rsid w:val="0081410C"/>
    <w:rsid w:val="008141D1"/>
    <w:rsid w:val="00815296"/>
    <w:rsid w:val="00815324"/>
    <w:rsid w:val="00815A6E"/>
    <w:rsid w:val="00815BD9"/>
    <w:rsid w:val="00815D66"/>
    <w:rsid w:val="00817764"/>
    <w:rsid w:val="00817A40"/>
    <w:rsid w:val="00820781"/>
    <w:rsid w:val="008208FF"/>
    <w:rsid w:val="00821166"/>
    <w:rsid w:val="008212C3"/>
    <w:rsid w:val="00822D66"/>
    <w:rsid w:val="00824F7B"/>
    <w:rsid w:val="008258BD"/>
    <w:rsid w:val="00826615"/>
    <w:rsid w:val="00827106"/>
    <w:rsid w:val="00827387"/>
    <w:rsid w:val="0083007F"/>
    <w:rsid w:val="0083020A"/>
    <w:rsid w:val="00831374"/>
    <w:rsid w:val="00831C3D"/>
    <w:rsid w:val="008335B7"/>
    <w:rsid w:val="00833606"/>
    <w:rsid w:val="008340E2"/>
    <w:rsid w:val="00834754"/>
    <w:rsid w:val="00834BAA"/>
    <w:rsid w:val="00834E2A"/>
    <w:rsid w:val="00834F03"/>
    <w:rsid w:val="008354D6"/>
    <w:rsid w:val="00835857"/>
    <w:rsid w:val="008364C5"/>
    <w:rsid w:val="00837322"/>
    <w:rsid w:val="00840067"/>
    <w:rsid w:val="00840A12"/>
    <w:rsid w:val="00841AD0"/>
    <w:rsid w:val="00841C4F"/>
    <w:rsid w:val="00842FC7"/>
    <w:rsid w:val="0084365F"/>
    <w:rsid w:val="00843978"/>
    <w:rsid w:val="00843F83"/>
    <w:rsid w:val="00845460"/>
    <w:rsid w:val="00845C8B"/>
    <w:rsid w:val="00845EE2"/>
    <w:rsid w:val="0084606B"/>
    <w:rsid w:val="008467FF"/>
    <w:rsid w:val="00846B58"/>
    <w:rsid w:val="008471B5"/>
    <w:rsid w:val="00850916"/>
    <w:rsid w:val="00850FD6"/>
    <w:rsid w:val="00851A0A"/>
    <w:rsid w:val="00852C59"/>
    <w:rsid w:val="00852E2C"/>
    <w:rsid w:val="008535C4"/>
    <w:rsid w:val="00853EAB"/>
    <w:rsid w:val="00854569"/>
    <w:rsid w:val="008546B5"/>
    <w:rsid w:val="00854970"/>
    <w:rsid w:val="00854AD8"/>
    <w:rsid w:val="00855E54"/>
    <w:rsid w:val="008568DD"/>
    <w:rsid w:val="00857104"/>
    <w:rsid w:val="0085766A"/>
    <w:rsid w:val="00857D62"/>
    <w:rsid w:val="00860510"/>
    <w:rsid w:val="00860881"/>
    <w:rsid w:val="00860CBE"/>
    <w:rsid w:val="0086129B"/>
    <w:rsid w:val="0086159C"/>
    <w:rsid w:val="00862169"/>
    <w:rsid w:val="00863037"/>
    <w:rsid w:val="0086385A"/>
    <w:rsid w:val="008638FD"/>
    <w:rsid w:val="00863BC7"/>
    <w:rsid w:val="00864075"/>
    <w:rsid w:val="008643A4"/>
    <w:rsid w:val="0086442E"/>
    <w:rsid w:val="008644C3"/>
    <w:rsid w:val="00864D62"/>
    <w:rsid w:val="00865974"/>
    <w:rsid w:val="00865BAC"/>
    <w:rsid w:val="008665FC"/>
    <w:rsid w:val="008666C4"/>
    <w:rsid w:val="00866CA1"/>
    <w:rsid w:val="008700CB"/>
    <w:rsid w:val="00870294"/>
    <w:rsid w:val="0087041A"/>
    <w:rsid w:val="0087062E"/>
    <w:rsid w:val="00870BF8"/>
    <w:rsid w:val="008715FD"/>
    <w:rsid w:val="00872250"/>
    <w:rsid w:val="00872768"/>
    <w:rsid w:val="00872E7C"/>
    <w:rsid w:val="008731E9"/>
    <w:rsid w:val="00874B9C"/>
    <w:rsid w:val="00874FA8"/>
    <w:rsid w:val="00875DEB"/>
    <w:rsid w:val="008767E0"/>
    <w:rsid w:val="00876DAE"/>
    <w:rsid w:val="00876EB8"/>
    <w:rsid w:val="00877077"/>
    <w:rsid w:val="008776AA"/>
    <w:rsid w:val="00877AFE"/>
    <w:rsid w:val="00877FA7"/>
    <w:rsid w:val="00880CD1"/>
    <w:rsid w:val="008813F4"/>
    <w:rsid w:val="00882826"/>
    <w:rsid w:val="00882BBD"/>
    <w:rsid w:val="00882C89"/>
    <w:rsid w:val="00883D09"/>
    <w:rsid w:val="00883DB2"/>
    <w:rsid w:val="00884262"/>
    <w:rsid w:val="00884A56"/>
    <w:rsid w:val="00885344"/>
    <w:rsid w:val="008855E0"/>
    <w:rsid w:val="00885A07"/>
    <w:rsid w:val="008862E3"/>
    <w:rsid w:val="008865B4"/>
    <w:rsid w:val="00886DF6"/>
    <w:rsid w:val="00887716"/>
    <w:rsid w:val="00890411"/>
    <w:rsid w:val="00890D01"/>
    <w:rsid w:val="008916B7"/>
    <w:rsid w:val="00891BA5"/>
    <w:rsid w:val="00891FE3"/>
    <w:rsid w:val="008925C7"/>
    <w:rsid w:val="0089288C"/>
    <w:rsid w:val="008938B0"/>
    <w:rsid w:val="00893F2C"/>
    <w:rsid w:val="008942F1"/>
    <w:rsid w:val="00894823"/>
    <w:rsid w:val="00894BE9"/>
    <w:rsid w:val="0089517E"/>
    <w:rsid w:val="00896013"/>
    <w:rsid w:val="00896A1C"/>
    <w:rsid w:val="00896F09"/>
    <w:rsid w:val="008978F0"/>
    <w:rsid w:val="008979A3"/>
    <w:rsid w:val="008A0538"/>
    <w:rsid w:val="008A18EA"/>
    <w:rsid w:val="008A1A5C"/>
    <w:rsid w:val="008A1F3B"/>
    <w:rsid w:val="008A27FF"/>
    <w:rsid w:val="008A28ED"/>
    <w:rsid w:val="008A2E5F"/>
    <w:rsid w:val="008A4B6E"/>
    <w:rsid w:val="008A555F"/>
    <w:rsid w:val="008A5F50"/>
    <w:rsid w:val="008A6095"/>
    <w:rsid w:val="008A633A"/>
    <w:rsid w:val="008A6BE6"/>
    <w:rsid w:val="008A769C"/>
    <w:rsid w:val="008B0AED"/>
    <w:rsid w:val="008B12DD"/>
    <w:rsid w:val="008B1C95"/>
    <w:rsid w:val="008B271F"/>
    <w:rsid w:val="008B2AF2"/>
    <w:rsid w:val="008B2F2D"/>
    <w:rsid w:val="008B3DE7"/>
    <w:rsid w:val="008B401F"/>
    <w:rsid w:val="008B4EB1"/>
    <w:rsid w:val="008B5F50"/>
    <w:rsid w:val="008B6DD4"/>
    <w:rsid w:val="008B780C"/>
    <w:rsid w:val="008C12FF"/>
    <w:rsid w:val="008C1910"/>
    <w:rsid w:val="008C197B"/>
    <w:rsid w:val="008C1B2F"/>
    <w:rsid w:val="008C1E59"/>
    <w:rsid w:val="008C25FB"/>
    <w:rsid w:val="008C280D"/>
    <w:rsid w:val="008C33F1"/>
    <w:rsid w:val="008C362B"/>
    <w:rsid w:val="008C3838"/>
    <w:rsid w:val="008C3EA1"/>
    <w:rsid w:val="008C56AD"/>
    <w:rsid w:val="008C5943"/>
    <w:rsid w:val="008C5A64"/>
    <w:rsid w:val="008C5CE3"/>
    <w:rsid w:val="008C5FC9"/>
    <w:rsid w:val="008C62D0"/>
    <w:rsid w:val="008C62DD"/>
    <w:rsid w:val="008C717B"/>
    <w:rsid w:val="008C74D0"/>
    <w:rsid w:val="008C754A"/>
    <w:rsid w:val="008C7F0A"/>
    <w:rsid w:val="008D06CF"/>
    <w:rsid w:val="008D0FFD"/>
    <w:rsid w:val="008D16ED"/>
    <w:rsid w:val="008D1D50"/>
    <w:rsid w:val="008D22B0"/>
    <w:rsid w:val="008D22EB"/>
    <w:rsid w:val="008D23AD"/>
    <w:rsid w:val="008D2E6F"/>
    <w:rsid w:val="008D3636"/>
    <w:rsid w:val="008D4B55"/>
    <w:rsid w:val="008D5154"/>
    <w:rsid w:val="008D6102"/>
    <w:rsid w:val="008D6EE5"/>
    <w:rsid w:val="008E02C7"/>
    <w:rsid w:val="008E037C"/>
    <w:rsid w:val="008E0538"/>
    <w:rsid w:val="008E07F6"/>
    <w:rsid w:val="008E098A"/>
    <w:rsid w:val="008E248C"/>
    <w:rsid w:val="008E24FE"/>
    <w:rsid w:val="008E2AE8"/>
    <w:rsid w:val="008E30D7"/>
    <w:rsid w:val="008E352A"/>
    <w:rsid w:val="008E3CD2"/>
    <w:rsid w:val="008E3D33"/>
    <w:rsid w:val="008E4758"/>
    <w:rsid w:val="008E59D3"/>
    <w:rsid w:val="008E5C39"/>
    <w:rsid w:val="008E633B"/>
    <w:rsid w:val="008E69C1"/>
    <w:rsid w:val="008E7304"/>
    <w:rsid w:val="008E7E42"/>
    <w:rsid w:val="008F046D"/>
    <w:rsid w:val="008F0742"/>
    <w:rsid w:val="008F141B"/>
    <w:rsid w:val="008F14FA"/>
    <w:rsid w:val="008F1BA5"/>
    <w:rsid w:val="008F2C1C"/>
    <w:rsid w:val="008F2D91"/>
    <w:rsid w:val="008F2F10"/>
    <w:rsid w:val="008F399E"/>
    <w:rsid w:val="008F4201"/>
    <w:rsid w:val="008F45ED"/>
    <w:rsid w:val="008F47E8"/>
    <w:rsid w:val="008F4B65"/>
    <w:rsid w:val="008F4B75"/>
    <w:rsid w:val="008F50C2"/>
    <w:rsid w:val="008F5CFA"/>
    <w:rsid w:val="008F61A9"/>
    <w:rsid w:val="008F6397"/>
    <w:rsid w:val="008F6771"/>
    <w:rsid w:val="008F69B2"/>
    <w:rsid w:val="008F710D"/>
    <w:rsid w:val="00901252"/>
    <w:rsid w:val="00901294"/>
    <w:rsid w:val="00901995"/>
    <w:rsid w:val="00902A08"/>
    <w:rsid w:val="00902D87"/>
    <w:rsid w:val="00902E41"/>
    <w:rsid w:val="00904416"/>
    <w:rsid w:val="0090657B"/>
    <w:rsid w:val="0090672B"/>
    <w:rsid w:val="00906FB5"/>
    <w:rsid w:val="009100C2"/>
    <w:rsid w:val="00912845"/>
    <w:rsid w:val="00913115"/>
    <w:rsid w:val="00913514"/>
    <w:rsid w:val="00913809"/>
    <w:rsid w:val="00913C32"/>
    <w:rsid w:val="009141F1"/>
    <w:rsid w:val="00914680"/>
    <w:rsid w:val="00915421"/>
    <w:rsid w:val="00916C2A"/>
    <w:rsid w:val="00916C93"/>
    <w:rsid w:val="0091736E"/>
    <w:rsid w:val="0091752F"/>
    <w:rsid w:val="0091791B"/>
    <w:rsid w:val="00917C86"/>
    <w:rsid w:val="00917D60"/>
    <w:rsid w:val="0092012D"/>
    <w:rsid w:val="009203F2"/>
    <w:rsid w:val="009206BD"/>
    <w:rsid w:val="00920AF2"/>
    <w:rsid w:val="00920C05"/>
    <w:rsid w:val="009210CF"/>
    <w:rsid w:val="009217AF"/>
    <w:rsid w:val="00921914"/>
    <w:rsid w:val="00922F14"/>
    <w:rsid w:val="009238C0"/>
    <w:rsid w:val="0092661C"/>
    <w:rsid w:val="00927AC5"/>
    <w:rsid w:val="00930523"/>
    <w:rsid w:val="009308D4"/>
    <w:rsid w:val="00931BFC"/>
    <w:rsid w:val="0093268D"/>
    <w:rsid w:val="00932940"/>
    <w:rsid w:val="009329FB"/>
    <w:rsid w:val="00933A3D"/>
    <w:rsid w:val="00934395"/>
    <w:rsid w:val="009343A4"/>
    <w:rsid w:val="00934631"/>
    <w:rsid w:val="009346CC"/>
    <w:rsid w:val="00934FDE"/>
    <w:rsid w:val="00936CDC"/>
    <w:rsid w:val="00937E7E"/>
    <w:rsid w:val="00940295"/>
    <w:rsid w:val="00940617"/>
    <w:rsid w:val="00940AA0"/>
    <w:rsid w:val="00940EEE"/>
    <w:rsid w:val="00941470"/>
    <w:rsid w:val="00941890"/>
    <w:rsid w:val="00941E3B"/>
    <w:rsid w:val="00942008"/>
    <w:rsid w:val="00943457"/>
    <w:rsid w:val="009436C6"/>
    <w:rsid w:val="009445EF"/>
    <w:rsid w:val="0094506B"/>
    <w:rsid w:val="0094584A"/>
    <w:rsid w:val="00945CCC"/>
    <w:rsid w:val="00946241"/>
    <w:rsid w:val="009463CC"/>
    <w:rsid w:val="00946578"/>
    <w:rsid w:val="009467D2"/>
    <w:rsid w:val="009469A1"/>
    <w:rsid w:val="00946D23"/>
    <w:rsid w:val="00947022"/>
    <w:rsid w:val="00947E43"/>
    <w:rsid w:val="0095021E"/>
    <w:rsid w:val="009525A5"/>
    <w:rsid w:val="00952BCB"/>
    <w:rsid w:val="00952EBF"/>
    <w:rsid w:val="009533EF"/>
    <w:rsid w:val="00953DA7"/>
    <w:rsid w:val="0095423C"/>
    <w:rsid w:val="009543F5"/>
    <w:rsid w:val="00954863"/>
    <w:rsid w:val="00954FE1"/>
    <w:rsid w:val="00955087"/>
    <w:rsid w:val="009552A7"/>
    <w:rsid w:val="009553E9"/>
    <w:rsid w:val="00955423"/>
    <w:rsid w:val="00955A1D"/>
    <w:rsid w:val="009579E1"/>
    <w:rsid w:val="00957D6B"/>
    <w:rsid w:val="00960920"/>
    <w:rsid w:val="009623B6"/>
    <w:rsid w:val="00963805"/>
    <w:rsid w:val="00964515"/>
    <w:rsid w:val="00964C56"/>
    <w:rsid w:val="00966DDD"/>
    <w:rsid w:val="00967093"/>
    <w:rsid w:val="0096716F"/>
    <w:rsid w:val="0096719D"/>
    <w:rsid w:val="00967F0B"/>
    <w:rsid w:val="0097010A"/>
    <w:rsid w:val="0097032A"/>
    <w:rsid w:val="0097074A"/>
    <w:rsid w:val="009707F4"/>
    <w:rsid w:val="009716F3"/>
    <w:rsid w:val="00971B29"/>
    <w:rsid w:val="00972312"/>
    <w:rsid w:val="009726C4"/>
    <w:rsid w:val="00972ABF"/>
    <w:rsid w:val="00972D13"/>
    <w:rsid w:val="00972E15"/>
    <w:rsid w:val="00974664"/>
    <w:rsid w:val="009749F6"/>
    <w:rsid w:val="0097507A"/>
    <w:rsid w:val="00976432"/>
    <w:rsid w:val="009768F9"/>
    <w:rsid w:val="00976D91"/>
    <w:rsid w:val="00976DFC"/>
    <w:rsid w:val="009778C9"/>
    <w:rsid w:val="009779F8"/>
    <w:rsid w:val="00977FB9"/>
    <w:rsid w:val="0098003B"/>
    <w:rsid w:val="00980483"/>
    <w:rsid w:val="009804AE"/>
    <w:rsid w:val="0098075C"/>
    <w:rsid w:val="00981250"/>
    <w:rsid w:val="00982319"/>
    <w:rsid w:val="0098241F"/>
    <w:rsid w:val="00983DA1"/>
    <w:rsid w:val="00983E1A"/>
    <w:rsid w:val="0098406D"/>
    <w:rsid w:val="00984949"/>
    <w:rsid w:val="00984DA7"/>
    <w:rsid w:val="00984FEF"/>
    <w:rsid w:val="00985151"/>
    <w:rsid w:val="0098764A"/>
    <w:rsid w:val="00987D83"/>
    <w:rsid w:val="00987EE5"/>
    <w:rsid w:val="0099038F"/>
    <w:rsid w:val="00991D86"/>
    <w:rsid w:val="00992A15"/>
    <w:rsid w:val="00993666"/>
    <w:rsid w:val="00993847"/>
    <w:rsid w:val="00993A98"/>
    <w:rsid w:val="00993B0E"/>
    <w:rsid w:val="009947D0"/>
    <w:rsid w:val="00994E10"/>
    <w:rsid w:val="00995236"/>
    <w:rsid w:val="00995799"/>
    <w:rsid w:val="00995B34"/>
    <w:rsid w:val="00995DF9"/>
    <w:rsid w:val="00995ED7"/>
    <w:rsid w:val="0099714A"/>
    <w:rsid w:val="009A094B"/>
    <w:rsid w:val="009A19F2"/>
    <w:rsid w:val="009A290F"/>
    <w:rsid w:val="009A324C"/>
    <w:rsid w:val="009A379A"/>
    <w:rsid w:val="009A387C"/>
    <w:rsid w:val="009A4D87"/>
    <w:rsid w:val="009A50E6"/>
    <w:rsid w:val="009A6313"/>
    <w:rsid w:val="009A6833"/>
    <w:rsid w:val="009B04B1"/>
    <w:rsid w:val="009B08FA"/>
    <w:rsid w:val="009B15B2"/>
    <w:rsid w:val="009B19A0"/>
    <w:rsid w:val="009B272F"/>
    <w:rsid w:val="009B2994"/>
    <w:rsid w:val="009B371B"/>
    <w:rsid w:val="009B3A16"/>
    <w:rsid w:val="009B4F17"/>
    <w:rsid w:val="009B5857"/>
    <w:rsid w:val="009B6D59"/>
    <w:rsid w:val="009B6E7A"/>
    <w:rsid w:val="009C0556"/>
    <w:rsid w:val="009C088C"/>
    <w:rsid w:val="009C0D21"/>
    <w:rsid w:val="009C0D54"/>
    <w:rsid w:val="009C12C6"/>
    <w:rsid w:val="009C198D"/>
    <w:rsid w:val="009C1B1F"/>
    <w:rsid w:val="009C2006"/>
    <w:rsid w:val="009C24C2"/>
    <w:rsid w:val="009C3362"/>
    <w:rsid w:val="009C3657"/>
    <w:rsid w:val="009C38E7"/>
    <w:rsid w:val="009C4A95"/>
    <w:rsid w:val="009C53DB"/>
    <w:rsid w:val="009C5530"/>
    <w:rsid w:val="009C59F9"/>
    <w:rsid w:val="009C5E3F"/>
    <w:rsid w:val="009C655D"/>
    <w:rsid w:val="009C7E39"/>
    <w:rsid w:val="009D0184"/>
    <w:rsid w:val="009D030F"/>
    <w:rsid w:val="009D06E8"/>
    <w:rsid w:val="009D1C0B"/>
    <w:rsid w:val="009D1C6B"/>
    <w:rsid w:val="009D3974"/>
    <w:rsid w:val="009D455C"/>
    <w:rsid w:val="009D4895"/>
    <w:rsid w:val="009D4BE7"/>
    <w:rsid w:val="009D5A57"/>
    <w:rsid w:val="009D5D24"/>
    <w:rsid w:val="009D5D7E"/>
    <w:rsid w:val="009D5E24"/>
    <w:rsid w:val="009D687F"/>
    <w:rsid w:val="009D6D50"/>
    <w:rsid w:val="009D73A1"/>
    <w:rsid w:val="009D7B8B"/>
    <w:rsid w:val="009E0733"/>
    <w:rsid w:val="009E0BEE"/>
    <w:rsid w:val="009E0D2D"/>
    <w:rsid w:val="009E1049"/>
    <w:rsid w:val="009E25B5"/>
    <w:rsid w:val="009E2A21"/>
    <w:rsid w:val="009E3C67"/>
    <w:rsid w:val="009E4160"/>
    <w:rsid w:val="009E4505"/>
    <w:rsid w:val="009E4577"/>
    <w:rsid w:val="009E4618"/>
    <w:rsid w:val="009E5072"/>
    <w:rsid w:val="009E7069"/>
    <w:rsid w:val="009E7360"/>
    <w:rsid w:val="009E7B52"/>
    <w:rsid w:val="009F0655"/>
    <w:rsid w:val="009F1982"/>
    <w:rsid w:val="009F3C5D"/>
    <w:rsid w:val="009F49BE"/>
    <w:rsid w:val="009F4EB9"/>
    <w:rsid w:val="009F546C"/>
    <w:rsid w:val="009F54CC"/>
    <w:rsid w:val="009F5AE1"/>
    <w:rsid w:val="009F5D76"/>
    <w:rsid w:val="009F6145"/>
    <w:rsid w:val="009F626C"/>
    <w:rsid w:val="009F6597"/>
    <w:rsid w:val="009F69BC"/>
    <w:rsid w:val="009F6C85"/>
    <w:rsid w:val="009F6FFC"/>
    <w:rsid w:val="009F73C1"/>
    <w:rsid w:val="009F73FB"/>
    <w:rsid w:val="00A0064F"/>
    <w:rsid w:val="00A011AD"/>
    <w:rsid w:val="00A01D9D"/>
    <w:rsid w:val="00A02150"/>
    <w:rsid w:val="00A02CE0"/>
    <w:rsid w:val="00A03465"/>
    <w:rsid w:val="00A0372E"/>
    <w:rsid w:val="00A04106"/>
    <w:rsid w:val="00A064B8"/>
    <w:rsid w:val="00A0718A"/>
    <w:rsid w:val="00A0773B"/>
    <w:rsid w:val="00A07E8E"/>
    <w:rsid w:val="00A10056"/>
    <w:rsid w:val="00A10365"/>
    <w:rsid w:val="00A112DA"/>
    <w:rsid w:val="00A11845"/>
    <w:rsid w:val="00A124B7"/>
    <w:rsid w:val="00A124E4"/>
    <w:rsid w:val="00A12589"/>
    <w:rsid w:val="00A131AA"/>
    <w:rsid w:val="00A13E13"/>
    <w:rsid w:val="00A14480"/>
    <w:rsid w:val="00A14960"/>
    <w:rsid w:val="00A15FDB"/>
    <w:rsid w:val="00A20096"/>
    <w:rsid w:val="00A206DF"/>
    <w:rsid w:val="00A21A7C"/>
    <w:rsid w:val="00A21BCF"/>
    <w:rsid w:val="00A21FBB"/>
    <w:rsid w:val="00A245C6"/>
    <w:rsid w:val="00A24831"/>
    <w:rsid w:val="00A24A3B"/>
    <w:rsid w:val="00A24D65"/>
    <w:rsid w:val="00A25860"/>
    <w:rsid w:val="00A261A6"/>
    <w:rsid w:val="00A27F08"/>
    <w:rsid w:val="00A30499"/>
    <w:rsid w:val="00A30507"/>
    <w:rsid w:val="00A3095E"/>
    <w:rsid w:val="00A30BAD"/>
    <w:rsid w:val="00A31419"/>
    <w:rsid w:val="00A31F9A"/>
    <w:rsid w:val="00A32474"/>
    <w:rsid w:val="00A32711"/>
    <w:rsid w:val="00A32D6D"/>
    <w:rsid w:val="00A32E36"/>
    <w:rsid w:val="00A32E46"/>
    <w:rsid w:val="00A33121"/>
    <w:rsid w:val="00A345ED"/>
    <w:rsid w:val="00A3491F"/>
    <w:rsid w:val="00A34D74"/>
    <w:rsid w:val="00A35EF7"/>
    <w:rsid w:val="00A360AE"/>
    <w:rsid w:val="00A36389"/>
    <w:rsid w:val="00A36553"/>
    <w:rsid w:val="00A3698A"/>
    <w:rsid w:val="00A36A4B"/>
    <w:rsid w:val="00A3741E"/>
    <w:rsid w:val="00A3799B"/>
    <w:rsid w:val="00A401D1"/>
    <w:rsid w:val="00A40473"/>
    <w:rsid w:val="00A40B80"/>
    <w:rsid w:val="00A40D9E"/>
    <w:rsid w:val="00A40F35"/>
    <w:rsid w:val="00A412CD"/>
    <w:rsid w:val="00A41EBB"/>
    <w:rsid w:val="00A41F96"/>
    <w:rsid w:val="00A4271E"/>
    <w:rsid w:val="00A433AC"/>
    <w:rsid w:val="00A43F55"/>
    <w:rsid w:val="00A43FE8"/>
    <w:rsid w:val="00A44E9B"/>
    <w:rsid w:val="00A454B4"/>
    <w:rsid w:val="00A45705"/>
    <w:rsid w:val="00A458FF"/>
    <w:rsid w:val="00A45B8B"/>
    <w:rsid w:val="00A45EEB"/>
    <w:rsid w:val="00A464A6"/>
    <w:rsid w:val="00A466CF"/>
    <w:rsid w:val="00A4693E"/>
    <w:rsid w:val="00A4753C"/>
    <w:rsid w:val="00A5093A"/>
    <w:rsid w:val="00A51CF4"/>
    <w:rsid w:val="00A51E14"/>
    <w:rsid w:val="00A52C90"/>
    <w:rsid w:val="00A52D47"/>
    <w:rsid w:val="00A52E2F"/>
    <w:rsid w:val="00A539EF"/>
    <w:rsid w:val="00A53A74"/>
    <w:rsid w:val="00A550ED"/>
    <w:rsid w:val="00A55FCE"/>
    <w:rsid w:val="00A568A6"/>
    <w:rsid w:val="00A56A58"/>
    <w:rsid w:val="00A57651"/>
    <w:rsid w:val="00A60BA7"/>
    <w:rsid w:val="00A613A3"/>
    <w:rsid w:val="00A614D9"/>
    <w:rsid w:val="00A61B74"/>
    <w:rsid w:val="00A62F55"/>
    <w:rsid w:val="00A64017"/>
    <w:rsid w:val="00A64B6E"/>
    <w:rsid w:val="00A64BAF"/>
    <w:rsid w:val="00A657FF"/>
    <w:rsid w:val="00A65CA8"/>
    <w:rsid w:val="00A702C6"/>
    <w:rsid w:val="00A70381"/>
    <w:rsid w:val="00A70AC3"/>
    <w:rsid w:val="00A70CA6"/>
    <w:rsid w:val="00A72361"/>
    <w:rsid w:val="00A736C2"/>
    <w:rsid w:val="00A74476"/>
    <w:rsid w:val="00A74860"/>
    <w:rsid w:val="00A75A31"/>
    <w:rsid w:val="00A75E56"/>
    <w:rsid w:val="00A760F8"/>
    <w:rsid w:val="00A76B9C"/>
    <w:rsid w:val="00A76D86"/>
    <w:rsid w:val="00A7711E"/>
    <w:rsid w:val="00A776C3"/>
    <w:rsid w:val="00A7774D"/>
    <w:rsid w:val="00A77B82"/>
    <w:rsid w:val="00A80297"/>
    <w:rsid w:val="00A802D8"/>
    <w:rsid w:val="00A80F73"/>
    <w:rsid w:val="00A812FF"/>
    <w:rsid w:val="00A82E64"/>
    <w:rsid w:val="00A83C76"/>
    <w:rsid w:val="00A861DD"/>
    <w:rsid w:val="00A87137"/>
    <w:rsid w:val="00A876C1"/>
    <w:rsid w:val="00A90FDA"/>
    <w:rsid w:val="00A928ED"/>
    <w:rsid w:val="00A9369F"/>
    <w:rsid w:val="00A93E98"/>
    <w:rsid w:val="00A95896"/>
    <w:rsid w:val="00A958AA"/>
    <w:rsid w:val="00A960F0"/>
    <w:rsid w:val="00A966F6"/>
    <w:rsid w:val="00A97164"/>
    <w:rsid w:val="00A97697"/>
    <w:rsid w:val="00A97780"/>
    <w:rsid w:val="00A978DD"/>
    <w:rsid w:val="00A9791C"/>
    <w:rsid w:val="00A97A50"/>
    <w:rsid w:val="00A97CFA"/>
    <w:rsid w:val="00A97F70"/>
    <w:rsid w:val="00AA0662"/>
    <w:rsid w:val="00AA19A7"/>
    <w:rsid w:val="00AA5170"/>
    <w:rsid w:val="00AA583B"/>
    <w:rsid w:val="00AA5844"/>
    <w:rsid w:val="00AA6345"/>
    <w:rsid w:val="00AA7145"/>
    <w:rsid w:val="00AA761E"/>
    <w:rsid w:val="00AA7813"/>
    <w:rsid w:val="00AA7C12"/>
    <w:rsid w:val="00AB0D86"/>
    <w:rsid w:val="00AB1CE0"/>
    <w:rsid w:val="00AB23FD"/>
    <w:rsid w:val="00AB275D"/>
    <w:rsid w:val="00AB4689"/>
    <w:rsid w:val="00AB4C15"/>
    <w:rsid w:val="00AB5C00"/>
    <w:rsid w:val="00AB5DD7"/>
    <w:rsid w:val="00AB5F7A"/>
    <w:rsid w:val="00AB5F94"/>
    <w:rsid w:val="00AB606C"/>
    <w:rsid w:val="00AB689D"/>
    <w:rsid w:val="00AB6C22"/>
    <w:rsid w:val="00AB7B07"/>
    <w:rsid w:val="00AC13BB"/>
    <w:rsid w:val="00AC24ED"/>
    <w:rsid w:val="00AC261D"/>
    <w:rsid w:val="00AC2773"/>
    <w:rsid w:val="00AC371C"/>
    <w:rsid w:val="00AC3B6A"/>
    <w:rsid w:val="00AC400A"/>
    <w:rsid w:val="00AC4AB3"/>
    <w:rsid w:val="00AC51D5"/>
    <w:rsid w:val="00AC53C4"/>
    <w:rsid w:val="00AC543E"/>
    <w:rsid w:val="00AC655B"/>
    <w:rsid w:val="00AC695B"/>
    <w:rsid w:val="00AC6C34"/>
    <w:rsid w:val="00AC6EAF"/>
    <w:rsid w:val="00AC73F4"/>
    <w:rsid w:val="00AC74AF"/>
    <w:rsid w:val="00AC77CE"/>
    <w:rsid w:val="00AC7D81"/>
    <w:rsid w:val="00AD0370"/>
    <w:rsid w:val="00AD0668"/>
    <w:rsid w:val="00AD1918"/>
    <w:rsid w:val="00AD2A55"/>
    <w:rsid w:val="00AD3F91"/>
    <w:rsid w:val="00AD4081"/>
    <w:rsid w:val="00AD4337"/>
    <w:rsid w:val="00AD4A15"/>
    <w:rsid w:val="00AD4C8F"/>
    <w:rsid w:val="00AD58F4"/>
    <w:rsid w:val="00AD702A"/>
    <w:rsid w:val="00AD7357"/>
    <w:rsid w:val="00AD7CC4"/>
    <w:rsid w:val="00AE02CD"/>
    <w:rsid w:val="00AE0CB9"/>
    <w:rsid w:val="00AE0CC8"/>
    <w:rsid w:val="00AE189C"/>
    <w:rsid w:val="00AE248F"/>
    <w:rsid w:val="00AE289B"/>
    <w:rsid w:val="00AE3C75"/>
    <w:rsid w:val="00AE3F57"/>
    <w:rsid w:val="00AE4486"/>
    <w:rsid w:val="00AE5324"/>
    <w:rsid w:val="00AE56FA"/>
    <w:rsid w:val="00AE57DA"/>
    <w:rsid w:val="00AE5A54"/>
    <w:rsid w:val="00AE66EA"/>
    <w:rsid w:val="00AE75A1"/>
    <w:rsid w:val="00AE7BB3"/>
    <w:rsid w:val="00AF14EB"/>
    <w:rsid w:val="00AF152E"/>
    <w:rsid w:val="00AF1739"/>
    <w:rsid w:val="00AF2A1E"/>
    <w:rsid w:val="00AF2E28"/>
    <w:rsid w:val="00AF38E6"/>
    <w:rsid w:val="00AF3E25"/>
    <w:rsid w:val="00AF420B"/>
    <w:rsid w:val="00AF4B30"/>
    <w:rsid w:val="00AF58D5"/>
    <w:rsid w:val="00AF5DD4"/>
    <w:rsid w:val="00AF74B7"/>
    <w:rsid w:val="00AF79E7"/>
    <w:rsid w:val="00AF7F54"/>
    <w:rsid w:val="00B00E10"/>
    <w:rsid w:val="00B01354"/>
    <w:rsid w:val="00B015C5"/>
    <w:rsid w:val="00B01A5C"/>
    <w:rsid w:val="00B02135"/>
    <w:rsid w:val="00B0288F"/>
    <w:rsid w:val="00B0384D"/>
    <w:rsid w:val="00B041A9"/>
    <w:rsid w:val="00B04267"/>
    <w:rsid w:val="00B04BE3"/>
    <w:rsid w:val="00B05015"/>
    <w:rsid w:val="00B057BB"/>
    <w:rsid w:val="00B058D4"/>
    <w:rsid w:val="00B063F9"/>
    <w:rsid w:val="00B06FD5"/>
    <w:rsid w:val="00B07858"/>
    <w:rsid w:val="00B07DD5"/>
    <w:rsid w:val="00B10D20"/>
    <w:rsid w:val="00B10E54"/>
    <w:rsid w:val="00B11308"/>
    <w:rsid w:val="00B143C4"/>
    <w:rsid w:val="00B157B7"/>
    <w:rsid w:val="00B15FA0"/>
    <w:rsid w:val="00B16BD5"/>
    <w:rsid w:val="00B177C9"/>
    <w:rsid w:val="00B179A8"/>
    <w:rsid w:val="00B20376"/>
    <w:rsid w:val="00B20708"/>
    <w:rsid w:val="00B20ED1"/>
    <w:rsid w:val="00B213AA"/>
    <w:rsid w:val="00B21701"/>
    <w:rsid w:val="00B218B9"/>
    <w:rsid w:val="00B21D58"/>
    <w:rsid w:val="00B21E82"/>
    <w:rsid w:val="00B21E8C"/>
    <w:rsid w:val="00B22022"/>
    <w:rsid w:val="00B22040"/>
    <w:rsid w:val="00B226F1"/>
    <w:rsid w:val="00B23A6F"/>
    <w:rsid w:val="00B2457B"/>
    <w:rsid w:val="00B246B5"/>
    <w:rsid w:val="00B24B46"/>
    <w:rsid w:val="00B24E22"/>
    <w:rsid w:val="00B255D2"/>
    <w:rsid w:val="00B27134"/>
    <w:rsid w:val="00B278D9"/>
    <w:rsid w:val="00B3037E"/>
    <w:rsid w:val="00B30F1B"/>
    <w:rsid w:val="00B31643"/>
    <w:rsid w:val="00B318B3"/>
    <w:rsid w:val="00B31971"/>
    <w:rsid w:val="00B31D61"/>
    <w:rsid w:val="00B326AC"/>
    <w:rsid w:val="00B32A66"/>
    <w:rsid w:val="00B32B81"/>
    <w:rsid w:val="00B3348C"/>
    <w:rsid w:val="00B335BC"/>
    <w:rsid w:val="00B33673"/>
    <w:rsid w:val="00B33B12"/>
    <w:rsid w:val="00B33FE7"/>
    <w:rsid w:val="00B3458B"/>
    <w:rsid w:val="00B348F5"/>
    <w:rsid w:val="00B3498A"/>
    <w:rsid w:val="00B34AEC"/>
    <w:rsid w:val="00B3546F"/>
    <w:rsid w:val="00B359D5"/>
    <w:rsid w:val="00B35CC1"/>
    <w:rsid w:val="00B35DFF"/>
    <w:rsid w:val="00B35FC9"/>
    <w:rsid w:val="00B35FDC"/>
    <w:rsid w:val="00B36D91"/>
    <w:rsid w:val="00B37109"/>
    <w:rsid w:val="00B37176"/>
    <w:rsid w:val="00B37BCE"/>
    <w:rsid w:val="00B41305"/>
    <w:rsid w:val="00B41ABA"/>
    <w:rsid w:val="00B41BE6"/>
    <w:rsid w:val="00B42406"/>
    <w:rsid w:val="00B4315E"/>
    <w:rsid w:val="00B4368A"/>
    <w:rsid w:val="00B44FCE"/>
    <w:rsid w:val="00B450A7"/>
    <w:rsid w:val="00B45419"/>
    <w:rsid w:val="00B455EA"/>
    <w:rsid w:val="00B45EED"/>
    <w:rsid w:val="00B45F5F"/>
    <w:rsid w:val="00B45F72"/>
    <w:rsid w:val="00B46152"/>
    <w:rsid w:val="00B46F6F"/>
    <w:rsid w:val="00B47006"/>
    <w:rsid w:val="00B47094"/>
    <w:rsid w:val="00B4736E"/>
    <w:rsid w:val="00B475A0"/>
    <w:rsid w:val="00B47D3D"/>
    <w:rsid w:val="00B47EE1"/>
    <w:rsid w:val="00B47F26"/>
    <w:rsid w:val="00B50E11"/>
    <w:rsid w:val="00B51058"/>
    <w:rsid w:val="00B51567"/>
    <w:rsid w:val="00B5193C"/>
    <w:rsid w:val="00B5224E"/>
    <w:rsid w:val="00B52521"/>
    <w:rsid w:val="00B52929"/>
    <w:rsid w:val="00B53EB8"/>
    <w:rsid w:val="00B554A7"/>
    <w:rsid w:val="00B55567"/>
    <w:rsid w:val="00B559B1"/>
    <w:rsid w:val="00B55F27"/>
    <w:rsid w:val="00B5600A"/>
    <w:rsid w:val="00B57831"/>
    <w:rsid w:val="00B578C4"/>
    <w:rsid w:val="00B60451"/>
    <w:rsid w:val="00B606F2"/>
    <w:rsid w:val="00B617B2"/>
    <w:rsid w:val="00B6290D"/>
    <w:rsid w:val="00B62E65"/>
    <w:rsid w:val="00B62F9C"/>
    <w:rsid w:val="00B63E59"/>
    <w:rsid w:val="00B649DA"/>
    <w:rsid w:val="00B64AE8"/>
    <w:rsid w:val="00B65AD1"/>
    <w:rsid w:val="00B65B68"/>
    <w:rsid w:val="00B66A16"/>
    <w:rsid w:val="00B66A66"/>
    <w:rsid w:val="00B674E0"/>
    <w:rsid w:val="00B71343"/>
    <w:rsid w:val="00B714DD"/>
    <w:rsid w:val="00B715E9"/>
    <w:rsid w:val="00B7319B"/>
    <w:rsid w:val="00B7321C"/>
    <w:rsid w:val="00B743C8"/>
    <w:rsid w:val="00B747CE"/>
    <w:rsid w:val="00B74EE8"/>
    <w:rsid w:val="00B7595D"/>
    <w:rsid w:val="00B76451"/>
    <w:rsid w:val="00B76578"/>
    <w:rsid w:val="00B76ABF"/>
    <w:rsid w:val="00B7746A"/>
    <w:rsid w:val="00B77C50"/>
    <w:rsid w:val="00B81C16"/>
    <w:rsid w:val="00B82206"/>
    <w:rsid w:val="00B827AE"/>
    <w:rsid w:val="00B82EC8"/>
    <w:rsid w:val="00B83317"/>
    <w:rsid w:val="00B83F22"/>
    <w:rsid w:val="00B84880"/>
    <w:rsid w:val="00B84FC6"/>
    <w:rsid w:val="00B850A6"/>
    <w:rsid w:val="00B85811"/>
    <w:rsid w:val="00B87983"/>
    <w:rsid w:val="00B91256"/>
    <w:rsid w:val="00B91F1F"/>
    <w:rsid w:val="00B923BA"/>
    <w:rsid w:val="00B924BE"/>
    <w:rsid w:val="00B935FC"/>
    <w:rsid w:val="00B93D6A"/>
    <w:rsid w:val="00B9529C"/>
    <w:rsid w:val="00B97B5F"/>
    <w:rsid w:val="00BA0212"/>
    <w:rsid w:val="00BA0378"/>
    <w:rsid w:val="00BA05F6"/>
    <w:rsid w:val="00BA0A06"/>
    <w:rsid w:val="00BA1990"/>
    <w:rsid w:val="00BA1B0C"/>
    <w:rsid w:val="00BA1C83"/>
    <w:rsid w:val="00BA211C"/>
    <w:rsid w:val="00BA2C88"/>
    <w:rsid w:val="00BA3430"/>
    <w:rsid w:val="00BA34A3"/>
    <w:rsid w:val="00BA37EB"/>
    <w:rsid w:val="00BA4803"/>
    <w:rsid w:val="00BA4D54"/>
    <w:rsid w:val="00BA4DE3"/>
    <w:rsid w:val="00BA5102"/>
    <w:rsid w:val="00BA5457"/>
    <w:rsid w:val="00BA576E"/>
    <w:rsid w:val="00BA5810"/>
    <w:rsid w:val="00BA5D0C"/>
    <w:rsid w:val="00BA5D84"/>
    <w:rsid w:val="00BA5E08"/>
    <w:rsid w:val="00BA775F"/>
    <w:rsid w:val="00BA7877"/>
    <w:rsid w:val="00BB01A9"/>
    <w:rsid w:val="00BB0741"/>
    <w:rsid w:val="00BB0C23"/>
    <w:rsid w:val="00BB12CF"/>
    <w:rsid w:val="00BB1527"/>
    <w:rsid w:val="00BB1849"/>
    <w:rsid w:val="00BB1C68"/>
    <w:rsid w:val="00BB2E53"/>
    <w:rsid w:val="00BB3187"/>
    <w:rsid w:val="00BB3CC3"/>
    <w:rsid w:val="00BB40F9"/>
    <w:rsid w:val="00BB506F"/>
    <w:rsid w:val="00BB5184"/>
    <w:rsid w:val="00BB54A0"/>
    <w:rsid w:val="00BB60BE"/>
    <w:rsid w:val="00BB6258"/>
    <w:rsid w:val="00BB794B"/>
    <w:rsid w:val="00BB7D39"/>
    <w:rsid w:val="00BC04A3"/>
    <w:rsid w:val="00BC1028"/>
    <w:rsid w:val="00BC10F2"/>
    <w:rsid w:val="00BC1531"/>
    <w:rsid w:val="00BC1557"/>
    <w:rsid w:val="00BC157E"/>
    <w:rsid w:val="00BC197D"/>
    <w:rsid w:val="00BC20B7"/>
    <w:rsid w:val="00BC2818"/>
    <w:rsid w:val="00BC2828"/>
    <w:rsid w:val="00BC2BB2"/>
    <w:rsid w:val="00BC3C85"/>
    <w:rsid w:val="00BC3EE7"/>
    <w:rsid w:val="00BC4597"/>
    <w:rsid w:val="00BC4B5A"/>
    <w:rsid w:val="00BC52E0"/>
    <w:rsid w:val="00BC59FE"/>
    <w:rsid w:val="00BC6058"/>
    <w:rsid w:val="00BC607A"/>
    <w:rsid w:val="00BC67BD"/>
    <w:rsid w:val="00BD0524"/>
    <w:rsid w:val="00BD0662"/>
    <w:rsid w:val="00BD0893"/>
    <w:rsid w:val="00BD0B32"/>
    <w:rsid w:val="00BD0D40"/>
    <w:rsid w:val="00BD1035"/>
    <w:rsid w:val="00BD1930"/>
    <w:rsid w:val="00BD1B04"/>
    <w:rsid w:val="00BD1E91"/>
    <w:rsid w:val="00BD2ABE"/>
    <w:rsid w:val="00BD2E63"/>
    <w:rsid w:val="00BD37DB"/>
    <w:rsid w:val="00BD3A3F"/>
    <w:rsid w:val="00BD3F09"/>
    <w:rsid w:val="00BD420D"/>
    <w:rsid w:val="00BD4238"/>
    <w:rsid w:val="00BD42CE"/>
    <w:rsid w:val="00BD54B6"/>
    <w:rsid w:val="00BD5608"/>
    <w:rsid w:val="00BD56A4"/>
    <w:rsid w:val="00BD57E8"/>
    <w:rsid w:val="00BD5D92"/>
    <w:rsid w:val="00BD5E2A"/>
    <w:rsid w:val="00BD5F37"/>
    <w:rsid w:val="00BD5F64"/>
    <w:rsid w:val="00BD648E"/>
    <w:rsid w:val="00BD6A28"/>
    <w:rsid w:val="00BD721C"/>
    <w:rsid w:val="00BD7657"/>
    <w:rsid w:val="00BD7D6C"/>
    <w:rsid w:val="00BE0808"/>
    <w:rsid w:val="00BE08E1"/>
    <w:rsid w:val="00BE1FC4"/>
    <w:rsid w:val="00BE230E"/>
    <w:rsid w:val="00BE2AF2"/>
    <w:rsid w:val="00BE2B02"/>
    <w:rsid w:val="00BE3A70"/>
    <w:rsid w:val="00BE4079"/>
    <w:rsid w:val="00BE46B6"/>
    <w:rsid w:val="00BE4729"/>
    <w:rsid w:val="00BE4D36"/>
    <w:rsid w:val="00BE526F"/>
    <w:rsid w:val="00BE5770"/>
    <w:rsid w:val="00BE5AD3"/>
    <w:rsid w:val="00BE6145"/>
    <w:rsid w:val="00BE63AD"/>
    <w:rsid w:val="00BE6C12"/>
    <w:rsid w:val="00BE7549"/>
    <w:rsid w:val="00BF0823"/>
    <w:rsid w:val="00BF10D1"/>
    <w:rsid w:val="00BF111B"/>
    <w:rsid w:val="00BF1185"/>
    <w:rsid w:val="00BF120B"/>
    <w:rsid w:val="00BF13E5"/>
    <w:rsid w:val="00BF166D"/>
    <w:rsid w:val="00BF2876"/>
    <w:rsid w:val="00BF28AF"/>
    <w:rsid w:val="00BF369C"/>
    <w:rsid w:val="00BF3CE6"/>
    <w:rsid w:val="00BF45CB"/>
    <w:rsid w:val="00BF4BA1"/>
    <w:rsid w:val="00BF4DD9"/>
    <w:rsid w:val="00BF5A02"/>
    <w:rsid w:val="00BF5D78"/>
    <w:rsid w:val="00BF5D94"/>
    <w:rsid w:val="00BF6F3A"/>
    <w:rsid w:val="00BF741B"/>
    <w:rsid w:val="00BF7BD1"/>
    <w:rsid w:val="00C003D6"/>
    <w:rsid w:val="00C00489"/>
    <w:rsid w:val="00C00995"/>
    <w:rsid w:val="00C01220"/>
    <w:rsid w:val="00C0142B"/>
    <w:rsid w:val="00C0174B"/>
    <w:rsid w:val="00C02890"/>
    <w:rsid w:val="00C02C70"/>
    <w:rsid w:val="00C02EF9"/>
    <w:rsid w:val="00C02F40"/>
    <w:rsid w:val="00C038C1"/>
    <w:rsid w:val="00C03B6F"/>
    <w:rsid w:val="00C042F4"/>
    <w:rsid w:val="00C0458B"/>
    <w:rsid w:val="00C04653"/>
    <w:rsid w:val="00C048F7"/>
    <w:rsid w:val="00C0517D"/>
    <w:rsid w:val="00C05678"/>
    <w:rsid w:val="00C05893"/>
    <w:rsid w:val="00C05DB8"/>
    <w:rsid w:val="00C064E5"/>
    <w:rsid w:val="00C07001"/>
    <w:rsid w:val="00C0759B"/>
    <w:rsid w:val="00C07BCA"/>
    <w:rsid w:val="00C10960"/>
    <w:rsid w:val="00C11479"/>
    <w:rsid w:val="00C114BF"/>
    <w:rsid w:val="00C118FB"/>
    <w:rsid w:val="00C11E12"/>
    <w:rsid w:val="00C1223F"/>
    <w:rsid w:val="00C12BCC"/>
    <w:rsid w:val="00C139A6"/>
    <w:rsid w:val="00C13B7F"/>
    <w:rsid w:val="00C13E21"/>
    <w:rsid w:val="00C173B1"/>
    <w:rsid w:val="00C1757A"/>
    <w:rsid w:val="00C17AFE"/>
    <w:rsid w:val="00C2074E"/>
    <w:rsid w:val="00C20801"/>
    <w:rsid w:val="00C21D30"/>
    <w:rsid w:val="00C226F8"/>
    <w:rsid w:val="00C2289C"/>
    <w:rsid w:val="00C2345E"/>
    <w:rsid w:val="00C23CE7"/>
    <w:rsid w:val="00C2474E"/>
    <w:rsid w:val="00C25286"/>
    <w:rsid w:val="00C26C2C"/>
    <w:rsid w:val="00C275C2"/>
    <w:rsid w:val="00C27AEE"/>
    <w:rsid w:val="00C27FB9"/>
    <w:rsid w:val="00C3056D"/>
    <w:rsid w:val="00C30E28"/>
    <w:rsid w:val="00C30E2D"/>
    <w:rsid w:val="00C31E04"/>
    <w:rsid w:val="00C32A03"/>
    <w:rsid w:val="00C330C2"/>
    <w:rsid w:val="00C33B2C"/>
    <w:rsid w:val="00C34573"/>
    <w:rsid w:val="00C3561F"/>
    <w:rsid w:val="00C36A8F"/>
    <w:rsid w:val="00C36D0B"/>
    <w:rsid w:val="00C36E31"/>
    <w:rsid w:val="00C371E9"/>
    <w:rsid w:val="00C37A54"/>
    <w:rsid w:val="00C37C48"/>
    <w:rsid w:val="00C40653"/>
    <w:rsid w:val="00C40823"/>
    <w:rsid w:val="00C4179B"/>
    <w:rsid w:val="00C42A8B"/>
    <w:rsid w:val="00C42C4A"/>
    <w:rsid w:val="00C42F10"/>
    <w:rsid w:val="00C438E7"/>
    <w:rsid w:val="00C45399"/>
    <w:rsid w:val="00C453B1"/>
    <w:rsid w:val="00C46A24"/>
    <w:rsid w:val="00C46A3B"/>
    <w:rsid w:val="00C46C74"/>
    <w:rsid w:val="00C47F4D"/>
    <w:rsid w:val="00C5013D"/>
    <w:rsid w:val="00C50624"/>
    <w:rsid w:val="00C50C39"/>
    <w:rsid w:val="00C50FE0"/>
    <w:rsid w:val="00C51039"/>
    <w:rsid w:val="00C51C10"/>
    <w:rsid w:val="00C52C8A"/>
    <w:rsid w:val="00C53234"/>
    <w:rsid w:val="00C53311"/>
    <w:rsid w:val="00C53D8B"/>
    <w:rsid w:val="00C53DD2"/>
    <w:rsid w:val="00C54246"/>
    <w:rsid w:val="00C5428D"/>
    <w:rsid w:val="00C548A2"/>
    <w:rsid w:val="00C54C4D"/>
    <w:rsid w:val="00C54EBF"/>
    <w:rsid w:val="00C56D65"/>
    <w:rsid w:val="00C57838"/>
    <w:rsid w:val="00C57963"/>
    <w:rsid w:val="00C57D9F"/>
    <w:rsid w:val="00C60806"/>
    <w:rsid w:val="00C60E31"/>
    <w:rsid w:val="00C613CE"/>
    <w:rsid w:val="00C61BF6"/>
    <w:rsid w:val="00C61E45"/>
    <w:rsid w:val="00C62671"/>
    <w:rsid w:val="00C62B86"/>
    <w:rsid w:val="00C6313B"/>
    <w:rsid w:val="00C637A3"/>
    <w:rsid w:val="00C6422A"/>
    <w:rsid w:val="00C6442C"/>
    <w:rsid w:val="00C64603"/>
    <w:rsid w:val="00C6479D"/>
    <w:rsid w:val="00C648C6"/>
    <w:rsid w:val="00C64F2B"/>
    <w:rsid w:val="00C6534F"/>
    <w:rsid w:val="00C655C0"/>
    <w:rsid w:val="00C669FB"/>
    <w:rsid w:val="00C7078E"/>
    <w:rsid w:val="00C707BA"/>
    <w:rsid w:val="00C717DF"/>
    <w:rsid w:val="00C71E72"/>
    <w:rsid w:val="00C72888"/>
    <w:rsid w:val="00C728E6"/>
    <w:rsid w:val="00C72980"/>
    <w:rsid w:val="00C72A0B"/>
    <w:rsid w:val="00C72B54"/>
    <w:rsid w:val="00C72FC7"/>
    <w:rsid w:val="00C74C98"/>
    <w:rsid w:val="00C75DB4"/>
    <w:rsid w:val="00C77D3F"/>
    <w:rsid w:val="00C809E5"/>
    <w:rsid w:val="00C80D0A"/>
    <w:rsid w:val="00C81931"/>
    <w:rsid w:val="00C822A0"/>
    <w:rsid w:val="00C8312F"/>
    <w:rsid w:val="00C844B3"/>
    <w:rsid w:val="00C8552C"/>
    <w:rsid w:val="00C85A51"/>
    <w:rsid w:val="00C85DC9"/>
    <w:rsid w:val="00C8704D"/>
    <w:rsid w:val="00C87163"/>
    <w:rsid w:val="00C87275"/>
    <w:rsid w:val="00C873DB"/>
    <w:rsid w:val="00C87509"/>
    <w:rsid w:val="00C87ED5"/>
    <w:rsid w:val="00C900D5"/>
    <w:rsid w:val="00C90677"/>
    <w:rsid w:val="00C90766"/>
    <w:rsid w:val="00C90900"/>
    <w:rsid w:val="00C90A98"/>
    <w:rsid w:val="00C91506"/>
    <w:rsid w:val="00C916F3"/>
    <w:rsid w:val="00C9180A"/>
    <w:rsid w:val="00C91B66"/>
    <w:rsid w:val="00C91C88"/>
    <w:rsid w:val="00C92D72"/>
    <w:rsid w:val="00C936F7"/>
    <w:rsid w:val="00C938E6"/>
    <w:rsid w:val="00C93B2B"/>
    <w:rsid w:val="00C95677"/>
    <w:rsid w:val="00C966CB"/>
    <w:rsid w:val="00CA0045"/>
    <w:rsid w:val="00CA06AF"/>
    <w:rsid w:val="00CA0856"/>
    <w:rsid w:val="00CA08F4"/>
    <w:rsid w:val="00CA096F"/>
    <w:rsid w:val="00CA1025"/>
    <w:rsid w:val="00CA1C56"/>
    <w:rsid w:val="00CA2933"/>
    <w:rsid w:val="00CA3CD6"/>
    <w:rsid w:val="00CA4AC4"/>
    <w:rsid w:val="00CA54DE"/>
    <w:rsid w:val="00CA583C"/>
    <w:rsid w:val="00CA59DC"/>
    <w:rsid w:val="00CA724D"/>
    <w:rsid w:val="00CA73DF"/>
    <w:rsid w:val="00CA7FCD"/>
    <w:rsid w:val="00CB1AD3"/>
    <w:rsid w:val="00CB22D6"/>
    <w:rsid w:val="00CB233B"/>
    <w:rsid w:val="00CB32E1"/>
    <w:rsid w:val="00CB3B60"/>
    <w:rsid w:val="00CB430B"/>
    <w:rsid w:val="00CB453A"/>
    <w:rsid w:val="00CB6132"/>
    <w:rsid w:val="00CB669E"/>
    <w:rsid w:val="00CB675C"/>
    <w:rsid w:val="00CB6FF6"/>
    <w:rsid w:val="00CB70FB"/>
    <w:rsid w:val="00CB7FF1"/>
    <w:rsid w:val="00CC0035"/>
    <w:rsid w:val="00CC0468"/>
    <w:rsid w:val="00CC0F8A"/>
    <w:rsid w:val="00CC13CA"/>
    <w:rsid w:val="00CC204E"/>
    <w:rsid w:val="00CC25D5"/>
    <w:rsid w:val="00CC2D32"/>
    <w:rsid w:val="00CC2E17"/>
    <w:rsid w:val="00CC3283"/>
    <w:rsid w:val="00CC3995"/>
    <w:rsid w:val="00CC409D"/>
    <w:rsid w:val="00CC44ED"/>
    <w:rsid w:val="00CC46B8"/>
    <w:rsid w:val="00CC4DF2"/>
    <w:rsid w:val="00CC5184"/>
    <w:rsid w:val="00CC5F56"/>
    <w:rsid w:val="00CC6E97"/>
    <w:rsid w:val="00CC6F2E"/>
    <w:rsid w:val="00CC7706"/>
    <w:rsid w:val="00CC7DEE"/>
    <w:rsid w:val="00CD0A8C"/>
    <w:rsid w:val="00CD0AA0"/>
    <w:rsid w:val="00CD1038"/>
    <w:rsid w:val="00CD104C"/>
    <w:rsid w:val="00CD13AF"/>
    <w:rsid w:val="00CD2B7E"/>
    <w:rsid w:val="00CD33CE"/>
    <w:rsid w:val="00CD34F7"/>
    <w:rsid w:val="00CD3B68"/>
    <w:rsid w:val="00CD420C"/>
    <w:rsid w:val="00CD46EF"/>
    <w:rsid w:val="00CD48E6"/>
    <w:rsid w:val="00CD5B76"/>
    <w:rsid w:val="00CD6F8B"/>
    <w:rsid w:val="00CE027B"/>
    <w:rsid w:val="00CE098B"/>
    <w:rsid w:val="00CE0B22"/>
    <w:rsid w:val="00CE0CF6"/>
    <w:rsid w:val="00CE1368"/>
    <w:rsid w:val="00CE1630"/>
    <w:rsid w:val="00CE17AD"/>
    <w:rsid w:val="00CE3029"/>
    <w:rsid w:val="00CE3219"/>
    <w:rsid w:val="00CE37AC"/>
    <w:rsid w:val="00CE479F"/>
    <w:rsid w:val="00CE4870"/>
    <w:rsid w:val="00CE4A99"/>
    <w:rsid w:val="00CE4ACF"/>
    <w:rsid w:val="00CE4BF9"/>
    <w:rsid w:val="00CE5478"/>
    <w:rsid w:val="00CE5C73"/>
    <w:rsid w:val="00CE67BF"/>
    <w:rsid w:val="00CE78E3"/>
    <w:rsid w:val="00CF11A5"/>
    <w:rsid w:val="00CF1D61"/>
    <w:rsid w:val="00CF21A0"/>
    <w:rsid w:val="00CF38DD"/>
    <w:rsid w:val="00CF3948"/>
    <w:rsid w:val="00CF4050"/>
    <w:rsid w:val="00CF4153"/>
    <w:rsid w:val="00CF446A"/>
    <w:rsid w:val="00CF4BBF"/>
    <w:rsid w:val="00CF4C47"/>
    <w:rsid w:val="00CF4CB9"/>
    <w:rsid w:val="00CF59EC"/>
    <w:rsid w:val="00CF6345"/>
    <w:rsid w:val="00CF6CB2"/>
    <w:rsid w:val="00CF7B00"/>
    <w:rsid w:val="00CF7FD6"/>
    <w:rsid w:val="00D0045A"/>
    <w:rsid w:val="00D00A88"/>
    <w:rsid w:val="00D00FA4"/>
    <w:rsid w:val="00D010F8"/>
    <w:rsid w:val="00D01B06"/>
    <w:rsid w:val="00D02033"/>
    <w:rsid w:val="00D02AB0"/>
    <w:rsid w:val="00D032BC"/>
    <w:rsid w:val="00D0509C"/>
    <w:rsid w:val="00D050AF"/>
    <w:rsid w:val="00D052CD"/>
    <w:rsid w:val="00D05A48"/>
    <w:rsid w:val="00D05CFD"/>
    <w:rsid w:val="00D10DEC"/>
    <w:rsid w:val="00D11162"/>
    <w:rsid w:val="00D11838"/>
    <w:rsid w:val="00D11844"/>
    <w:rsid w:val="00D11BE4"/>
    <w:rsid w:val="00D11C34"/>
    <w:rsid w:val="00D12751"/>
    <w:rsid w:val="00D1306E"/>
    <w:rsid w:val="00D13AA1"/>
    <w:rsid w:val="00D141C6"/>
    <w:rsid w:val="00D145DF"/>
    <w:rsid w:val="00D14E24"/>
    <w:rsid w:val="00D153D4"/>
    <w:rsid w:val="00D15812"/>
    <w:rsid w:val="00D15AA7"/>
    <w:rsid w:val="00D1740B"/>
    <w:rsid w:val="00D211B5"/>
    <w:rsid w:val="00D21386"/>
    <w:rsid w:val="00D220DD"/>
    <w:rsid w:val="00D2286E"/>
    <w:rsid w:val="00D23501"/>
    <w:rsid w:val="00D23913"/>
    <w:rsid w:val="00D23DE8"/>
    <w:rsid w:val="00D2521C"/>
    <w:rsid w:val="00D25CFD"/>
    <w:rsid w:val="00D26229"/>
    <w:rsid w:val="00D265C9"/>
    <w:rsid w:val="00D2716E"/>
    <w:rsid w:val="00D27DF7"/>
    <w:rsid w:val="00D27F54"/>
    <w:rsid w:val="00D3020C"/>
    <w:rsid w:val="00D308B7"/>
    <w:rsid w:val="00D30CC5"/>
    <w:rsid w:val="00D31AED"/>
    <w:rsid w:val="00D327C3"/>
    <w:rsid w:val="00D32A9D"/>
    <w:rsid w:val="00D33392"/>
    <w:rsid w:val="00D335B5"/>
    <w:rsid w:val="00D36157"/>
    <w:rsid w:val="00D36251"/>
    <w:rsid w:val="00D36615"/>
    <w:rsid w:val="00D36A07"/>
    <w:rsid w:val="00D36E1A"/>
    <w:rsid w:val="00D3764C"/>
    <w:rsid w:val="00D3776E"/>
    <w:rsid w:val="00D37A99"/>
    <w:rsid w:val="00D40E63"/>
    <w:rsid w:val="00D41572"/>
    <w:rsid w:val="00D4188E"/>
    <w:rsid w:val="00D41C78"/>
    <w:rsid w:val="00D41E3B"/>
    <w:rsid w:val="00D420AD"/>
    <w:rsid w:val="00D42425"/>
    <w:rsid w:val="00D4285F"/>
    <w:rsid w:val="00D43B03"/>
    <w:rsid w:val="00D43B0D"/>
    <w:rsid w:val="00D449A5"/>
    <w:rsid w:val="00D44FC8"/>
    <w:rsid w:val="00D4795B"/>
    <w:rsid w:val="00D47B30"/>
    <w:rsid w:val="00D5066D"/>
    <w:rsid w:val="00D50ED5"/>
    <w:rsid w:val="00D511C1"/>
    <w:rsid w:val="00D51899"/>
    <w:rsid w:val="00D51D88"/>
    <w:rsid w:val="00D51E1F"/>
    <w:rsid w:val="00D52635"/>
    <w:rsid w:val="00D52A07"/>
    <w:rsid w:val="00D53369"/>
    <w:rsid w:val="00D53932"/>
    <w:rsid w:val="00D53E3A"/>
    <w:rsid w:val="00D54827"/>
    <w:rsid w:val="00D54A83"/>
    <w:rsid w:val="00D5556E"/>
    <w:rsid w:val="00D556C3"/>
    <w:rsid w:val="00D55D56"/>
    <w:rsid w:val="00D55FAA"/>
    <w:rsid w:val="00D57574"/>
    <w:rsid w:val="00D60059"/>
    <w:rsid w:val="00D611B4"/>
    <w:rsid w:val="00D62ED8"/>
    <w:rsid w:val="00D63EB0"/>
    <w:rsid w:val="00D643D8"/>
    <w:rsid w:val="00D64DFC"/>
    <w:rsid w:val="00D64EB2"/>
    <w:rsid w:val="00D64F42"/>
    <w:rsid w:val="00D65188"/>
    <w:rsid w:val="00D65DBC"/>
    <w:rsid w:val="00D65FEE"/>
    <w:rsid w:val="00D673E4"/>
    <w:rsid w:val="00D71465"/>
    <w:rsid w:val="00D71506"/>
    <w:rsid w:val="00D72D79"/>
    <w:rsid w:val="00D743A2"/>
    <w:rsid w:val="00D74DDC"/>
    <w:rsid w:val="00D7623D"/>
    <w:rsid w:val="00D766E5"/>
    <w:rsid w:val="00D76915"/>
    <w:rsid w:val="00D76A2C"/>
    <w:rsid w:val="00D76AB8"/>
    <w:rsid w:val="00D7717A"/>
    <w:rsid w:val="00D774E7"/>
    <w:rsid w:val="00D775D8"/>
    <w:rsid w:val="00D7760F"/>
    <w:rsid w:val="00D77F5B"/>
    <w:rsid w:val="00D8126B"/>
    <w:rsid w:val="00D8256D"/>
    <w:rsid w:val="00D82C6D"/>
    <w:rsid w:val="00D84BB5"/>
    <w:rsid w:val="00D85BBA"/>
    <w:rsid w:val="00D86867"/>
    <w:rsid w:val="00D86A0A"/>
    <w:rsid w:val="00D86ED7"/>
    <w:rsid w:val="00D905A7"/>
    <w:rsid w:val="00D91088"/>
    <w:rsid w:val="00D91674"/>
    <w:rsid w:val="00D91D88"/>
    <w:rsid w:val="00D922ED"/>
    <w:rsid w:val="00D92619"/>
    <w:rsid w:val="00D926E7"/>
    <w:rsid w:val="00D937F1"/>
    <w:rsid w:val="00D941EE"/>
    <w:rsid w:val="00D94CA9"/>
    <w:rsid w:val="00D94E41"/>
    <w:rsid w:val="00D95211"/>
    <w:rsid w:val="00D977B8"/>
    <w:rsid w:val="00D97F5E"/>
    <w:rsid w:val="00DA03B8"/>
    <w:rsid w:val="00DA0FBB"/>
    <w:rsid w:val="00DA2C32"/>
    <w:rsid w:val="00DA2EE6"/>
    <w:rsid w:val="00DA3085"/>
    <w:rsid w:val="00DA3D02"/>
    <w:rsid w:val="00DA4DBF"/>
    <w:rsid w:val="00DA5315"/>
    <w:rsid w:val="00DA5EA0"/>
    <w:rsid w:val="00DA6884"/>
    <w:rsid w:val="00DA7643"/>
    <w:rsid w:val="00DA7CC5"/>
    <w:rsid w:val="00DA7F27"/>
    <w:rsid w:val="00DB0C76"/>
    <w:rsid w:val="00DB112B"/>
    <w:rsid w:val="00DB15F1"/>
    <w:rsid w:val="00DB2710"/>
    <w:rsid w:val="00DB33BE"/>
    <w:rsid w:val="00DB3590"/>
    <w:rsid w:val="00DB4205"/>
    <w:rsid w:val="00DB4D80"/>
    <w:rsid w:val="00DB55F8"/>
    <w:rsid w:val="00DB5977"/>
    <w:rsid w:val="00DB795A"/>
    <w:rsid w:val="00DB7ACA"/>
    <w:rsid w:val="00DC00D0"/>
    <w:rsid w:val="00DC094F"/>
    <w:rsid w:val="00DC0C03"/>
    <w:rsid w:val="00DC1E57"/>
    <w:rsid w:val="00DC223F"/>
    <w:rsid w:val="00DC229D"/>
    <w:rsid w:val="00DC2A19"/>
    <w:rsid w:val="00DC3D93"/>
    <w:rsid w:val="00DC3FD1"/>
    <w:rsid w:val="00DC4B14"/>
    <w:rsid w:val="00DC5868"/>
    <w:rsid w:val="00DC6D31"/>
    <w:rsid w:val="00DC7567"/>
    <w:rsid w:val="00DC7A39"/>
    <w:rsid w:val="00DC7FB4"/>
    <w:rsid w:val="00DD0828"/>
    <w:rsid w:val="00DD0C56"/>
    <w:rsid w:val="00DD16B8"/>
    <w:rsid w:val="00DD1A1F"/>
    <w:rsid w:val="00DD1A40"/>
    <w:rsid w:val="00DD1AD3"/>
    <w:rsid w:val="00DD2EF1"/>
    <w:rsid w:val="00DD35BE"/>
    <w:rsid w:val="00DD42A7"/>
    <w:rsid w:val="00DD5C21"/>
    <w:rsid w:val="00DD68C9"/>
    <w:rsid w:val="00DD69DA"/>
    <w:rsid w:val="00DD7835"/>
    <w:rsid w:val="00DD7C6E"/>
    <w:rsid w:val="00DE0B1F"/>
    <w:rsid w:val="00DE15BB"/>
    <w:rsid w:val="00DE22AF"/>
    <w:rsid w:val="00DE25D9"/>
    <w:rsid w:val="00DE43D4"/>
    <w:rsid w:val="00DE448B"/>
    <w:rsid w:val="00DE47B1"/>
    <w:rsid w:val="00DE4871"/>
    <w:rsid w:val="00DE62D6"/>
    <w:rsid w:val="00DE66A7"/>
    <w:rsid w:val="00DE6D53"/>
    <w:rsid w:val="00DE6FB7"/>
    <w:rsid w:val="00DE7A6A"/>
    <w:rsid w:val="00DF04B2"/>
    <w:rsid w:val="00DF17EE"/>
    <w:rsid w:val="00DF1CA6"/>
    <w:rsid w:val="00DF281E"/>
    <w:rsid w:val="00DF2A75"/>
    <w:rsid w:val="00DF3A73"/>
    <w:rsid w:val="00DF3AC7"/>
    <w:rsid w:val="00DF3B8E"/>
    <w:rsid w:val="00DF41F2"/>
    <w:rsid w:val="00DF4540"/>
    <w:rsid w:val="00DF7054"/>
    <w:rsid w:val="00DF755F"/>
    <w:rsid w:val="00DF77BA"/>
    <w:rsid w:val="00DF7F0E"/>
    <w:rsid w:val="00E0011E"/>
    <w:rsid w:val="00E00DD7"/>
    <w:rsid w:val="00E01680"/>
    <w:rsid w:val="00E01E99"/>
    <w:rsid w:val="00E0282B"/>
    <w:rsid w:val="00E02DE7"/>
    <w:rsid w:val="00E03C1E"/>
    <w:rsid w:val="00E04D80"/>
    <w:rsid w:val="00E04E5A"/>
    <w:rsid w:val="00E05193"/>
    <w:rsid w:val="00E051D4"/>
    <w:rsid w:val="00E05567"/>
    <w:rsid w:val="00E057D9"/>
    <w:rsid w:val="00E05D20"/>
    <w:rsid w:val="00E067CB"/>
    <w:rsid w:val="00E07494"/>
    <w:rsid w:val="00E10EA2"/>
    <w:rsid w:val="00E10ED8"/>
    <w:rsid w:val="00E110D3"/>
    <w:rsid w:val="00E11434"/>
    <w:rsid w:val="00E11A78"/>
    <w:rsid w:val="00E11C85"/>
    <w:rsid w:val="00E12303"/>
    <w:rsid w:val="00E12429"/>
    <w:rsid w:val="00E12660"/>
    <w:rsid w:val="00E12FB7"/>
    <w:rsid w:val="00E13245"/>
    <w:rsid w:val="00E13B92"/>
    <w:rsid w:val="00E145BB"/>
    <w:rsid w:val="00E14A8F"/>
    <w:rsid w:val="00E14D66"/>
    <w:rsid w:val="00E151C7"/>
    <w:rsid w:val="00E15981"/>
    <w:rsid w:val="00E16800"/>
    <w:rsid w:val="00E16F5F"/>
    <w:rsid w:val="00E1765A"/>
    <w:rsid w:val="00E17988"/>
    <w:rsid w:val="00E17AB3"/>
    <w:rsid w:val="00E203EF"/>
    <w:rsid w:val="00E2096C"/>
    <w:rsid w:val="00E20D3C"/>
    <w:rsid w:val="00E2164B"/>
    <w:rsid w:val="00E21DF0"/>
    <w:rsid w:val="00E21F84"/>
    <w:rsid w:val="00E22E9D"/>
    <w:rsid w:val="00E236C4"/>
    <w:rsid w:val="00E25D52"/>
    <w:rsid w:val="00E25FD9"/>
    <w:rsid w:val="00E263BF"/>
    <w:rsid w:val="00E2685D"/>
    <w:rsid w:val="00E27947"/>
    <w:rsid w:val="00E27B98"/>
    <w:rsid w:val="00E27DEC"/>
    <w:rsid w:val="00E300BF"/>
    <w:rsid w:val="00E30B1B"/>
    <w:rsid w:val="00E30B39"/>
    <w:rsid w:val="00E30E35"/>
    <w:rsid w:val="00E30E49"/>
    <w:rsid w:val="00E31EE4"/>
    <w:rsid w:val="00E32088"/>
    <w:rsid w:val="00E32F83"/>
    <w:rsid w:val="00E350F2"/>
    <w:rsid w:val="00E35367"/>
    <w:rsid w:val="00E354EE"/>
    <w:rsid w:val="00E35E24"/>
    <w:rsid w:val="00E3637A"/>
    <w:rsid w:val="00E36E21"/>
    <w:rsid w:val="00E37AFA"/>
    <w:rsid w:val="00E40DCC"/>
    <w:rsid w:val="00E422D2"/>
    <w:rsid w:val="00E42B42"/>
    <w:rsid w:val="00E43A9C"/>
    <w:rsid w:val="00E43BE5"/>
    <w:rsid w:val="00E43C61"/>
    <w:rsid w:val="00E4405D"/>
    <w:rsid w:val="00E44B88"/>
    <w:rsid w:val="00E44F77"/>
    <w:rsid w:val="00E45235"/>
    <w:rsid w:val="00E457D7"/>
    <w:rsid w:val="00E45809"/>
    <w:rsid w:val="00E459E2"/>
    <w:rsid w:val="00E45C71"/>
    <w:rsid w:val="00E46032"/>
    <w:rsid w:val="00E47AB7"/>
    <w:rsid w:val="00E5011F"/>
    <w:rsid w:val="00E519DD"/>
    <w:rsid w:val="00E51E9E"/>
    <w:rsid w:val="00E52FB0"/>
    <w:rsid w:val="00E53B8C"/>
    <w:rsid w:val="00E54E9C"/>
    <w:rsid w:val="00E55055"/>
    <w:rsid w:val="00E55102"/>
    <w:rsid w:val="00E55789"/>
    <w:rsid w:val="00E56372"/>
    <w:rsid w:val="00E566A6"/>
    <w:rsid w:val="00E5733E"/>
    <w:rsid w:val="00E575B6"/>
    <w:rsid w:val="00E57A7A"/>
    <w:rsid w:val="00E606FE"/>
    <w:rsid w:val="00E608EF"/>
    <w:rsid w:val="00E625A0"/>
    <w:rsid w:val="00E62CEE"/>
    <w:rsid w:val="00E632A3"/>
    <w:rsid w:val="00E639FF"/>
    <w:rsid w:val="00E63B64"/>
    <w:rsid w:val="00E648A2"/>
    <w:rsid w:val="00E6729D"/>
    <w:rsid w:val="00E67B24"/>
    <w:rsid w:val="00E67DEE"/>
    <w:rsid w:val="00E70077"/>
    <w:rsid w:val="00E70569"/>
    <w:rsid w:val="00E705C0"/>
    <w:rsid w:val="00E71155"/>
    <w:rsid w:val="00E71B5A"/>
    <w:rsid w:val="00E721F6"/>
    <w:rsid w:val="00E7259C"/>
    <w:rsid w:val="00E729C5"/>
    <w:rsid w:val="00E72BE5"/>
    <w:rsid w:val="00E72FC7"/>
    <w:rsid w:val="00E73843"/>
    <w:rsid w:val="00E74205"/>
    <w:rsid w:val="00E7468F"/>
    <w:rsid w:val="00E7562B"/>
    <w:rsid w:val="00E757DF"/>
    <w:rsid w:val="00E759C7"/>
    <w:rsid w:val="00E759F1"/>
    <w:rsid w:val="00E76F34"/>
    <w:rsid w:val="00E77133"/>
    <w:rsid w:val="00E77632"/>
    <w:rsid w:val="00E80301"/>
    <w:rsid w:val="00E803E1"/>
    <w:rsid w:val="00E81F34"/>
    <w:rsid w:val="00E82039"/>
    <w:rsid w:val="00E83CD6"/>
    <w:rsid w:val="00E841D9"/>
    <w:rsid w:val="00E843EE"/>
    <w:rsid w:val="00E854D9"/>
    <w:rsid w:val="00E85AB4"/>
    <w:rsid w:val="00E85D9D"/>
    <w:rsid w:val="00E90557"/>
    <w:rsid w:val="00E907C1"/>
    <w:rsid w:val="00E91C01"/>
    <w:rsid w:val="00E91D64"/>
    <w:rsid w:val="00E92592"/>
    <w:rsid w:val="00E93933"/>
    <w:rsid w:val="00E93A3C"/>
    <w:rsid w:val="00E943DF"/>
    <w:rsid w:val="00E95D7C"/>
    <w:rsid w:val="00E95EA5"/>
    <w:rsid w:val="00E9638C"/>
    <w:rsid w:val="00E966C1"/>
    <w:rsid w:val="00E96897"/>
    <w:rsid w:val="00E96A90"/>
    <w:rsid w:val="00E96DA7"/>
    <w:rsid w:val="00EA0800"/>
    <w:rsid w:val="00EA09D8"/>
    <w:rsid w:val="00EA0AA6"/>
    <w:rsid w:val="00EA0D8A"/>
    <w:rsid w:val="00EA1D2F"/>
    <w:rsid w:val="00EA28DE"/>
    <w:rsid w:val="00EA2B64"/>
    <w:rsid w:val="00EA327B"/>
    <w:rsid w:val="00EA3AC4"/>
    <w:rsid w:val="00EA4324"/>
    <w:rsid w:val="00EA517B"/>
    <w:rsid w:val="00EA5BB8"/>
    <w:rsid w:val="00EA6686"/>
    <w:rsid w:val="00EA7168"/>
    <w:rsid w:val="00EA7964"/>
    <w:rsid w:val="00EA7BC7"/>
    <w:rsid w:val="00EA7F1B"/>
    <w:rsid w:val="00EB0A79"/>
    <w:rsid w:val="00EB1784"/>
    <w:rsid w:val="00EB2B53"/>
    <w:rsid w:val="00EB3F55"/>
    <w:rsid w:val="00EB4505"/>
    <w:rsid w:val="00EB4C28"/>
    <w:rsid w:val="00EB55CA"/>
    <w:rsid w:val="00EB55F7"/>
    <w:rsid w:val="00EB5DFF"/>
    <w:rsid w:val="00EB6D9B"/>
    <w:rsid w:val="00EB77EB"/>
    <w:rsid w:val="00EB7BCA"/>
    <w:rsid w:val="00EB7CF7"/>
    <w:rsid w:val="00EC07BD"/>
    <w:rsid w:val="00EC07C8"/>
    <w:rsid w:val="00EC0ADE"/>
    <w:rsid w:val="00EC11CE"/>
    <w:rsid w:val="00EC1309"/>
    <w:rsid w:val="00EC1AA9"/>
    <w:rsid w:val="00EC1F82"/>
    <w:rsid w:val="00EC20B6"/>
    <w:rsid w:val="00EC284D"/>
    <w:rsid w:val="00EC3DCF"/>
    <w:rsid w:val="00EC472B"/>
    <w:rsid w:val="00EC561F"/>
    <w:rsid w:val="00EC5C3E"/>
    <w:rsid w:val="00EC65BA"/>
    <w:rsid w:val="00EC66C7"/>
    <w:rsid w:val="00EC6AC9"/>
    <w:rsid w:val="00EC6C9F"/>
    <w:rsid w:val="00EC7B37"/>
    <w:rsid w:val="00EC7C8E"/>
    <w:rsid w:val="00ED082A"/>
    <w:rsid w:val="00ED092E"/>
    <w:rsid w:val="00ED0D0F"/>
    <w:rsid w:val="00ED0FEB"/>
    <w:rsid w:val="00ED121D"/>
    <w:rsid w:val="00ED3238"/>
    <w:rsid w:val="00ED330F"/>
    <w:rsid w:val="00ED3358"/>
    <w:rsid w:val="00ED3943"/>
    <w:rsid w:val="00ED445B"/>
    <w:rsid w:val="00ED58EF"/>
    <w:rsid w:val="00ED5930"/>
    <w:rsid w:val="00ED643E"/>
    <w:rsid w:val="00ED665C"/>
    <w:rsid w:val="00ED689B"/>
    <w:rsid w:val="00ED759D"/>
    <w:rsid w:val="00ED7706"/>
    <w:rsid w:val="00EE0F55"/>
    <w:rsid w:val="00EE134F"/>
    <w:rsid w:val="00EE1722"/>
    <w:rsid w:val="00EE17E9"/>
    <w:rsid w:val="00EE1AB4"/>
    <w:rsid w:val="00EE1D07"/>
    <w:rsid w:val="00EE2205"/>
    <w:rsid w:val="00EE374C"/>
    <w:rsid w:val="00EE3DBE"/>
    <w:rsid w:val="00EE47BC"/>
    <w:rsid w:val="00EE5C3E"/>
    <w:rsid w:val="00EE6235"/>
    <w:rsid w:val="00EE6313"/>
    <w:rsid w:val="00EE6A7F"/>
    <w:rsid w:val="00EE6B15"/>
    <w:rsid w:val="00EE6E38"/>
    <w:rsid w:val="00EE6FD2"/>
    <w:rsid w:val="00EE7C55"/>
    <w:rsid w:val="00EE7E33"/>
    <w:rsid w:val="00EE7F9C"/>
    <w:rsid w:val="00EF041E"/>
    <w:rsid w:val="00EF1395"/>
    <w:rsid w:val="00EF1894"/>
    <w:rsid w:val="00EF25D2"/>
    <w:rsid w:val="00EF35DE"/>
    <w:rsid w:val="00EF3A4D"/>
    <w:rsid w:val="00EF3DF7"/>
    <w:rsid w:val="00EF4268"/>
    <w:rsid w:val="00EF46B8"/>
    <w:rsid w:val="00EF4B7F"/>
    <w:rsid w:val="00EF4CAD"/>
    <w:rsid w:val="00EF4F4E"/>
    <w:rsid w:val="00EF5130"/>
    <w:rsid w:val="00EF7069"/>
    <w:rsid w:val="00EF7321"/>
    <w:rsid w:val="00F00E56"/>
    <w:rsid w:val="00F02B0C"/>
    <w:rsid w:val="00F0520F"/>
    <w:rsid w:val="00F06185"/>
    <w:rsid w:val="00F065F5"/>
    <w:rsid w:val="00F07289"/>
    <w:rsid w:val="00F07F6F"/>
    <w:rsid w:val="00F10241"/>
    <w:rsid w:val="00F103DA"/>
    <w:rsid w:val="00F1104B"/>
    <w:rsid w:val="00F11165"/>
    <w:rsid w:val="00F114D7"/>
    <w:rsid w:val="00F114F2"/>
    <w:rsid w:val="00F11A19"/>
    <w:rsid w:val="00F124E0"/>
    <w:rsid w:val="00F13866"/>
    <w:rsid w:val="00F142AF"/>
    <w:rsid w:val="00F14E01"/>
    <w:rsid w:val="00F1515B"/>
    <w:rsid w:val="00F1517D"/>
    <w:rsid w:val="00F161C7"/>
    <w:rsid w:val="00F16614"/>
    <w:rsid w:val="00F166A9"/>
    <w:rsid w:val="00F16844"/>
    <w:rsid w:val="00F16905"/>
    <w:rsid w:val="00F17845"/>
    <w:rsid w:val="00F17F96"/>
    <w:rsid w:val="00F205C2"/>
    <w:rsid w:val="00F2087F"/>
    <w:rsid w:val="00F20BA9"/>
    <w:rsid w:val="00F219EF"/>
    <w:rsid w:val="00F23CDF"/>
    <w:rsid w:val="00F23D92"/>
    <w:rsid w:val="00F2408E"/>
    <w:rsid w:val="00F24857"/>
    <w:rsid w:val="00F24F6B"/>
    <w:rsid w:val="00F25FEF"/>
    <w:rsid w:val="00F26416"/>
    <w:rsid w:val="00F26DAC"/>
    <w:rsid w:val="00F26E5C"/>
    <w:rsid w:val="00F271FF"/>
    <w:rsid w:val="00F278AF"/>
    <w:rsid w:val="00F27D38"/>
    <w:rsid w:val="00F305BF"/>
    <w:rsid w:val="00F307E0"/>
    <w:rsid w:val="00F309BA"/>
    <w:rsid w:val="00F30EBE"/>
    <w:rsid w:val="00F3257F"/>
    <w:rsid w:val="00F326CE"/>
    <w:rsid w:val="00F32851"/>
    <w:rsid w:val="00F32D88"/>
    <w:rsid w:val="00F3307F"/>
    <w:rsid w:val="00F33BAA"/>
    <w:rsid w:val="00F34472"/>
    <w:rsid w:val="00F345B4"/>
    <w:rsid w:val="00F3497D"/>
    <w:rsid w:val="00F3504D"/>
    <w:rsid w:val="00F353EC"/>
    <w:rsid w:val="00F353FA"/>
    <w:rsid w:val="00F358E0"/>
    <w:rsid w:val="00F3676C"/>
    <w:rsid w:val="00F36EA5"/>
    <w:rsid w:val="00F37346"/>
    <w:rsid w:val="00F3755B"/>
    <w:rsid w:val="00F40521"/>
    <w:rsid w:val="00F424B1"/>
    <w:rsid w:val="00F4287E"/>
    <w:rsid w:val="00F42C4E"/>
    <w:rsid w:val="00F42F73"/>
    <w:rsid w:val="00F42F91"/>
    <w:rsid w:val="00F431D5"/>
    <w:rsid w:val="00F444FC"/>
    <w:rsid w:val="00F4490D"/>
    <w:rsid w:val="00F449E4"/>
    <w:rsid w:val="00F44FC3"/>
    <w:rsid w:val="00F45440"/>
    <w:rsid w:val="00F454D5"/>
    <w:rsid w:val="00F456F1"/>
    <w:rsid w:val="00F462CD"/>
    <w:rsid w:val="00F465A3"/>
    <w:rsid w:val="00F469D4"/>
    <w:rsid w:val="00F47057"/>
    <w:rsid w:val="00F475F1"/>
    <w:rsid w:val="00F4777D"/>
    <w:rsid w:val="00F47A3A"/>
    <w:rsid w:val="00F47CEF"/>
    <w:rsid w:val="00F51197"/>
    <w:rsid w:val="00F519B7"/>
    <w:rsid w:val="00F529C2"/>
    <w:rsid w:val="00F52B93"/>
    <w:rsid w:val="00F52B98"/>
    <w:rsid w:val="00F52C50"/>
    <w:rsid w:val="00F52CF8"/>
    <w:rsid w:val="00F53725"/>
    <w:rsid w:val="00F538F3"/>
    <w:rsid w:val="00F53D27"/>
    <w:rsid w:val="00F54DF0"/>
    <w:rsid w:val="00F5546E"/>
    <w:rsid w:val="00F56F55"/>
    <w:rsid w:val="00F5723F"/>
    <w:rsid w:val="00F574F4"/>
    <w:rsid w:val="00F577E6"/>
    <w:rsid w:val="00F57E76"/>
    <w:rsid w:val="00F60D36"/>
    <w:rsid w:val="00F6134E"/>
    <w:rsid w:val="00F6316B"/>
    <w:rsid w:val="00F6408F"/>
    <w:rsid w:val="00F646D3"/>
    <w:rsid w:val="00F6542B"/>
    <w:rsid w:val="00F67468"/>
    <w:rsid w:val="00F70660"/>
    <w:rsid w:val="00F707BD"/>
    <w:rsid w:val="00F70FEE"/>
    <w:rsid w:val="00F7160D"/>
    <w:rsid w:val="00F724D1"/>
    <w:rsid w:val="00F72570"/>
    <w:rsid w:val="00F7260F"/>
    <w:rsid w:val="00F72D98"/>
    <w:rsid w:val="00F75AAF"/>
    <w:rsid w:val="00F76043"/>
    <w:rsid w:val="00F7640E"/>
    <w:rsid w:val="00F76C00"/>
    <w:rsid w:val="00F76C49"/>
    <w:rsid w:val="00F76FD8"/>
    <w:rsid w:val="00F7751D"/>
    <w:rsid w:val="00F778D3"/>
    <w:rsid w:val="00F801C1"/>
    <w:rsid w:val="00F809E2"/>
    <w:rsid w:val="00F80C29"/>
    <w:rsid w:val="00F80E0B"/>
    <w:rsid w:val="00F81565"/>
    <w:rsid w:val="00F822FD"/>
    <w:rsid w:val="00F83923"/>
    <w:rsid w:val="00F84118"/>
    <w:rsid w:val="00F84A76"/>
    <w:rsid w:val="00F86173"/>
    <w:rsid w:val="00F8711D"/>
    <w:rsid w:val="00F8784F"/>
    <w:rsid w:val="00F9049E"/>
    <w:rsid w:val="00F90A3F"/>
    <w:rsid w:val="00F90CA6"/>
    <w:rsid w:val="00F9199C"/>
    <w:rsid w:val="00F93631"/>
    <w:rsid w:val="00F937E7"/>
    <w:rsid w:val="00F93DE5"/>
    <w:rsid w:val="00F93E23"/>
    <w:rsid w:val="00F93E2A"/>
    <w:rsid w:val="00F944A8"/>
    <w:rsid w:val="00F94985"/>
    <w:rsid w:val="00F9551E"/>
    <w:rsid w:val="00F956DC"/>
    <w:rsid w:val="00F95D07"/>
    <w:rsid w:val="00F96424"/>
    <w:rsid w:val="00F96FEF"/>
    <w:rsid w:val="00FA00EA"/>
    <w:rsid w:val="00FA079A"/>
    <w:rsid w:val="00FA0C2F"/>
    <w:rsid w:val="00FA0E26"/>
    <w:rsid w:val="00FA1D64"/>
    <w:rsid w:val="00FA23AA"/>
    <w:rsid w:val="00FA250D"/>
    <w:rsid w:val="00FA29E0"/>
    <w:rsid w:val="00FA2AAE"/>
    <w:rsid w:val="00FA2E53"/>
    <w:rsid w:val="00FA3560"/>
    <w:rsid w:val="00FA3BD9"/>
    <w:rsid w:val="00FA4230"/>
    <w:rsid w:val="00FA4972"/>
    <w:rsid w:val="00FA5FDB"/>
    <w:rsid w:val="00FA67DA"/>
    <w:rsid w:val="00FA6E02"/>
    <w:rsid w:val="00FA7178"/>
    <w:rsid w:val="00FA7A7F"/>
    <w:rsid w:val="00FA7F05"/>
    <w:rsid w:val="00FB00D5"/>
    <w:rsid w:val="00FB0F3B"/>
    <w:rsid w:val="00FB227D"/>
    <w:rsid w:val="00FB27DD"/>
    <w:rsid w:val="00FB285F"/>
    <w:rsid w:val="00FB2875"/>
    <w:rsid w:val="00FB2974"/>
    <w:rsid w:val="00FB532E"/>
    <w:rsid w:val="00FB5386"/>
    <w:rsid w:val="00FB5460"/>
    <w:rsid w:val="00FB5D11"/>
    <w:rsid w:val="00FB5FA9"/>
    <w:rsid w:val="00FB6902"/>
    <w:rsid w:val="00FB720B"/>
    <w:rsid w:val="00FB74D5"/>
    <w:rsid w:val="00FC05EB"/>
    <w:rsid w:val="00FC0737"/>
    <w:rsid w:val="00FC09E5"/>
    <w:rsid w:val="00FC0CB6"/>
    <w:rsid w:val="00FC12F9"/>
    <w:rsid w:val="00FC171F"/>
    <w:rsid w:val="00FC1E00"/>
    <w:rsid w:val="00FC2057"/>
    <w:rsid w:val="00FC3217"/>
    <w:rsid w:val="00FC37D3"/>
    <w:rsid w:val="00FC395A"/>
    <w:rsid w:val="00FC3971"/>
    <w:rsid w:val="00FC4CE2"/>
    <w:rsid w:val="00FC519C"/>
    <w:rsid w:val="00FC53B0"/>
    <w:rsid w:val="00FC56E8"/>
    <w:rsid w:val="00FC5C92"/>
    <w:rsid w:val="00FC68DC"/>
    <w:rsid w:val="00FC68E9"/>
    <w:rsid w:val="00FC7284"/>
    <w:rsid w:val="00FC72D8"/>
    <w:rsid w:val="00FC78BD"/>
    <w:rsid w:val="00FC7B1C"/>
    <w:rsid w:val="00FC7F66"/>
    <w:rsid w:val="00FD0279"/>
    <w:rsid w:val="00FD04D2"/>
    <w:rsid w:val="00FD0D48"/>
    <w:rsid w:val="00FD2115"/>
    <w:rsid w:val="00FD23B9"/>
    <w:rsid w:val="00FD3091"/>
    <w:rsid w:val="00FD3A62"/>
    <w:rsid w:val="00FD3B34"/>
    <w:rsid w:val="00FD3EE2"/>
    <w:rsid w:val="00FD4037"/>
    <w:rsid w:val="00FD417C"/>
    <w:rsid w:val="00FD46E4"/>
    <w:rsid w:val="00FD4BFA"/>
    <w:rsid w:val="00FD4F6E"/>
    <w:rsid w:val="00FD62E5"/>
    <w:rsid w:val="00FD6558"/>
    <w:rsid w:val="00FD6F68"/>
    <w:rsid w:val="00FE0446"/>
    <w:rsid w:val="00FE17F9"/>
    <w:rsid w:val="00FE3C16"/>
    <w:rsid w:val="00FE410C"/>
    <w:rsid w:val="00FE4FAA"/>
    <w:rsid w:val="00FE6288"/>
    <w:rsid w:val="00FE6B85"/>
    <w:rsid w:val="00FE6CCD"/>
    <w:rsid w:val="00FF0023"/>
    <w:rsid w:val="00FF08A3"/>
    <w:rsid w:val="00FF0C51"/>
    <w:rsid w:val="00FF0F11"/>
    <w:rsid w:val="00FF0FAE"/>
    <w:rsid w:val="00FF1821"/>
    <w:rsid w:val="00FF2DC2"/>
    <w:rsid w:val="00FF3029"/>
    <w:rsid w:val="00FF334F"/>
    <w:rsid w:val="00FF335D"/>
    <w:rsid w:val="00FF3548"/>
    <w:rsid w:val="00FF36ED"/>
    <w:rsid w:val="00FF3AB6"/>
    <w:rsid w:val="00FF480B"/>
    <w:rsid w:val="00FF4C8E"/>
    <w:rsid w:val="00FF5EB3"/>
    <w:rsid w:val="00FF694C"/>
    <w:rsid w:val="00FF6BAC"/>
    <w:rsid w:val="00FF73B2"/>
    <w:rsid w:val="00FF796D"/>
    <w:rsid w:val="00FF79EC"/>
    <w:rsid w:val="00FF7C6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C479BB"/>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737CB"/>
    <w:pPr>
      <w:spacing w:line="360" w:lineRule="auto"/>
      <w:ind w:firstLine="720"/>
      <w:jc w:val="both"/>
    </w:pPr>
    <w:rPr>
      <w:rFonts w:ascii="Times New Roman" w:hAnsi="Times New Roman" w:cs="Times New Roman"/>
      <w:sz w:val="22"/>
      <w:szCs w:val="22"/>
      <w:lang w:val="en-GB"/>
    </w:rPr>
  </w:style>
  <w:style w:type="paragraph" w:styleId="Heading1">
    <w:name w:val="heading 1"/>
    <w:basedOn w:val="Title"/>
    <w:next w:val="Normal"/>
    <w:link w:val="Heading1Char"/>
    <w:uiPriority w:val="9"/>
    <w:qFormat/>
    <w:rsid w:val="00173DDA"/>
    <w:pPr>
      <w:numPr>
        <w:numId w:val="2"/>
      </w:numPr>
      <w:ind w:left="360"/>
    </w:pPr>
  </w:style>
  <w:style w:type="paragraph" w:styleId="Heading2">
    <w:name w:val="heading 2"/>
    <w:basedOn w:val="ListParagraph"/>
    <w:next w:val="Normal"/>
    <w:link w:val="Heading2Char"/>
    <w:uiPriority w:val="9"/>
    <w:unhideWhenUsed/>
    <w:qFormat/>
    <w:rsid w:val="005E2F36"/>
    <w:pPr>
      <w:numPr>
        <w:ilvl w:val="1"/>
        <w:numId w:val="2"/>
      </w:numPr>
      <w:shd w:val="clear" w:color="auto" w:fill="FFFFFF"/>
      <w:spacing w:after="240" w:line="276" w:lineRule="auto"/>
      <w:outlineLvl w:val="1"/>
    </w:pPr>
    <w:rPr>
      <w:sz w:val="32"/>
      <w:szCs w:val="28"/>
    </w:rPr>
  </w:style>
  <w:style w:type="paragraph" w:styleId="Heading3">
    <w:name w:val="heading 3"/>
    <w:basedOn w:val="Heading2"/>
    <w:next w:val="Normal"/>
    <w:link w:val="Heading3Char"/>
    <w:uiPriority w:val="9"/>
    <w:unhideWhenUsed/>
    <w:qFormat/>
    <w:rsid w:val="005E2F36"/>
    <w:pPr>
      <w:numPr>
        <w:ilvl w:val="2"/>
      </w:numPr>
      <w:outlineLvl w:val="2"/>
    </w:pPr>
    <w:rPr>
      <w:rFonts w:asciiTheme="majorBidi" w:hAnsiTheme="majorBidi" w:cstheme="majorBidi"/>
      <w:b/>
      <w:sz w:val="24"/>
    </w:rPr>
  </w:style>
  <w:style w:type="paragraph" w:styleId="Heading4">
    <w:name w:val="heading 4"/>
    <w:basedOn w:val="Normal"/>
    <w:next w:val="Normal"/>
    <w:link w:val="Heading4Char"/>
    <w:uiPriority w:val="9"/>
    <w:unhideWhenUsed/>
    <w:qFormat/>
    <w:rsid w:val="001D6F0B"/>
    <w:pPr>
      <w:keepNext/>
      <w:keepLines/>
      <w:autoSpaceDE w:val="0"/>
      <w:autoSpaceDN w:val="0"/>
      <w:adjustRightInd w:val="0"/>
      <w:spacing w:after="120"/>
      <w:outlineLvl w:val="3"/>
    </w:pPr>
    <w:rPr>
      <w:rFonts w:eastAsiaTheme="majorEastAsia"/>
      <w:b/>
      <w:i/>
      <w:iCs/>
      <w:color w:val="000000" w:themeColor="text1"/>
      <w:sz w:val="24"/>
    </w:rPr>
  </w:style>
  <w:style w:type="paragraph" w:styleId="Heading5">
    <w:name w:val="heading 5"/>
    <w:basedOn w:val="Normal"/>
    <w:next w:val="Normal"/>
    <w:link w:val="Heading5Char"/>
    <w:uiPriority w:val="9"/>
    <w:unhideWhenUsed/>
    <w:qFormat/>
    <w:rsid w:val="00634B90"/>
    <w:pPr>
      <w:keepNext/>
      <w:keepLines/>
      <w:autoSpaceDE w:val="0"/>
      <w:autoSpaceDN w:val="0"/>
      <w:adjustRightInd w:val="0"/>
      <w:spacing w:before="40"/>
      <w:outlineLvl w:val="4"/>
    </w:pPr>
    <w:rPr>
      <w:rFonts w:asciiTheme="majorHAnsi" w:eastAsiaTheme="majorEastAsia" w:hAnsiTheme="majorHAnsi" w:cstheme="majorBidi"/>
      <w:color w:val="2F5496" w:themeColor="accent1" w:themeShade="BF"/>
      <w:sz w:val="24"/>
      <w:szCs w:val="24"/>
    </w:rPr>
  </w:style>
  <w:style w:type="paragraph" w:styleId="Heading6">
    <w:name w:val="heading 6"/>
    <w:basedOn w:val="Normal"/>
    <w:next w:val="Normal"/>
    <w:link w:val="Heading6Char"/>
    <w:uiPriority w:val="9"/>
    <w:semiHidden/>
    <w:unhideWhenUsed/>
    <w:qFormat/>
    <w:rsid w:val="00634B90"/>
    <w:pPr>
      <w:keepNext/>
      <w:keepLines/>
      <w:autoSpaceDE w:val="0"/>
      <w:autoSpaceDN w:val="0"/>
      <w:adjustRightInd w:val="0"/>
      <w:spacing w:before="40"/>
      <w:outlineLvl w:val="5"/>
    </w:pPr>
    <w:rPr>
      <w:rFonts w:asciiTheme="majorHAnsi" w:eastAsiaTheme="majorEastAsia" w:hAnsiTheme="majorHAnsi" w:cstheme="majorBidi"/>
      <w:color w:val="1F3763" w:themeColor="accent1" w:themeShade="7F"/>
      <w:sz w:val="24"/>
      <w:szCs w:val="24"/>
    </w:rPr>
  </w:style>
  <w:style w:type="paragraph" w:styleId="Heading7">
    <w:name w:val="heading 7"/>
    <w:basedOn w:val="Normal"/>
    <w:next w:val="Normal"/>
    <w:link w:val="Heading7Char"/>
    <w:uiPriority w:val="9"/>
    <w:semiHidden/>
    <w:unhideWhenUsed/>
    <w:qFormat/>
    <w:rsid w:val="00634B90"/>
    <w:pPr>
      <w:keepNext/>
      <w:keepLines/>
      <w:autoSpaceDE w:val="0"/>
      <w:autoSpaceDN w:val="0"/>
      <w:adjustRightInd w:val="0"/>
      <w:spacing w:before="40"/>
      <w:outlineLvl w:val="6"/>
    </w:pPr>
    <w:rPr>
      <w:rFonts w:asciiTheme="majorHAnsi" w:eastAsiaTheme="majorEastAsia" w:hAnsiTheme="majorHAnsi" w:cstheme="majorBidi"/>
      <w:i/>
      <w:iCs/>
      <w:color w:val="1F3763" w:themeColor="accent1" w:themeShade="7F"/>
      <w:sz w:val="24"/>
      <w:szCs w:val="24"/>
    </w:rPr>
  </w:style>
  <w:style w:type="paragraph" w:styleId="Heading8">
    <w:name w:val="heading 8"/>
    <w:basedOn w:val="Normal"/>
    <w:next w:val="Normal"/>
    <w:link w:val="Heading8Char"/>
    <w:uiPriority w:val="9"/>
    <w:semiHidden/>
    <w:unhideWhenUsed/>
    <w:qFormat/>
    <w:rsid w:val="00634B90"/>
    <w:pPr>
      <w:keepNext/>
      <w:keepLines/>
      <w:numPr>
        <w:ilvl w:val="7"/>
        <w:numId w:val="3"/>
      </w:numPr>
      <w:autoSpaceDE w:val="0"/>
      <w:autoSpaceDN w:val="0"/>
      <w:adjustRightInd w:val="0"/>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34B90"/>
    <w:pPr>
      <w:keepNext/>
      <w:keepLines/>
      <w:numPr>
        <w:ilvl w:val="8"/>
        <w:numId w:val="1"/>
      </w:numPr>
      <w:autoSpaceDE w:val="0"/>
      <w:autoSpaceDN w:val="0"/>
      <w:adjustRightInd w:val="0"/>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382BAC"/>
    <w:pPr>
      <w:autoSpaceDE w:val="0"/>
      <w:autoSpaceDN w:val="0"/>
      <w:adjustRightInd w:val="0"/>
      <w:spacing w:before="120" w:after="120"/>
      <w:ind w:firstLine="0"/>
      <w:contextualSpacing/>
      <w:jc w:val="left"/>
      <w:outlineLvl w:val="0"/>
    </w:pPr>
    <w:rPr>
      <w:rFonts w:eastAsiaTheme="majorEastAsia"/>
      <w:color w:val="000000" w:themeColor="text1"/>
      <w:spacing w:val="-10"/>
      <w:kern w:val="28"/>
      <w:sz w:val="40"/>
      <w:szCs w:val="36"/>
    </w:rPr>
  </w:style>
  <w:style w:type="character" w:customStyle="1" w:styleId="TitleChar">
    <w:name w:val="Title Char"/>
    <w:basedOn w:val="DefaultParagraphFont"/>
    <w:link w:val="Title"/>
    <w:uiPriority w:val="10"/>
    <w:rsid w:val="00382BAC"/>
    <w:rPr>
      <w:rFonts w:ascii="Times New Roman" w:eastAsiaTheme="majorEastAsia" w:hAnsi="Times New Roman" w:cs="Times New Roman"/>
      <w:color w:val="000000" w:themeColor="text1"/>
      <w:spacing w:val="-10"/>
      <w:kern w:val="28"/>
      <w:sz w:val="40"/>
      <w:szCs w:val="36"/>
      <w:lang w:val="en-GB"/>
    </w:rPr>
  </w:style>
  <w:style w:type="character" w:customStyle="1" w:styleId="Heading1Char">
    <w:name w:val="Heading 1 Char"/>
    <w:basedOn w:val="DefaultParagraphFont"/>
    <w:link w:val="Heading1"/>
    <w:uiPriority w:val="9"/>
    <w:rsid w:val="00173DDA"/>
    <w:rPr>
      <w:rFonts w:ascii="Times New Roman" w:eastAsiaTheme="majorEastAsia" w:hAnsi="Times New Roman" w:cs="Times New Roman"/>
      <w:color w:val="000000" w:themeColor="text1"/>
      <w:spacing w:val="-10"/>
      <w:kern w:val="28"/>
      <w:sz w:val="40"/>
      <w:szCs w:val="36"/>
      <w:lang w:val="en-GB"/>
    </w:rPr>
  </w:style>
  <w:style w:type="paragraph" w:styleId="ListParagraph">
    <w:name w:val="List Paragraph"/>
    <w:basedOn w:val="Normal"/>
    <w:uiPriority w:val="34"/>
    <w:qFormat/>
    <w:rsid w:val="00634B90"/>
    <w:pPr>
      <w:autoSpaceDE w:val="0"/>
      <w:autoSpaceDN w:val="0"/>
      <w:adjustRightInd w:val="0"/>
      <w:ind w:left="720"/>
      <w:contextualSpacing/>
    </w:pPr>
    <w:rPr>
      <w:rFonts w:ascii="TimesNewRomanPSMT" w:eastAsia="TimesNewRomanPSMT" w:hAnsi="TimesNewRomanPSMT" w:cs="TimesNewRomanPSMT"/>
    </w:rPr>
  </w:style>
  <w:style w:type="character" w:customStyle="1" w:styleId="Heading2Char">
    <w:name w:val="Heading 2 Char"/>
    <w:basedOn w:val="DefaultParagraphFont"/>
    <w:link w:val="Heading2"/>
    <w:uiPriority w:val="9"/>
    <w:rsid w:val="004D0978"/>
    <w:rPr>
      <w:rFonts w:ascii="TimesNewRomanPSMT" w:eastAsia="TimesNewRomanPSMT" w:hAnsi="TimesNewRomanPSMT" w:cs="TimesNewRomanPSMT"/>
      <w:sz w:val="32"/>
      <w:szCs w:val="28"/>
      <w:shd w:val="clear" w:color="auto" w:fill="FFFFFF"/>
      <w:lang w:val="en-GB"/>
    </w:rPr>
  </w:style>
  <w:style w:type="character" w:customStyle="1" w:styleId="Heading3Char">
    <w:name w:val="Heading 3 Char"/>
    <w:basedOn w:val="DefaultParagraphFont"/>
    <w:link w:val="Heading3"/>
    <w:uiPriority w:val="9"/>
    <w:rsid w:val="00DE62D6"/>
    <w:rPr>
      <w:rFonts w:asciiTheme="majorBidi" w:eastAsia="TimesNewRomanPSMT" w:hAnsiTheme="majorBidi" w:cstheme="majorBidi"/>
      <w:b/>
      <w:szCs w:val="28"/>
      <w:shd w:val="clear" w:color="auto" w:fill="FFFFFF"/>
      <w:lang w:val="en-GB"/>
    </w:rPr>
  </w:style>
  <w:style w:type="character" w:customStyle="1" w:styleId="Heading4Char">
    <w:name w:val="Heading 4 Char"/>
    <w:basedOn w:val="DefaultParagraphFont"/>
    <w:link w:val="Heading4"/>
    <w:uiPriority w:val="9"/>
    <w:rsid w:val="001D6F0B"/>
    <w:rPr>
      <w:rFonts w:ascii="Times New Roman" w:eastAsiaTheme="majorEastAsia" w:hAnsi="Times New Roman" w:cs="Times New Roman"/>
      <w:b/>
      <w:i/>
      <w:iCs/>
      <w:color w:val="000000" w:themeColor="text1"/>
      <w:szCs w:val="22"/>
    </w:rPr>
  </w:style>
  <w:style w:type="character" w:customStyle="1" w:styleId="Heading5Char">
    <w:name w:val="Heading 5 Char"/>
    <w:basedOn w:val="DefaultParagraphFont"/>
    <w:link w:val="Heading5"/>
    <w:uiPriority w:val="9"/>
    <w:semiHidden/>
    <w:rsid w:val="00634B90"/>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634B90"/>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634B90"/>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634B90"/>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uiPriority w:val="9"/>
    <w:semiHidden/>
    <w:rsid w:val="00634B90"/>
    <w:rPr>
      <w:rFonts w:asciiTheme="majorHAnsi" w:eastAsiaTheme="majorEastAsia" w:hAnsiTheme="majorHAnsi" w:cstheme="majorBidi"/>
      <w:i/>
      <w:iCs/>
      <w:color w:val="272727" w:themeColor="text1" w:themeTint="D8"/>
      <w:sz w:val="21"/>
      <w:szCs w:val="21"/>
      <w:lang w:val="en-GB"/>
    </w:rPr>
  </w:style>
  <w:style w:type="paragraph" w:styleId="Caption">
    <w:name w:val="caption"/>
    <w:basedOn w:val="Normal"/>
    <w:next w:val="Normal"/>
    <w:uiPriority w:val="35"/>
    <w:unhideWhenUsed/>
    <w:qFormat/>
    <w:rsid w:val="00E15981"/>
    <w:pPr>
      <w:autoSpaceDE w:val="0"/>
      <w:autoSpaceDN w:val="0"/>
      <w:adjustRightInd w:val="0"/>
      <w:spacing w:before="120" w:line="240" w:lineRule="auto"/>
      <w:ind w:left="288" w:hanging="288"/>
    </w:pPr>
    <w:rPr>
      <w:rFonts w:eastAsia="TimesNewRomanPSMT"/>
      <w:b/>
      <w:bCs/>
    </w:rPr>
  </w:style>
  <w:style w:type="paragraph" w:styleId="NoSpacing">
    <w:name w:val="No Spacing"/>
    <w:basedOn w:val="Normal"/>
    <w:link w:val="NoSpacingChar"/>
    <w:uiPriority w:val="1"/>
    <w:qFormat/>
    <w:rsid w:val="00634B90"/>
    <w:pPr>
      <w:widowControl w:val="0"/>
      <w:tabs>
        <w:tab w:val="left" w:pos="720"/>
        <w:tab w:val="left" w:pos="1440"/>
        <w:tab w:val="left" w:pos="2160"/>
        <w:tab w:val="left" w:pos="2880"/>
        <w:tab w:val="left" w:pos="3600"/>
        <w:tab w:val="left" w:pos="4320"/>
      </w:tabs>
      <w:autoSpaceDE w:val="0"/>
      <w:autoSpaceDN w:val="0"/>
      <w:adjustRightInd w:val="0"/>
      <w:spacing w:line="480" w:lineRule="auto"/>
      <w:ind w:firstLine="360"/>
    </w:pPr>
    <w:rPr>
      <w:rFonts w:eastAsia="TimesNewRomanPSMT"/>
      <w:color w:val="000000" w:themeColor="text1"/>
    </w:rPr>
  </w:style>
  <w:style w:type="character" w:customStyle="1" w:styleId="NoSpacingChar">
    <w:name w:val="No Spacing Char"/>
    <w:basedOn w:val="DefaultParagraphFont"/>
    <w:link w:val="NoSpacing"/>
    <w:uiPriority w:val="1"/>
    <w:rsid w:val="00634B90"/>
    <w:rPr>
      <w:rFonts w:ascii="Times New Roman" w:eastAsia="TimesNewRomanPSMT" w:hAnsi="Times New Roman" w:cs="Times New Roman"/>
      <w:color w:val="000000" w:themeColor="text1"/>
      <w:sz w:val="22"/>
      <w:szCs w:val="22"/>
    </w:rPr>
  </w:style>
  <w:style w:type="character" w:styleId="PlaceholderText">
    <w:name w:val="Placeholder Text"/>
    <w:basedOn w:val="DefaultParagraphFont"/>
    <w:uiPriority w:val="99"/>
    <w:semiHidden/>
    <w:rsid w:val="00004645"/>
    <w:rPr>
      <w:color w:val="808080"/>
    </w:rPr>
  </w:style>
  <w:style w:type="paragraph" w:styleId="Header">
    <w:name w:val="header"/>
    <w:basedOn w:val="Normal"/>
    <w:link w:val="HeaderChar"/>
    <w:uiPriority w:val="99"/>
    <w:unhideWhenUsed/>
    <w:rsid w:val="00B3348C"/>
    <w:pPr>
      <w:tabs>
        <w:tab w:val="center" w:pos="4513"/>
        <w:tab w:val="right" w:pos="9026"/>
      </w:tabs>
      <w:spacing w:line="240" w:lineRule="auto"/>
    </w:pPr>
  </w:style>
  <w:style w:type="character" w:customStyle="1" w:styleId="HeaderChar">
    <w:name w:val="Header Char"/>
    <w:basedOn w:val="DefaultParagraphFont"/>
    <w:link w:val="Header"/>
    <w:uiPriority w:val="99"/>
    <w:rsid w:val="00B3348C"/>
    <w:rPr>
      <w:rFonts w:ascii="Times New Roman" w:hAnsi="Times New Roman" w:cs="Times New Roman"/>
      <w:sz w:val="22"/>
      <w:szCs w:val="22"/>
    </w:rPr>
  </w:style>
  <w:style w:type="paragraph" w:styleId="Footer">
    <w:name w:val="footer"/>
    <w:basedOn w:val="Normal"/>
    <w:link w:val="FooterChar"/>
    <w:uiPriority w:val="99"/>
    <w:unhideWhenUsed/>
    <w:rsid w:val="00B3348C"/>
    <w:pPr>
      <w:tabs>
        <w:tab w:val="center" w:pos="4513"/>
        <w:tab w:val="right" w:pos="9026"/>
      </w:tabs>
      <w:spacing w:line="240" w:lineRule="auto"/>
    </w:pPr>
  </w:style>
  <w:style w:type="character" w:customStyle="1" w:styleId="FooterChar">
    <w:name w:val="Footer Char"/>
    <w:basedOn w:val="DefaultParagraphFont"/>
    <w:link w:val="Footer"/>
    <w:uiPriority w:val="99"/>
    <w:rsid w:val="00B3348C"/>
    <w:rPr>
      <w:rFonts w:ascii="Times New Roman" w:hAnsi="Times New Roman" w:cs="Times New Roman"/>
      <w:sz w:val="22"/>
      <w:szCs w:val="22"/>
    </w:rPr>
  </w:style>
  <w:style w:type="character" w:styleId="PageNumber">
    <w:name w:val="page number"/>
    <w:basedOn w:val="DefaultParagraphFont"/>
    <w:uiPriority w:val="99"/>
    <w:semiHidden/>
    <w:unhideWhenUsed/>
    <w:rsid w:val="00B3348C"/>
  </w:style>
  <w:style w:type="paragraph" w:styleId="FootnoteText">
    <w:name w:val="footnote text"/>
    <w:basedOn w:val="Normal"/>
    <w:link w:val="FootnoteTextChar"/>
    <w:uiPriority w:val="99"/>
    <w:unhideWhenUsed/>
    <w:rsid w:val="00866CA1"/>
    <w:pPr>
      <w:spacing w:line="240" w:lineRule="auto"/>
    </w:pPr>
    <w:rPr>
      <w:sz w:val="20"/>
      <w:szCs w:val="20"/>
    </w:rPr>
  </w:style>
  <w:style w:type="character" w:customStyle="1" w:styleId="FootnoteTextChar">
    <w:name w:val="Footnote Text Char"/>
    <w:basedOn w:val="DefaultParagraphFont"/>
    <w:link w:val="FootnoteText"/>
    <w:uiPriority w:val="99"/>
    <w:rsid w:val="00866CA1"/>
    <w:rPr>
      <w:rFonts w:ascii="Times New Roman" w:hAnsi="Times New Roman" w:cs="Times New Roman"/>
      <w:sz w:val="20"/>
      <w:szCs w:val="20"/>
    </w:rPr>
  </w:style>
  <w:style w:type="character" w:styleId="FootnoteReference">
    <w:name w:val="footnote reference"/>
    <w:basedOn w:val="DefaultParagraphFont"/>
    <w:uiPriority w:val="99"/>
    <w:unhideWhenUsed/>
    <w:rsid w:val="00866CA1"/>
    <w:rPr>
      <w:vertAlign w:val="superscript"/>
    </w:rPr>
  </w:style>
  <w:style w:type="table" w:customStyle="1" w:styleId="GridTable1Light1">
    <w:name w:val="Grid Table 1 Light1"/>
    <w:basedOn w:val="TableNormal"/>
    <w:uiPriority w:val="46"/>
    <w:rsid w:val="008354D6"/>
    <w:rPr>
      <w:rFonts w:ascii="TimesNewRomanPSMT" w:eastAsia="TimesNewRomanPSMT" w:hAnsi="TimesNewRomanPSMT" w:cs="TimesNewRomanPSMT"/>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eGrid">
    <w:name w:val="Table Grid"/>
    <w:basedOn w:val="TableNormal"/>
    <w:uiPriority w:val="39"/>
    <w:rsid w:val="007119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877077"/>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EndnoteReference">
    <w:name w:val="endnote reference"/>
    <w:basedOn w:val="DefaultParagraphFont"/>
    <w:uiPriority w:val="99"/>
    <w:semiHidden/>
    <w:unhideWhenUsed/>
    <w:rsid w:val="0048228A"/>
    <w:rPr>
      <w:vertAlign w:val="superscript"/>
    </w:rPr>
  </w:style>
  <w:style w:type="paragraph" w:styleId="Revision">
    <w:name w:val="Revision"/>
    <w:hidden/>
    <w:uiPriority w:val="99"/>
    <w:semiHidden/>
    <w:rsid w:val="00D91D88"/>
    <w:rPr>
      <w:rFonts w:ascii="Times New Roman" w:hAnsi="Times New Roman" w:cs="Times New Roman"/>
      <w:sz w:val="22"/>
      <w:szCs w:val="22"/>
    </w:rPr>
  </w:style>
  <w:style w:type="character" w:styleId="CommentReference">
    <w:name w:val="annotation reference"/>
    <w:basedOn w:val="DefaultParagraphFont"/>
    <w:uiPriority w:val="99"/>
    <w:semiHidden/>
    <w:unhideWhenUsed/>
    <w:rsid w:val="00277E53"/>
    <w:rPr>
      <w:sz w:val="16"/>
      <w:szCs w:val="16"/>
    </w:rPr>
  </w:style>
  <w:style w:type="paragraph" w:styleId="CommentText">
    <w:name w:val="annotation text"/>
    <w:basedOn w:val="Normal"/>
    <w:link w:val="CommentTextChar"/>
    <w:uiPriority w:val="99"/>
    <w:unhideWhenUsed/>
    <w:rsid w:val="00277E53"/>
    <w:pPr>
      <w:shd w:val="clear" w:color="auto" w:fill="FFFFFF"/>
      <w:spacing w:after="200" w:line="276" w:lineRule="auto"/>
      <w:jc w:val="left"/>
    </w:pPr>
    <w:rPr>
      <w:rFonts w:ascii="Calibri" w:eastAsia="Times New Roman" w:hAnsi="Calibri"/>
      <w:color w:val="000000"/>
      <w:sz w:val="20"/>
      <w:szCs w:val="20"/>
      <w:lang w:eastAsia="en-GB"/>
    </w:rPr>
  </w:style>
  <w:style w:type="character" w:customStyle="1" w:styleId="CommentTextChar">
    <w:name w:val="Comment Text Char"/>
    <w:basedOn w:val="DefaultParagraphFont"/>
    <w:link w:val="CommentText"/>
    <w:uiPriority w:val="99"/>
    <w:rsid w:val="00277E53"/>
    <w:rPr>
      <w:rFonts w:ascii="Calibri" w:eastAsia="Times New Roman" w:hAnsi="Calibri" w:cs="Times New Roman"/>
      <w:color w:val="000000"/>
      <w:sz w:val="20"/>
      <w:szCs w:val="20"/>
      <w:shd w:val="clear" w:color="auto" w:fill="FFFFFF"/>
      <w:lang w:val="en-GB" w:eastAsia="en-GB"/>
    </w:rPr>
  </w:style>
  <w:style w:type="paragraph" w:styleId="BalloonText">
    <w:name w:val="Balloon Text"/>
    <w:basedOn w:val="Normal"/>
    <w:link w:val="BalloonTextChar"/>
    <w:uiPriority w:val="99"/>
    <w:semiHidden/>
    <w:unhideWhenUsed/>
    <w:rsid w:val="00277E53"/>
    <w:pPr>
      <w:spacing w:line="240" w:lineRule="auto"/>
    </w:pPr>
    <w:rPr>
      <w:sz w:val="18"/>
      <w:szCs w:val="18"/>
    </w:rPr>
  </w:style>
  <w:style w:type="character" w:customStyle="1" w:styleId="BalloonTextChar">
    <w:name w:val="Balloon Text Char"/>
    <w:basedOn w:val="DefaultParagraphFont"/>
    <w:link w:val="BalloonText"/>
    <w:uiPriority w:val="99"/>
    <w:semiHidden/>
    <w:rsid w:val="00277E53"/>
    <w:rPr>
      <w:rFonts w:ascii="Times New Roman" w:hAnsi="Times New Roman" w:cs="Times New Roman"/>
      <w:sz w:val="18"/>
      <w:szCs w:val="18"/>
    </w:rPr>
  </w:style>
  <w:style w:type="paragraph" w:styleId="NormalWeb">
    <w:name w:val="Normal (Web)"/>
    <w:basedOn w:val="Normal"/>
    <w:uiPriority w:val="99"/>
    <w:semiHidden/>
    <w:unhideWhenUsed/>
    <w:rsid w:val="00613C75"/>
    <w:rPr>
      <w:sz w:val="24"/>
      <w:szCs w:val="24"/>
    </w:rPr>
  </w:style>
  <w:style w:type="paragraph" w:styleId="ListBullet">
    <w:name w:val="List Bullet"/>
    <w:basedOn w:val="Normal"/>
    <w:uiPriority w:val="99"/>
    <w:unhideWhenUsed/>
    <w:rsid w:val="00613C75"/>
    <w:pPr>
      <w:numPr>
        <w:numId w:val="6"/>
      </w:numPr>
      <w:contextualSpacing/>
    </w:pPr>
  </w:style>
  <w:style w:type="table" w:styleId="GridTable1Light">
    <w:name w:val="Grid Table 1 Light"/>
    <w:basedOn w:val="TableNormal"/>
    <w:uiPriority w:val="46"/>
    <w:rsid w:val="00A31419"/>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OCHeading">
    <w:name w:val="TOC Heading"/>
    <w:basedOn w:val="Heading1"/>
    <w:next w:val="Normal"/>
    <w:uiPriority w:val="39"/>
    <w:unhideWhenUsed/>
    <w:qFormat/>
    <w:rsid w:val="00697017"/>
    <w:pPr>
      <w:keepNext/>
      <w:keepLines/>
      <w:numPr>
        <w:numId w:val="0"/>
      </w:numPr>
      <w:autoSpaceDE/>
      <w:autoSpaceDN/>
      <w:adjustRightInd/>
      <w:spacing w:before="480" w:after="0" w:line="276" w:lineRule="auto"/>
      <w:contextualSpacing w:val="0"/>
      <w:outlineLvl w:val="9"/>
    </w:pPr>
    <w:rPr>
      <w:rFonts w:asciiTheme="majorHAnsi" w:hAnsiTheme="majorHAnsi" w:cstheme="majorBidi"/>
      <w:b/>
      <w:bCs/>
      <w:color w:val="2F5496" w:themeColor="accent1" w:themeShade="BF"/>
      <w:spacing w:val="0"/>
      <w:kern w:val="0"/>
      <w:sz w:val="28"/>
      <w:szCs w:val="28"/>
      <w:lang w:val="en-US"/>
    </w:rPr>
  </w:style>
  <w:style w:type="paragraph" w:styleId="TOC1">
    <w:name w:val="toc 1"/>
    <w:basedOn w:val="Normal"/>
    <w:next w:val="Normal"/>
    <w:autoRedefine/>
    <w:uiPriority w:val="39"/>
    <w:unhideWhenUsed/>
    <w:rsid w:val="00697017"/>
    <w:pPr>
      <w:spacing w:before="360"/>
      <w:jc w:val="left"/>
    </w:pPr>
    <w:rPr>
      <w:rFonts w:asciiTheme="majorHAnsi" w:hAnsiTheme="majorHAnsi"/>
      <w:b/>
      <w:bCs/>
      <w:caps/>
      <w:sz w:val="24"/>
      <w:szCs w:val="24"/>
    </w:rPr>
  </w:style>
  <w:style w:type="paragraph" w:styleId="TOC2">
    <w:name w:val="toc 2"/>
    <w:basedOn w:val="Normal"/>
    <w:next w:val="Normal"/>
    <w:autoRedefine/>
    <w:uiPriority w:val="39"/>
    <w:unhideWhenUsed/>
    <w:rsid w:val="00F937E7"/>
    <w:pPr>
      <w:spacing w:before="240"/>
      <w:jc w:val="left"/>
    </w:pPr>
    <w:rPr>
      <w:rFonts w:asciiTheme="minorHAnsi" w:hAnsiTheme="minorHAnsi"/>
      <w:b/>
      <w:bCs/>
      <w:sz w:val="20"/>
      <w:szCs w:val="20"/>
    </w:rPr>
  </w:style>
  <w:style w:type="paragraph" w:styleId="TOC3">
    <w:name w:val="toc 3"/>
    <w:basedOn w:val="Normal"/>
    <w:next w:val="Normal"/>
    <w:autoRedefine/>
    <w:uiPriority w:val="39"/>
    <w:unhideWhenUsed/>
    <w:rsid w:val="00697017"/>
    <w:pPr>
      <w:ind w:left="220"/>
      <w:jc w:val="left"/>
    </w:pPr>
    <w:rPr>
      <w:rFonts w:asciiTheme="minorHAnsi" w:hAnsiTheme="minorHAnsi"/>
      <w:sz w:val="20"/>
      <w:szCs w:val="20"/>
    </w:rPr>
  </w:style>
  <w:style w:type="character" w:styleId="Hyperlink">
    <w:name w:val="Hyperlink"/>
    <w:basedOn w:val="DefaultParagraphFont"/>
    <w:uiPriority w:val="99"/>
    <w:unhideWhenUsed/>
    <w:rsid w:val="00697017"/>
    <w:rPr>
      <w:color w:val="0563C1" w:themeColor="hyperlink"/>
      <w:u w:val="single"/>
    </w:rPr>
  </w:style>
  <w:style w:type="paragraph" w:styleId="TOC4">
    <w:name w:val="toc 4"/>
    <w:basedOn w:val="Normal"/>
    <w:next w:val="Normal"/>
    <w:autoRedefine/>
    <w:uiPriority w:val="39"/>
    <w:unhideWhenUsed/>
    <w:rsid w:val="00697017"/>
    <w:pPr>
      <w:ind w:left="440"/>
      <w:jc w:val="left"/>
    </w:pPr>
    <w:rPr>
      <w:rFonts w:asciiTheme="minorHAnsi" w:hAnsiTheme="minorHAnsi"/>
      <w:sz w:val="20"/>
      <w:szCs w:val="20"/>
    </w:rPr>
  </w:style>
  <w:style w:type="paragraph" w:styleId="TOC5">
    <w:name w:val="toc 5"/>
    <w:basedOn w:val="Normal"/>
    <w:next w:val="Normal"/>
    <w:autoRedefine/>
    <w:uiPriority w:val="39"/>
    <w:unhideWhenUsed/>
    <w:rsid w:val="00697017"/>
    <w:pPr>
      <w:ind w:left="660"/>
      <w:jc w:val="left"/>
    </w:pPr>
    <w:rPr>
      <w:rFonts w:asciiTheme="minorHAnsi" w:hAnsiTheme="minorHAnsi"/>
      <w:sz w:val="20"/>
      <w:szCs w:val="20"/>
    </w:rPr>
  </w:style>
  <w:style w:type="paragraph" w:styleId="TOC6">
    <w:name w:val="toc 6"/>
    <w:basedOn w:val="Normal"/>
    <w:next w:val="Normal"/>
    <w:autoRedefine/>
    <w:uiPriority w:val="39"/>
    <w:unhideWhenUsed/>
    <w:rsid w:val="00697017"/>
    <w:pPr>
      <w:ind w:left="880"/>
      <w:jc w:val="left"/>
    </w:pPr>
    <w:rPr>
      <w:rFonts w:asciiTheme="minorHAnsi" w:hAnsiTheme="minorHAnsi"/>
      <w:sz w:val="20"/>
      <w:szCs w:val="20"/>
    </w:rPr>
  </w:style>
  <w:style w:type="paragraph" w:styleId="TOC7">
    <w:name w:val="toc 7"/>
    <w:basedOn w:val="Normal"/>
    <w:next w:val="Normal"/>
    <w:autoRedefine/>
    <w:uiPriority w:val="39"/>
    <w:unhideWhenUsed/>
    <w:rsid w:val="00697017"/>
    <w:pPr>
      <w:ind w:left="1100"/>
      <w:jc w:val="left"/>
    </w:pPr>
    <w:rPr>
      <w:rFonts w:asciiTheme="minorHAnsi" w:hAnsiTheme="minorHAnsi"/>
      <w:sz w:val="20"/>
      <w:szCs w:val="20"/>
    </w:rPr>
  </w:style>
  <w:style w:type="paragraph" w:styleId="TOC8">
    <w:name w:val="toc 8"/>
    <w:basedOn w:val="Normal"/>
    <w:next w:val="Normal"/>
    <w:autoRedefine/>
    <w:uiPriority w:val="39"/>
    <w:unhideWhenUsed/>
    <w:rsid w:val="00697017"/>
    <w:pPr>
      <w:ind w:left="1320"/>
      <w:jc w:val="left"/>
    </w:pPr>
    <w:rPr>
      <w:rFonts w:asciiTheme="minorHAnsi" w:hAnsiTheme="minorHAnsi"/>
      <w:sz w:val="20"/>
      <w:szCs w:val="20"/>
    </w:rPr>
  </w:style>
  <w:style w:type="paragraph" w:styleId="TOC9">
    <w:name w:val="toc 9"/>
    <w:basedOn w:val="Normal"/>
    <w:next w:val="Normal"/>
    <w:autoRedefine/>
    <w:uiPriority w:val="39"/>
    <w:unhideWhenUsed/>
    <w:rsid w:val="00697017"/>
    <w:pPr>
      <w:ind w:left="1540"/>
      <w:jc w:val="left"/>
    </w:pPr>
    <w:rPr>
      <w:rFonts w:asciiTheme="minorHAnsi" w:hAnsiTheme="minorHAnsi"/>
      <w:sz w:val="20"/>
      <w:szCs w:val="20"/>
    </w:rPr>
  </w:style>
  <w:style w:type="paragraph" w:styleId="TableofFigures">
    <w:name w:val="table of figures"/>
    <w:basedOn w:val="Normal"/>
    <w:next w:val="Normal"/>
    <w:uiPriority w:val="99"/>
    <w:unhideWhenUsed/>
    <w:rsid w:val="00B326AC"/>
    <w:pPr>
      <w:adjustRightInd w:val="0"/>
      <w:ind w:left="720" w:hanging="720"/>
      <w:contextualSpacing/>
    </w:pPr>
  </w:style>
  <w:style w:type="table" w:customStyle="1" w:styleId="TableGrid1">
    <w:name w:val="Table Grid1"/>
    <w:basedOn w:val="TableNormal"/>
    <w:next w:val="TableGrid"/>
    <w:uiPriority w:val="39"/>
    <w:rsid w:val="009F49BE"/>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3F356D"/>
    <w:pPr>
      <w:shd w:val="clear" w:color="auto" w:fill="auto"/>
      <w:spacing w:after="0" w:line="240" w:lineRule="auto"/>
      <w:jc w:val="both"/>
    </w:pPr>
    <w:rPr>
      <w:rFonts w:ascii="Times New Roman" w:eastAsiaTheme="minorHAnsi" w:hAnsi="Times New Roman"/>
      <w:b/>
      <w:bCs/>
      <w:color w:val="auto"/>
      <w:lang w:eastAsia="en-US"/>
    </w:rPr>
  </w:style>
  <w:style w:type="character" w:customStyle="1" w:styleId="CommentSubjectChar">
    <w:name w:val="Comment Subject Char"/>
    <w:basedOn w:val="CommentTextChar"/>
    <w:link w:val="CommentSubject"/>
    <w:uiPriority w:val="99"/>
    <w:semiHidden/>
    <w:rsid w:val="003F356D"/>
    <w:rPr>
      <w:rFonts w:ascii="Times New Roman" w:eastAsia="Times New Roman" w:hAnsi="Times New Roman" w:cs="Times New Roman"/>
      <w:b/>
      <w:bCs/>
      <w:color w:val="000000"/>
      <w:sz w:val="20"/>
      <w:szCs w:val="20"/>
      <w:shd w:val="clear" w:color="auto" w:fill="FFFFFF"/>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42474">
      <w:bodyDiv w:val="1"/>
      <w:marLeft w:val="0"/>
      <w:marRight w:val="0"/>
      <w:marTop w:val="0"/>
      <w:marBottom w:val="0"/>
      <w:divBdr>
        <w:top w:val="none" w:sz="0" w:space="0" w:color="auto"/>
        <w:left w:val="none" w:sz="0" w:space="0" w:color="auto"/>
        <w:bottom w:val="none" w:sz="0" w:space="0" w:color="auto"/>
        <w:right w:val="none" w:sz="0" w:space="0" w:color="auto"/>
      </w:divBdr>
    </w:div>
    <w:div w:id="16471819">
      <w:bodyDiv w:val="1"/>
      <w:marLeft w:val="0"/>
      <w:marRight w:val="0"/>
      <w:marTop w:val="0"/>
      <w:marBottom w:val="0"/>
      <w:divBdr>
        <w:top w:val="none" w:sz="0" w:space="0" w:color="auto"/>
        <w:left w:val="none" w:sz="0" w:space="0" w:color="auto"/>
        <w:bottom w:val="none" w:sz="0" w:space="0" w:color="auto"/>
        <w:right w:val="none" w:sz="0" w:space="0" w:color="auto"/>
      </w:divBdr>
      <w:divsChild>
        <w:div w:id="155463701">
          <w:marLeft w:val="0"/>
          <w:marRight w:val="0"/>
          <w:marTop w:val="0"/>
          <w:marBottom w:val="0"/>
          <w:divBdr>
            <w:top w:val="none" w:sz="0" w:space="0" w:color="auto"/>
            <w:left w:val="none" w:sz="0" w:space="0" w:color="auto"/>
            <w:bottom w:val="none" w:sz="0" w:space="0" w:color="auto"/>
            <w:right w:val="none" w:sz="0" w:space="0" w:color="auto"/>
          </w:divBdr>
        </w:div>
        <w:div w:id="646007524">
          <w:marLeft w:val="0"/>
          <w:marRight w:val="0"/>
          <w:marTop w:val="0"/>
          <w:marBottom w:val="0"/>
          <w:divBdr>
            <w:top w:val="none" w:sz="0" w:space="0" w:color="auto"/>
            <w:left w:val="none" w:sz="0" w:space="0" w:color="auto"/>
            <w:bottom w:val="none" w:sz="0" w:space="0" w:color="auto"/>
            <w:right w:val="none" w:sz="0" w:space="0" w:color="auto"/>
          </w:divBdr>
        </w:div>
        <w:div w:id="425661254">
          <w:marLeft w:val="0"/>
          <w:marRight w:val="0"/>
          <w:marTop w:val="0"/>
          <w:marBottom w:val="0"/>
          <w:divBdr>
            <w:top w:val="none" w:sz="0" w:space="0" w:color="auto"/>
            <w:left w:val="none" w:sz="0" w:space="0" w:color="auto"/>
            <w:bottom w:val="none" w:sz="0" w:space="0" w:color="auto"/>
            <w:right w:val="none" w:sz="0" w:space="0" w:color="auto"/>
          </w:divBdr>
        </w:div>
        <w:div w:id="1715811632">
          <w:marLeft w:val="0"/>
          <w:marRight w:val="0"/>
          <w:marTop w:val="0"/>
          <w:marBottom w:val="0"/>
          <w:divBdr>
            <w:top w:val="none" w:sz="0" w:space="0" w:color="auto"/>
            <w:left w:val="none" w:sz="0" w:space="0" w:color="auto"/>
            <w:bottom w:val="none" w:sz="0" w:space="0" w:color="auto"/>
            <w:right w:val="none" w:sz="0" w:space="0" w:color="auto"/>
          </w:divBdr>
        </w:div>
      </w:divsChild>
    </w:div>
    <w:div w:id="22824017">
      <w:bodyDiv w:val="1"/>
      <w:marLeft w:val="0"/>
      <w:marRight w:val="0"/>
      <w:marTop w:val="0"/>
      <w:marBottom w:val="0"/>
      <w:divBdr>
        <w:top w:val="none" w:sz="0" w:space="0" w:color="auto"/>
        <w:left w:val="none" w:sz="0" w:space="0" w:color="auto"/>
        <w:bottom w:val="none" w:sz="0" w:space="0" w:color="auto"/>
        <w:right w:val="none" w:sz="0" w:space="0" w:color="auto"/>
      </w:divBdr>
    </w:div>
    <w:div w:id="25953131">
      <w:bodyDiv w:val="1"/>
      <w:marLeft w:val="0"/>
      <w:marRight w:val="0"/>
      <w:marTop w:val="0"/>
      <w:marBottom w:val="0"/>
      <w:divBdr>
        <w:top w:val="none" w:sz="0" w:space="0" w:color="auto"/>
        <w:left w:val="none" w:sz="0" w:space="0" w:color="auto"/>
        <w:bottom w:val="none" w:sz="0" w:space="0" w:color="auto"/>
        <w:right w:val="none" w:sz="0" w:space="0" w:color="auto"/>
      </w:divBdr>
    </w:div>
    <w:div w:id="68313259">
      <w:bodyDiv w:val="1"/>
      <w:marLeft w:val="0"/>
      <w:marRight w:val="0"/>
      <w:marTop w:val="0"/>
      <w:marBottom w:val="0"/>
      <w:divBdr>
        <w:top w:val="none" w:sz="0" w:space="0" w:color="auto"/>
        <w:left w:val="none" w:sz="0" w:space="0" w:color="auto"/>
        <w:bottom w:val="none" w:sz="0" w:space="0" w:color="auto"/>
        <w:right w:val="none" w:sz="0" w:space="0" w:color="auto"/>
      </w:divBdr>
    </w:div>
    <w:div w:id="75058910">
      <w:bodyDiv w:val="1"/>
      <w:marLeft w:val="0"/>
      <w:marRight w:val="0"/>
      <w:marTop w:val="0"/>
      <w:marBottom w:val="0"/>
      <w:divBdr>
        <w:top w:val="none" w:sz="0" w:space="0" w:color="auto"/>
        <w:left w:val="none" w:sz="0" w:space="0" w:color="auto"/>
        <w:bottom w:val="none" w:sz="0" w:space="0" w:color="auto"/>
        <w:right w:val="none" w:sz="0" w:space="0" w:color="auto"/>
      </w:divBdr>
    </w:div>
    <w:div w:id="97720054">
      <w:bodyDiv w:val="1"/>
      <w:marLeft w:val="0"/>
      <w:marRight w:val="0"/>
      <w:marTop w:val="0"/>
      <w:marBottom w:val="0"/>
      <w:divBdr>
        <w:top w:val="none" w:sz="0" w:space="0" w:color="auto"/>
        <w:left w:val="none" w:sz="0" w:space="0" w:color="auto"/>
        <w:bottom w:val="none" w:sz="0" w:space="0" w:color="auto"/>
        <w:right w:val="none" w:sz="0" w:space="0" w:color="auto"/>
      </w:divBdr>
    </w:div>
    <w:div w:id="113180697">
      <w:bodyDiv w:val="1"/>
      <w:marLeft w:val="0"/>
      <w:marRight w:val="0"/>
      <w:marTop w:val="0"/>
      <w:marBottom w:val="0"/>
      <w:divBdr>
        <w:top w:val="none" w:sz="0" w:space="0" w:color="auto"/>
        <w:left w:val="none" w:sz="0" w:space="0" w:color="auto"/>
        <w:bottom w:val="none" w:sz="0" w:space="0" w:color="auto"/>
        <w:right w:val="none" w:sz="0" w:space="0" w:color="auto"/>
      </w:divBdr>
    </w:div>
    <w:div w:id="137764665">
      <w:bodyDiv w:val="1"/>
      <w:marLeft w:val="0"/>
      <w:marRight w:val="0"/>
      <w:marTop w:val="0"/>
      <w:marBottom w:val="0"/>
      <w:divBdr>
        <w:top w:val="none" w:sz="0" w:space="0" w:color="auto"/>
        <w:left w:val="none" w:sz="0" w:space="0" w:color="auto"/>
        <w:bottom w:val="none" w:sz="0" w:space="0" w:color="auto"/>
        <w:right w:val="none" w:sz="0" w:space="0" w:color="auto"/>
      </w:divBdr>
    </w:div>
    <w:div w:id="170609696">
      <w:bodyDiv w:val="1"/>
      <w:marLeft w:val="0"/>
      <w:marRight w:val="0"/>
      <w:marTop w:val="0"/>
      <w:marBottom w:val="0"/>
      <w:divBdr>
        <w:top w:val="none" w:sz="0" w:space="0" w:color="auto"/>
        <w:left w:val="none" w:sz="0" w:space="0" w:color="auto"/>
        <w:bottom w:val="none" w:sz="0" w:space="0" w:color="auto"/>
        <w:right w:val="none" w:sz="0" w:space="0" w:color="auto"/>
      </w:divBdr>
    </w:div>
    <w:div w:id="212426116">
      <w:bodyDiv w:val="1"/>
      <w:marLeft w:val="0"/>
      <w:marRight w:val="0"/>
      <w:marTop w:val="0"/>
      <w:marBottom w:val="0"/>
      <w:divBdr>
        <w:top w:val="none" w:sz="0" w:space="0" w:color="auto"/>
        <w:left w:val="none" w:sz="0" w:space="0" w:color="auto"/>
        <w:bottom w:val="none" w:sz="0" w:space="0" w:color="auto"/>
        <w:right w:val="none" w:sz="0" w:space="0" w:color="auto"/>
      </w:divBdr>
    </w:div>
    <w:div w:id="217595852">
      <w:bodyDiv w:val="1"/>
      <w:marLeft w:val="0"/>
      <w:marRight w:val="0"/>
      <w:marTop w:val="0"/>
      <w:marBottom w:val="0"/>
      <w:divBdr>
        <w:top w:val="none" w:sz="0" w:space="0" w:color="auto"/>
        <w:left w:val="none" w:sz="0" w:space="0" w:color="auto"/>
        <w:bottom w:val="none" w:sz="0" w:space="0" w:color="auto"/>
        <w:right w:val="none" w:sz="0" w:space="0" w:color="auto"/>
      </w:divBdr>
    </w:div>
    <w:div w:id="220025334">
      <w:bodyDiv w:val="1"/>
      <w:marLeft w:val="0"/>
      <w:marRight w:val="0"/>
      <w:marTop w:val="0"/>
      <w:marBottom w:val="0"/>
      <w:divBdr>
        <w:top w:val="none" w:sz="0" w:space="0" w:color="auto"/>
        <w:left w:val="none" w:sz="0" w:space="0" w:color="auto"/>
        <w:bottom w:val="none" w:sz="0" w:space="0" w:color="auto"/>
        <w:right w:val="none" w:sz="0" w:space="0" w:color="auto"/>
      </w:divBdr>
    </w:div>
    <w:div w:id="220361047">
      <w:bodyDiv w:val="1"/>
      <w:marLeft w:val="0"/>
      <w:marRight w:val="0"/>
      <w:marTop w:val="0"/>
      <w:marBottom w:val="0"/>
      <w:divBdr>
        <w:top w:val="none" w:sz="0" w:space="0" w:color="auto"/>
        <w:left w:val="none" w:sz="0" w:space="0" w:color="auto"/>
        <w:bottom w:val="none" w:sz="0" w:space="0" w:color="auto"/>
        <w:right w:val="none" w:sz="0" w:space="0" w:color="auto"/>
      </w:divBdr>
    </w:div>
    <w:div w:id="232275942">
      <w:bodyDiv w:val="1"/>
      <w:marLeft w:val="0"/>
      <w:marRight w:val="0"/>
      <w:marTop w:val="0"/>
      <w:marBottom w:val="0"/>
      <w:divBdr>
        <w:top w:val="none" w:sz="0" w:space="0" w:color="auto"/>
        <w:left w:val="none" w:sz="0" w:space="0" w:color="auto"/>
        <w:bottom w:val="none" w:sz="0" w:space="0" w:color="auto"/>
        <w:right w:val="none" w:sz="0" w:space="0" w:color="auto"/>
      </w:divBdr>
    </w:div>
    <w:div w:id="243926855">
      <w:bodyDiv w:val="1"/>
      <w:marLeft w:val="0"/>
      <w:marRight w:val="0"/>
      <w:marTop w:val="0"/>
      <w:marBottom w:val="0"/>
      <w:divBdr>
        <w:top w:val="none" w:sz="0" w:space="0" w:color="auto"/>
        <w:left w:val="none" w:sz="0" w:space="0" w:color="auto"/>
        <w:bottom w:val="none" w:sz="0" w:space="0" w:color="auto"/>
        <w:right w:val="none" w:sz="0" w:space="0" w:color="auto"/>
      </w:divBdr>
    </w:div>
    <w:div w:id="307175941">
      <w:bodyDiv w:val="1"/>
      <w:marLeft w:val="0"/>
      <w:marRight w:val="0"/>
      <w:marTop w:val="0"/>
      <w:marBottom w:val="0"/>
      <w:divBdr>
        <w:top w:val="none" w:sz="0" w:space="0" w:color="auto"/>
        <w:left w:val="none" w:sz="0" w:space="0" w:color="auto"/>
        <w:bottom w:val="none" w:sz="0" w:space="0" w:color="auto"/>
        <w:right w:val="none" w:sz="0" w:space="0" w:color="auto"/>
      </w:divBdr>
    </w:div>
    <w:div w:id="333608405">
      <w:bodyDiv w:val="1"/>
      <w:marLeft w:val="0"/>
      <w:marRight w:val="0"/>
      <w:marTop w:val="0"/>
      <w:marBottom w:val="0"/>
      <w:divBdr>
        <w:top w:val="none" w:sz="0" w:space="0" w:color="auto"/>
        <w:left w:val="none" w:sz="0" w:space="0" w:color="auto"/>
        <w:bottom w:val="none" w:sz="0" w:space="0" w:color="auto"/>
        <w:right w:val="none" w:sz="0" w:space="0" w:color="auto"/>
      </w:divBdr>
    </w:div>
    <w:div w:id="360521335">
      <w:bodyDiv w:val="1"/>
      <w:marLeft w:val="0"/>
      <w:marRight w:val="0"/>
      <w:marTop w:val="0"/>
      <w:marBottom w:val="0"/>
      <w:divBdr>
        <w:top w:val="none" w:sz="0" w:space="0" w:color="auto"/>
        <w:left w:val="none" w:sz="0" w:space="0" w:color="auto"/>
        <w:bottom w:val="none" w:sz="0" w:space="0" w:color="auto"/>
        <w:right w:val="none" w:sz="0" w:space="0" w:color="auto"/>
      </w:divBdr>
    </w:div>
    <w:div w:id="363751778">
      <w:bodyDiv w:val="1"/>
      <w:marLeft w:val="0"/>
      <w:marRight w:val="0"/>
      <w:marTop w:val="0"/>
      <w:marBottom w:val="0"/>
      <w:divBdr>
        <w:top w:val="none" w:sz="0" w:space="0" w:color="auto"/>
        <w:left w:val="none" w:sz="0" w:space="0" w:color="auto"/>
        <w:bottom w:val="none" w:sz="0" w:space="0" w:color="auto"/>
        <w:right w:val="none" w:sz="0" w:space="0" w:color="auto"/>
      </w:divBdr>
    </w:div>
    <w:div w:id="367537331">
      <w:bodyDiv w:val="1"/>
      <w:marLeft w:val="0"/>
      <w:marRight w:val="0"/>
      <w:marTop w:val="0"/>
      <w:marBottom w:val="0"/>
      <w:divBdr>
        <w:top w:val="none" w:sz="0" w:space="0" w:color="auto"/>
        <w:left w:val="none" w:sz="0" w:space="0" w:color="auto"/>
        <w:bottom w:val="none" w:sz="0" w:space="0" w:color="auto"/>
        <w:right w:val="none" w:sz="0" w:space="0" w:color="auto"/>
      </w:divBdr>
    </w:div>
    <w:div w:id="371271373">
      <w:bodyDiv w:val="1"/>
      <w:marLeft w:val="0"/>
      <w:marRight w:val="0"/>
      <w:marTop w:val="0"/>
      <w:marBottom w:val="0"/>
      <w:divBdr>
        <w:top w:val="none" w:sz="0" w:space="0" w:color="auto"/>
        <w:left w:val="none" w:sz="0" w:space="0" w:color="auto"/>
        <w:bottom w:val="none" w:sz="0" w:space="0" w:color="auto"/>
        <w:right w:val="none" w:sz="0" w:space="0" w:color="auto"/>
      </w:divBdr>
    </w:div>
    <w:div w:id="398402113">
      <w:bodyDiv w:val="1"/>
      <w:marLeft w:val="0"/>
      <w:marRight w:val="0"/>
      <w:marTop w:val="0"/>
      <w:marBottom w:val="0"/>
      <w:divBdr>
        <w:top w:val="none" w:sz="0" w:space="0" w:color="auto"/>
        <w:left w:val="none" w:sz="0" w:space="0" w:color="auto"/>
        <w:bottom w:val="none" w:sz="0" w:space="0" w:color="auto"/>
        <w:right w:val="none" w:sz="0" w:space="0" w:color="auto"/>
      </w:divBdr>
    </w:div>
    <w:div w:id="398867410">
      <w:bodyDiv w:val="1"/>
      <w:marLeft w:val="0"/>
      <w:marRight w:val="0"/>
      <w:marTop w:val="0"/>
      <w:marBottom w:val="0"/>
      <w:divBdr>
        <w:top w:val="none" w:sz="0" w:space="0" w:color="auto"/>
        <w:left w:val="none" w:sz="0" w:space="0" w:color="auto"/>
        <w:bottom w:val="none" w:sz="0" w:space="0" w:color="auto"/>
        <w:right w:val="none" w:sz="0" w:space="0" w:color="auto"/>
      </w:divBdr>
    </w:div>
    <w:div w:id="424962063">
      <w:bodyDiv w:val="1"/>
      <w:marLeft w:val="0"/>
      <w:marRight w:val="0"/>
      <w:marTop w:val="0"/>
      <w:marBottom w:val="0"/>
      <w:divBdr>
        <w:top w:val="none" w:sz="0" w:space="0" w:color="auto"/>
        <w:left w:val="none" w:sz="0" w:space="0" w:color="auto"/>
        <w:bottom w:val="none" w:sz="0" w:space="0" w:color="auto"/>
        <w:right w:val="none" w:sz="0" w:space="0" w:color="auto"/>
      </w:divBdr>
    </w:div>
    <w:div w:id="426341397">
      <w:bodyDiv w:val="1"/>
      <w:marLeft w:val="0"/>
      <w:marRight w:val="0"/>
      <w:marTop w:val="0"/>
      <w:marBottom w:val="0"/>
      <w:divBdr>
        <w:top w:val="none" w:sz="0" w:space="0" w:color="auto"/>
        <w:left w:val="none" w:sz="0" w:space="0" w:color="auto"/>
        <w:bottom w:val="none" w:sz="0" w:space="0" w:color="auto"/>
        <w:right w:val="none" w:sz="0" w:space="0" w:color="auto"/>
      </w:divBdr>
    </w:div>
    <w:div w:id="428476975">
      <w:bodyDiv w:val="1"/>
      <w:marLeft w:val="0"/>
      <w:marRight w:val="0"/>
      <w:marTop w:val="0"/>
      <w:marBottom w:val="0"/>
      <w:divBdr>
        <w:top w:val="none" w:sz="0" w:space="0" w:color="auto"/>
        <w:left w:val="none" w:sz="0" w:space="0" w:color="auto"/>
        <w:bottom w:val="none" w:sz="0" w:space="0" w:color="auto"/>
        <w:right w:val="none" w:sz="0" w:space="0" w:color="auto"/>
      </w:divBdr>
    </w:div>
    <w:div w:id="438449566">
      <w:bodyDiv w:val="1"/>
      <w:marLeft w:val="0"/>
      <w:marRight w:val="0"/>
      <w:marTop w:val="0"/>
      <w:marBottom w:val="0"/>
      <w:divBdr>
        <w:top w:val="none" w:sz="0" w:space="0" w:color="auto"/>
        <w:left w:val="none" w:sz="0" w:space="0" w:color="auto"/>
        <w:bottom w:val="none" w:sz="0" w:space="0" w:color="auto"/>
        <w:right w:val="none" w:sz="0" w:space="0" w:color="auto"/>
      </w:divBdr>
    </w:div>
    <w:div w:id="447893655">
      <w:bodyDiv w:val="1"/>
      <w:marLeft w:val="0"/>
      <w:marRight w:val="0"/>
      <w:marTop w:val="0"/>
      <w:marBottom w:val="0"/>
      <w:divBdr>
        <w:top w:val="none" w:sz="0" w:space="0" w:color="auto"/>
        <w:left w:val="none" w:sz="0" w:space="0" w:color="auto"/>
        <w:bottom w:val="none" w:sz="0" w:space="0" w:color="auto"/>
        <w:right w:val="none" w:sz="0" w:space="0" w:color="auto"/>
      </w:divBdr>
    </w:div>
    <w:div w:id="455224389">
      <w:bodyDiv w:val="1"/>
      <w:marLeft w:val="0"/>
      <w:marRight w:val="0"/>
      <w:marTop w:val="0"/>
      <w:marBottom w:val="0"/>
      <w:divBdr>
        <w:top w:val="none" w:sz="0" w:space="0" w:color="auto"/>
        <w:left w:val="none" w:sz="0" w:space="0" w:color="auto"/>
        <w:bottom w:val="none" w:sz="0" w:space="0" w:color="auto"/>
        <w:right w:val="none" w:sz="0" w:space="0" w:color="auto"/>
      </w:divBdr>
    </w:div>
    <w:div w:id="458185388">
      <w:bodyDiv w:val="1"/>
      <w:marLeft w:val="0"/>
      <w:marRight w:val="0"/>
      <w:marTop w:val="0"/>
      <w:marBottom w:val="0"/>
      <w:divBdr>
        <w:top w:val="none" w:sz="0" w:space="0" w:color="auto"/>
        <w:left w:val="none" w:sz="0" w:space="0" w:color="auto"/>
        <w:bottom w:val="none" w:sz="0" w:space="0" w:color="auto"/>
        <w:right w:val="none" w:sz="0" w:space="0" w:color="auto"/>
      </w:divBdr>
    </w:div>
    <w:div w:id="467935977">
      <w:bodyDiv w:val="1"/>
      <w:marLeft w:val="0"/>
      <w:marRight w:val="0"/>
      <w:marTop w:val="0"/>
      <w:marBottom w:val="0"/>
      <w:divBdr>
        <w:top w:val="none" w:sz="0" w:space="0" w:color="auto"/>
        <w:left w:val="none" w:sz="0" w:space="0" w:color="auto"/>
        <w:bottom w:val="none" w:sz="0" w:space="0" w:color="auto"/>
        <w:right w:val="none" w:sz="0" w:space="0" w:color="auto"/>
      </w:divBdr>
    </w:div>
    <w:div w:id="488522359">
      <w:bodyDiv w:val="1"/>
      <w:marLeft w:val="0"/>
      <w:marRight w:val="0"/>
      <w:marTop w:val="0"/>
      <w:marBottom w:val="0"/>
      <w:divBdr>
        <w:top w:val="none" w:sz="0" w:space="0" w:color="auto"/>
        <w:left w:val="none" w:sz="0" w:space="0" w:color="auto"/>
        <w:bottom w:val="none" w:sz="0" w:space="0" w:color="auto"/>
        <w:right w:val="none" w:sz="0" w:space="0" w:color="auto"/>
      </w:divBdr>
    </w:div>
    <w:div w:id="562449206">
      <w:bodyDiv w:val="1"/>
      <w:marLeft w:val="0"/>
      <w:marRight w:val="0"/>
      <w:marTop w:val="0"/>
      <w:marBottom w:val="0"/>
      <w:divBdr>
        <w:top w:val="none" w:sz="0" w:space="0" w:color="auto"/>
        <w:left w:val="none" w:sz="0" w:space="0" w:color="auto"/>
        <w:bottom w:val="none" w:sz="0" w:space="0" w:color="auto"/>
        <w:right w:val="none" w:sz="0" w:space="0" w:color="auto"/>
      </w:divBdr>
    </w:div>
    <w:div w:id="585579471">
      <w:bodyDiv w:val="1"/>
      <w:marLeft w:val="0"/>
      <w:marRight w:val="0"/>
      <w:marTop w:val="0"/>
      <w:marBottom w:val="0"/>
      <w:divBdr>
        <w:top w:val="none" w:sz="0" w:space="0" w:color="auto"/>
        <w:left w:val="none" w:sz="0" w:space="0" w:color="auto"/>
        <w:bottom w:val="none" w:sz="0" w:space="0" w:color="auto"/>
        <w:right w:val="none" w:sz="0" w:space="0" w:color="auto"/>
      </w:divBdr>
    </w:div>
    <w:div w:id="614677272">
      <w:bodyDiv w:val="1"/>
      <w:marLeft w:val="0"/>
      <w:marRight w:val="0"/>
      <w:marTop w:val="0"/>
      <w:marBottom w:val="0"/>
      <w:divBdr>
        <w:top w:val="none" w:sz="0" w:space="0" w:color="auto"/>
        <w:left w:val="none" w:sz="0" w:space="0" w:color="auto"/>
        <w:bottom w:val="none" w:sz="0" w:space="0" w:color="auto"/>
        <w:right w:val="none" w:sz="0" w:space="0" w:color="auto"/>
      </w:divBdr>
    </w:div>
    <w:div w:id="620112610">
      <w:bodyDiv w:val="1"/>
      <w:marLeft w:val="0"/>
      <w:marRight w:val="0"/>
      <w:marTop w:val="0"/>
      <w:marBottom w:val="0"/>
      <w:divBdr>
        <w:top w:val="none" w:sz="0" w:space="0" w:color="auto"/>
        <w:left w:val="none" w:sz="0" w:space="0" w:color="auto"/>
        <w:bottom w:val="none" w:sz="0" w:space="0" w:color="auto"/>
        <w:right w:val="none" w:sz="0" w:space="0" w:color="auto"/>
      </w:divBdr>
    </w:div>
    <w:div w:id="624235765">
      <w:bodyDiv w:val="1"/>
      <w:marLeft w:val="0"/>
      <w:marRight w:val="0"/>
      <w:marTop w:val="0"/>
      <w:marBottom w:val="0"/>
      <w:divBdr>
        <w:top w:val="none" w:sz="0" w:space="0" w:color="auto"/>
        <w:left w:val="none" w:sz="0" w:space="0" w:color="auto"/>
        <w:bottom w:val="none" w:sz="0" w:space="0" w:color="auto"/>
        <w:right w:val="none" w:sz="0" w:space="0" w:color="auto"/>
      </w:divBdr>
    </w:div>
    <w:div w:id="635792554">
      <w:bodyDiv w:val="1"/>
      <w:marLeft w:val="0"/>
      <w:marRight w:val="0"/>
      <w:marTop w:val="0"/>
      <w:marBottom w:val="0"/>
      <w:divBdr>
        <w:top w:val="none" w:sz="0" w:space="0" w:color="auto"/>
        <w:left w:val="none" w:sz="0" w:space="0" w:color="auto"/>
        <w:bottom w:val="none" w:sz="0" w:space="0" w:color="auto"/>
        <w:right w:val="none" w:sz="0" w:space="0" w:color="auto"/>
      </w:divBdr>
    </w:div>
    <w:div w:id="683820798">
      <w:bodyDiv w:val="1"/>
      <w:marLeft w:val="0"/>
      <w:marRight w:val="0"/>
      <w:marTop w:val="0"/>
      <w:marBottom w:val="0"/>
      <w:divBdr>
        <w:top w:val="none" w:sz="0" w:space="0" w:color="auto"/>
        <w:left w:val="none" w:sz="0" w:space="0" w:color="auto"/>
        <w:bottom w:val="none" w:sz="0" w:space="0" w:color="auto"/>
        <w:right w:val="none" w:sz="0" w:space="0" w:color="auto"/>
      </w:divBdr>
    </w:div>
    <w:div w:id="699627254">
      <w:bodyDiv w:val="1"/>
      <w:marLeft w:val="0"/>
      <w:marRight w:val="0"/>
      <w:marTop w:val="0"/>
      <w:marBottom w:val="0"/>
      <w:divBdr>
        <w:top w:val="none" w:sz="0" w:space="0" w:color="auto"/>
        <w:left w:val="none" w:sz="0" w:space="0" w:color="auto"/>
        <w:bottom w:val="none" w:sz="0" w:space="0" w:color="auto"/>
        <w:right w:val="none" w:sz="0" w:space="0" w:color="auto"/>
      </w:divBdr>
    </w:div>
    <w:div w:id="710694955">
      <w:bodyDiv w:val="1"/>
      <w:marLeft w:val="0"/>
      <w:marRight w:val="0"/>
      <w:marTop w:val="0"/>
      <w:marBottom w:val="0"/>
      <w:divBdr>
        <w:top w:val="none" w:sz="0" w:space="0" w:color="auto"/>
        <w:left w:val="none" w:sz="0" w:space="0" w:color="auto"/>
        <w:bottom w:val="none" w:sz="0" w:space="0" w:color="auto"/>
        <w:right w:val="none" w:sz="0" w:space="0" w:color="auto"/>
      </w:divBdr>
    </w:div>
    <w:div w:id="712920161">
      <w:bodyDiv w:val="1"/>
      <w:marLeft w:val="0"/>
      <w:marRight w:val="0"/>
      <w:marTop w:val="0"/>
      <w:marBottom w:val="0"/>
      <w:divBdr>
        <w:top w:val="none" w:sz="0" w:space="0" w:color="auto"/>
        <w:left w:val="none" w:sz="0" w:space="0" w:color="auto"/>
        <w:bottom w:val="none" w:sz="0" w:space="0" w:color="auto"/>
        <w:right w:val="none" w:sz="0" w:space="0" w:color="auto"/>
      </w:divBdr>
    </w:div>
    <w:div w:id="713820555">
      <w:bodyDiv w:val="1"/>
      <w:marLeft w:val="0"/>
      <w:marRight w:val="0"/>
      <w:marTop w:val="0"/>
      <w:marBottom w:val="0"/>
      <w:divBdr>
        <w:top w:val="none" w:sz="0" w:space="0" w:color="auto"/>
        <w:left w:val="none" w:sz="0" w:space="0" w:color="auto"/>
        <w:bottom w:val="none" w:sz="0" w:space="0" w:color="auto"/>
        <w:right w:val="none" w:sz="0" w:space="0" w:color="auto"/>
      </w:divBdr>
    </w:div>
    <w:div w:id="732046301">
      <w:bodyDiv w:val="1"/>
      <w:marLeft w:val="0"/>
      <w:marRight w:val="0"/>
      <w:marTop w:val="0"/>
      <w:marBottom w:val="0"/>
      <w:divBdr>
        <w:top w:val="none" w:sz="0" w:space="0" w:color="auto"/>
        <w:left w:val="none" w:sz="0" w:space="0" w:color="auto"/>
        <w:bottom w:val="none" w:sz="0" w:space="0" w:color="auto"/>
        <w:right w:val="none" w:sz="0" w:space="0" w:color="auto"/>
      </w:divBdr>
    </w:div>
    <w:div w:id="748505544">
      <w:bodyDiv w:val="1"/>
      <w:marLeft w:val="0"/>
      <w:marRight w:val="0"/>
      <w:marTop w:val="0"/>
      <w:marBottom w:val="0"/>
      <w:divBdr>
        <w:top w:val="none" w:sz="0" w:space="0" w:color="auto"/>
        <w:left w:val="none" w:sz="0" w:space="0" w:color="auto"/>
        <w:bottom w:val="none" w:sz="0" w:space="0" w:color="auto"/>
        <w:right w:val="none" w:sz="0" w:space="0" w:color="auto"/>
      </w:divBdr>
    </w:div>
    <w:div w:id="766003052">
      <w:bodyDiv w:val="1"/>
      <w:marLeft w:val="0"/>
      <w:marRight w:val="0"/>
      <w:marTop w:val="0"/>
      <w:marBottom w:val="0"/>
      <w:divBdr>
        <w:top w:val="none" w:sz="0" w:space="0" w:color="auto"/>
        <w:left w:val="none" w:sz="0" w:space="0" w:color="auto"/>
        <w:bottom w:val="none" w:sz="0" w:space="0" w:color="auto"/>
        <w:right w:val="none" w:sz="0" w:space="0" w:color="auto"/>
      </w:divBdr>
    </w:div>
    <w:div w:id="822160872">
      <w:bodyDiv w:val="1"/>
      <w:marLeft w:val="0"/>
      <w:marRight w:val="0"/>
      <w:marTop w:val="0"/>
      <w:marBottom w:val="0"/>
      <w:divBdr>
        <w:top w:val="none" w:sz="0" w:space="0" w:color="auto"/>
        <w:left w:val="none" w:sz="0" w:space="0" w:color="auto"/>
        <w:bottom w:val="none" w:sz="0" w:space="0" w:color="auto"/>
        <w:right w:val="none" w:sz="0" w:space="0" w:color="auto"/>
      </w:divBdr>
    </w:div>
    <w:div w:id="823476217">
      <w:bodyDiv w:val="1"/>
      <w:marLeft w:val="0"/>
      <w:marRight w:val="0"/>
      <w:marTop w:val="0"/>
      <w:marBottom w:val="0"/>
      <w:divBdr>
        <w:top w:val="none" w:sz="0" w:space="0" w:color="auto"/>
        <w:left w:val="none" w:sz="0" w:space="0" w:color="auto"/>
        <w:bottom w:val="none" w:sz="0" w:space="0" w:color="auto"/>
        <w:right w:val="none" w:sz="0" w:space="0" w:color="auto"/>
      </w:divBdr>
    </w:div>
    <w:div w:id="888613918">
      <w:bodyDiv w:val="1"/>
      <w:marLeft w:val="0"/>
      <w:marRight w:val="0"/>
      <w:marTop w:val="0"/>
      <w:marBottom w:val="0"/>
      <w:divBdr>
        <w:top w:val="none" w:sz="0" w:space="0" w:color="auto"/>
        <w:left w:val="none" w:sz="0" w:space="0" w:color="auto"/>
        <w:bottom w:val="none" w:sz="0" w:space="0" w:color="auto"/>
        <w:right w:val="none" w:sz="0" w:space="0" w:color="auto"/>
      </w:divBdr>
    </w:div>
    <w:div w:id="907810937">
      <w:bodyDiv w:val="1"/>
      <w:marLeft w:val="0"/>
      <w:marRight w:val="0"/>
      <w:marTop w:val="0"/>
      <w:marBottom w:val="0"/>
      <w:divBdr>
        <w:top w:val="none" w:sz="0" w:space="0" w:color="auto"/>
        <w:left w:val="none" w:sz="0" w:space="0" w:color="auto"/>
        <w:bottom w:val="none" w:sz="0" w:space="0" w:color="auto"/>
        <w:right w:val="none" w:sz="0" w:space="0" w:color="auto"/>
      </w:divBdr>
    </w:div>
    <w:div w:id="944461679">
      <w:bodyDiv w:val="1"/>
      <w:marLeft w:val="0"/>
      <w:marRight w:val="0"/>
      <w:marTop w:val="0"/>
      <w:marBottom w:val="0"/>
      <w:divBdr>
        <w:top w:val="none" w:sz="0" w:space="0" w:color="auto"/>
        <w:left w:val="none" w:sz="0" w:space="0" w:color="auto"/>
        <w:bottom w:val="none" w:sz="0" w:space="0" w:color="auto"/>
        <w:right w:val="none" w:sz="0" w:space="0" w:color="auto"/>
      </w:divBdr>
    </w:div>
    <w:div w:id="957950716">
      <w:bodyDiv w:val="1"/>
      <w:marLeft w:val="0"/>
      <w:marRight w:val="0"/>
      <w:marTop w:val="0"/>
      <w:marBottom w:val="0"/>
      <w:divBdr>
        <w:top w:val="none" w:sz="0" w:space="0" w:color="auto"/>
        <w:left w:val="none" w:sz="0" w:space="0" w:color="auto"/>
        <w:bottom w:val="none" w:sz="0" w:space="0" w:color="auto"/>
        <w:right w:val="none" w:sz="0" w:space="0" w:color="auto"/>
      </w:divBdr>
    </w:div>
    <w:div w:id="982080994">
      <w:bodyDiv w:val="1"/>
      <w:marLeft w:val="0"/>
      <w:marRight w:val="0"/>
      <w:marTop w:val="0"/>
      <w:marBottom w:val="0"/>
      <w:divBdr>
        <w:top w:val="none" w:sz="0" w:space="0" w:color="auto"/>
        <w:left w:val="none" w:sz="0" w:space="0" w:color="auto"/>
        <w:bottom w:val="none" w:sz="0" w:space="0" w:color="auto"/>
        <w:right w:val="none" w:sz="0" w:space="0" w:color="auto"/>
      </w:divBdr>
    </w:div>
    <w:div w:id="1000736363">
      <w:bodyDiv w:val="1"/>
      <w:marLeft w:val="0"/>
      <w:marRight w:val="0"/>
      <w:marTop w:val="0"/>
      <w:marBottom w:val="0"/>
      <w:divBdr>
        <w:top w:val="none" w:sz="0" w:space="0" w:color="auto"/>
        <w:left w:val="none" w:sz="0" w:space="0" w:color="auto"/>
        <w:bottom w:val="none" w:sz="0" w:space="0" w:color="auto"/>
        <w:right w:val="none" w:sz="0" w:space="0" w:color="auto"/>
      </w:divBdr>
    </w:div>
    <w:div w:id="1076051565">
      <w:bodyDiv w:val="1"/>
      <w:marLeft w:val="0"/>
      <w:marRight w:val="0"/>
      <w:marTop w:val="0"/>
      <w:marBottom w:val="0"/>
      <w:divBdr>
        <w:top w:val="none" w:sz="0" w:space="0" w:color="auto"/>
        <w:left w:val="none" w:sz="0" w:space="0" w:color="auto"/>
        <w:bottom w:val="none" w:sz="0" w:space="0" w:color="auto"/>
        <w:right w:val="none" w:sz="0" w:space="0" w:color="auto"/>
      </w:divBdr>
    </w:div>
    <w:div w:id="1196894332">
      <w:bodyDiv w:val="1"/>
      <w:marLeft w:val="0"/>
      <w:marRight w:val="0"/>
      <w:marTop w:val="0"/>
      <w:marBottom w:val="0"/>
      <w:divBdr>
        <w:top w:val="none" w:sz="0" w:space="0" w:color="auto"/>
        <w:left w:val="none" w:sz="0" w:space="0" w:color="auto"/>
        <w:bottom w:val="none" w:sz="0" w:space="0" w:color="auto"/>
        <w:right w:val="none" w:sz="0" w:space="0" w:color="auto"/>
      </w:divBdr>
    </w:div>
    <w:div w:id="1199585314">
      <w:bodyDiv w:val="1"/>
      <w:marLeft w:val="0"/>
      <w:marRight w:val="0"/>
      <w:marTop w:val="0"/>
      <w:marBottom w:val="0"/>
      <w:divBdr>
        <w:top w:val="none" w:sz="0" w:space="0" w:color="auto"/>
        <w:left w:val="none" w:sz="0" w:space="0" w:color="auto"/>
        <w:bottom w:val="none" w:sz="0" w:space="0" w:color="auto"/>
        <w:right w:val="none" w:sz="0" w:space="0" w:color="auto"/>
      </w:divBdr>
    </w:div>
    <w:div w:id="1235044599">
      <w:bodyDiv w:val="1"/>
      <w:marLeft w:val="0"/>
      <w:marRight w:val="0"/>
      <w:marTop w:val="0"/>
      <w:marBottom w:val="0"/>
      <w:divBdr>
        <w:top w:val="none" w:sz="0" w:space="0" w:color="auto"/>
        <w:left w:val="none" w:sz="0" w:space="0" w:color="auto"/>
        <w:bottom w:val="none" w:sz="0" w:space="0" w:color="auto"/>
        <w:right w:val="none" w:sz="0" w:space="0" w:color="auto"/>
      </w:divBdr>
    </w:div>
    <w:div w:id="1273173901">
      <w:bodyDiv w:val="1"/>
      <w:marLeft w:val="0"/>
      <w:marRight w:val="0"/>
      <w:marTop w:val="0"/>
      <w:marBottom w:val="0"/>
      <w:divBdr>
        <w:top w:val="none" w:sz="0" w:space="0" w:color="auto"/>
        <w:left w:val="none" w:sz="0" w:space="0" w:color="auto"/>
        <w:bottom w:val="none" w:sz="0" w:space="0" w:color="auto"/>
        <w:right w:val="none" w:sz="0" w:space="0" w:color="auto"/>
      </w:divBdr>
    </w:div>
    <w:div w:id="1337998811">
      <w:bodyDiv w:val="1"/>
      <w:marLeft w:val="0"/>
      <w:marRight w:val="0"/>
      <w:marTop w:val="0"/>
      <w:marBottom w:val="0"/>
      <w:divBdr>
        <w:top w:val="none" w:sz="0" w:space="0" w:color="auto"/>
        <w:left w:val="none" w:sz="0" w:space="0" w:color="auto"/>
        <w:bottom w:val="none" w:sz="0" w:space="0" w:color="auto"/>
        <w:right w:val="none" w:sz="0" w:space="0" w:color="auto"/>
      </w:divBdr>
    </w:div>
    <w:div w:id="1363702919">
      <w:bodyDiv w:val="1"/>
      <w:marLeft w:val="0"/>
      <w:marRight w:val="0"/>
      <w:marTop w:val="0"/>
      <w:marBottom w:val="0"/>
      <w:divBdr>
        <w:top w:val="none" w:sz="0" w:space="0" w:color="auto"/>
        <w:left w:val="none" w:sz="0" w:space="0" w:color="auto"/>
        <w:bottom w:val="none" w:sz="0" w:space="0" w:color="auto"/>
        <w:right w:val="none" w:sz="0" w:space="0" w:color="auto"/>
      </w:divBdr>
    </w:div>
    <w:div w:id="1438597496">
      <w:bodyDiv w:val="1"/>
      <w:marLeft w:val="0"/>
      <w:marRight w:val="0"/>
      <w:marTop w:val="0"/>
      <w:marBottom w:val="0"/>
      <w:divBdr>
        <w:top w:val="none" w:sz="0" w:space="0" w:color="auto"/>
        <w:left w:val="none" w:sz="0" w:space="0" w:color="auto"/>
        <w:bottom w:val="none" w:sz="0" w:space="0" w:color="auto"/>
        <w:right w:val="none" w:sz="0" w:space="0" w:color="auto"/>
      </w:divBdr>
    </w:div>
    <w:div w:id="1440486474">
      <w:bodyDiv w:val="1"/>
      <w:marLeft w:val="0"/>
      <w:marRight w:val="0"/>
      <w:marTop w:val="0"/>
      <w:marBottom w:val="0"/>
      <w:divBdr>
        <w:top w:val="none" w:sz="0" w:space="0" w:color="auto"/>
        <w:left w:val="none" w:sz="0" w:space="0" w:color="auto"/>
        <w:bottom w:val="none" w:sz="0" w:space="0" w:color="auto"/>
        <w:right w:val="none" w:sz="0" w:space="0" w:color="auto"/>
      </w:divBdr>
    </w:div>
    <w:div w:id="1481996134">
      <w:bodyDiv w:val="1"/>
      <w:marLeft w:val="0"/>
      <w:marRight w:val="0"/>
      <w:marTop w:val="0"/>
      <w:marBottom w:val="0"/>
      <w:divBdr>
        <w:top w:val="none" w:sz="0" w:space="0" w:color="auto"/>
        <w:left w:val="none" w:sz="0" w:space="0" w:color="auto"/>
        <w:bottom w:val="none" w:sz="0" w:space="0" w:color="auto"/>
        <w:right w:val="none" w:sz="0" w:space="0" w:color="auto"/>
      </w:divBdr>
    </w:div>
    <w:div w:id="1488933931">
      <w:bodyDiv w:val="1"/>
      <w:marLeft w:val="0"/>
      <w:marRight w:val="0"/>
      <w:marTop w:val="0"/>
      <w:marBottom w:val="0"/>
      <w:divBdr>
        <w:top w:val="none" w:sz="0" w:space="0" w:color="auto"/>
        <w:left w:val="none" w:sz="0" w:space="0" w:color="auto"/>
        <w:bottom w:val="none" w:sz="0" w:space="0" w:color="auto"/>
        <w:right w:val="none" w:sz="0" w:space="0" w:color="auto"/>
      </w:divBdr>
    </w:div>
    <w:div w:id="1509782819">
      <w:bodyDiv w:val="1"/>
      <w:marLeft w:val="0"/>
      <w:marRight w:val="0"/>
      <w:marTop w:val="0"/>
      <w:marBottom w:val="0"/>
      <w:divBdr>
        <w:top w:val="none" w:sz="0" w:space="0" w:color="auto"/>
        <w:left w:val="none" w:sz="0" w:space="0" w:color="auto"/>
        <w:bottom w:val="none" w:sz="0" w:space="0" w:color="auto"/>
        <w:right w:val="none" w:sz="0" w:space="0" w:color="auto"/>
      </w:divBdr>
    </w:div>
    <w:div w:id="1535002391">
      <w:bodyDiv w:val="1"/>
      <w:marLeft w:val="0"/>
      <w:marRight w:val="0"/>
      <w:marTop w:val="0"/>
      <w:marBottom w:val="0"/>
      <w:divBdr>
        <w:top w:val="none" w:sz="0" w:space="0" w:color="auto"/>
        <w:left w:val="none" w:sz="0" w:space="0" w:color="auto"/>
        <w:bottom w:val="none" w:sz="0" w:space="0" w:color="auto"/>
        <w:right w:val="none" w:sz="0" w:space="0" w:color="auto"/>
      </w:divBdr>
    </w:div>
    <w:div w:id="1564215682">
      <w:bodyDiv w:val="1"/>
      <w:marLeft w:val="0"/>
      <w:marRight w:val="0"/>
      <w:marTop w:val="0"/>
      <w:marBottom w:val="0"/>
      <w:divBdr>
        <w:top w:val="none" w:sz="0" w:space="0" w:color="auto"/>
        <w:left w:val="none" w:sz="0" w:space="0" w:color="auto"/>
        <w:bottom w:val="none" w:sz="0" w:space="0" w:color="auto"/>
        <w:right w:val="none" w:sz="0" w:space="0" w:color="auto"/>
      </w:divBdr>
    </w:div>
    <w:div w:id="1638030290">
      <w:bodyDiv w:val="1"/>
      <w:marLeft w:val="0"/>
      <w:marRight w:val="0"/>
      <w:marTop w:val="0"/>
      <w:marBottom w:val="0"/>
      <w:divBdr>
        <w:top w:val="none" w:sz="0" w:space="0" w:color="auto"/>
        <w:left w:val="none" w:sz="0" w:space="0" w:color="auto"/>
        <w:bottom w:val="none" w:sz="0" w:space="0" w:color="auto"/>
        <w:right w:val="none" w:sz="0" w:space="0" w:color="auto"/>
      </w:divBdr>
    </w:div>
    <w:div w:id="1640108327">
      <w:bodyDiv w:val="1"/>
      <w:marLeft w:val="0"/>
      <w:marRight w:val="0"/>
      <w:marTop w:val="0"/>
      <w:marBottom w:val="0"/>
      <w:divBdr>
        <w:top w:val="none" w:sz="0" w:space="0" w:color="auto"/>
        <w:left w:val="none" w:sz="0" w:space="0" w:color="auto"/>
        <w:bottom w:val="none" w:sz="0" w:space="0" w:color="auto"/>
        <w:right w:val="none" w:sz="0" w:space="0" w:color="auto"/>
      </w:divBdr>
    </w:div>
    <w:div w:id="1669014821">
      <w:bodyDiv w:val="1"/>
      <w:marLeft w:val="0"/>
      <w:marRight w:val="0"/>
      <w:marTop w:val="0"/>
      <w:marBottom w:val="0"/>
      <w:divBdr>
        <w:top w:val="none" w:sz="0" w:space="0" w:color="auto"/>
        <w:left w:val="none" w:sz="0" w:space="0" w:color="auto"/>
        <w:bottom w:val="none" w:sz="0" w:space="0" w:color="auto"/>
        <w:right w:val="none" w:sz="0" w:space="0" w:color="auto"/>
      </w:divBdr>
    </w:div>
    <w:div w:id="1677537731">
      <w:bodyDiv w:val="1"/>
      <w:marLeft w:val="0"/>
      <w:marRight w:val="0"/>
      <w:marTop w:val="0"/>
      <w:marBottom w:val="0"/>
      <w:divBdr>
        <w:top w:val="none" w:sz="0" w:space="0" w:color="auto"/>
        <w:left w:val="none" w:sz="0" w:space="0" w:color="auto"/>
        <w:bottom w:val="none" w:sz="0" w:space="0" w:color="auto"/>
        <w:right w:val="none" w:sz="0" w:space="0" w:color="auto"/>
      </w:divBdr>
    </w:div>
    <w:div w:id="1691762224">
      <w:bodyDiv w:val="1"/>
      <w:marLeft w:val="0"/>
      <w:marRight w:val="0"/>
      <w:marTop w:val="0"/>
      <w:marBottom w:val="0"/>
      <w:divBdr>
        <w:top w:val="none" w:sz="0" w:space="0" w:color="auto"/>
        <w:left w:val="none" w:sz="0" w:space="0" w:color="auto"/>
        <w:bottom w:val="none" w:sz="0" w:space="0" w:color="auto"/>
        <w:right w:val="none" w:sz="0" w:space="0" w:color="auto"/>
      </w:divBdr>
    </w:div>
    <w:div w:id="1761636285">
      <w:bodyDiv w:val="1"/>
      <w:marLeft w:val="0"/>
      <w:marRight w:val="0"/>
      <w:marTop w:val="0"/>
      <w:marBottom w:val="0"/>
      <w:divBdr>
        <w:top w:val="none" w:sz="0" w:space="0" w:color="auto"/>
        <w:left w:val="none" w:sz="0" w:space="0" w:color="auto"/>
        <w:bottom w:val="none" w:sz="0" w:space="0" w:color="auto"/>
        <w:right w:val="none" w:sz="0" w:space="0" w:color="auto"/>
      </w:divBdr>
    </w:div>
    <w:div w:id="1817184083">
      <w:bodyDiv w:val="1"/>
      <w:marLeft w:val="0"/>
      <w:marRight w:val="0"/>
      <w:marTop w:val="0"/>
      <w:marBottom w:val="0"/>
      <w:divBdr>
        <w:top w:val="none" w:sz="0" w:space="0" w:color="auto"/>
        <w:left w:val="none" w:sz="0" w:space="0" w:color="auto"/>
        <w:bottom w:val="none" w:sz="0" w:space="0" w:color="auto"/>
        <w:right w:val="none" w:sz="0" w:space="0" w:color="auto"/>
      </w:divBdr>
    </w:div>
    <w:div w:id="1856459928">
      <w:bodyDiv w:val="1"/>
      <w:marLeft w:val="0"/>
      <w:marRight w:val="0"/>
      <w:marTop w:val="0"/>
      <w:marBottom w:val="0"/>
      <w:divBdr>
        <w:top w:val="none" w:sz="0" w:space="0" w:color="auto"/>
        <w:left w:val="none" w:sz="0" w:space="0" w:color="auto"/>
        <w:bottom w:val="none" w:sz="0" w:space="0" w:color="auto"/>
        <w:right w:val="none" w:sz="0" w:space="0" w:color="auto"/>
      </w:divBdr>
    </w:div>
    <w:div w:id="1863009202">
      <w:bodyDiv w:val="1"/>
      <w:marLeft w:val="0"/>
      <w:marRight w:val="0"/>
      <w:marTop w:val="0"/>
      <w:marBottom w:val="0"/>
      <w:divBdr>
        <w:top w:val="none" w:sz="0" w:space="0" w:color="auto"/>
        <w:left w:val="none" w:sz="0" w:space="0" w:color="auto"/>
        <w:bottom w:val="none" w:sz="0" w:space="0" w:color="auto"/>
        <w:right w:val="none" w:sz="0" w:space="0" w:color="auto"/>
      </w:divBdr>
    </w:div>
    <w:div w:id="1868789259">
      <w:bodyDiv w:val="1"/>
      <w:marLeft w:val="0"/>
      <w:marRight w:val="0"/>
      <w:marTop w:val="0"/>
      <w:marBottom w:val="0"/>
      <w:divBdr>
        <w:top w:val="none" w:sz="0" w:space="0" w:color="auto"/>
        <w:left w:val="none" w:sz="0" w:space="0" w:color="auto"/>
        <w:bottom w:val="none" w:sz="0" w:space="0" w:color="auto"/>
        <w:right w:val="none" w:sz="0" w:space="0" w:color="auto"/>
      </w:divBdr>
    </w:div>
    <w:div w:id="1873573822">
      <w:bodyDiv w:val="1"/>
      <w:marLeft w:val="0"/>
      <w:marRight w:val="0"/>
      <w:marTop w:val="0"/>
      <w:marBottom w:val="0"/>
      <w:divBdr>
        <w:top w:val="none" w:sz="0" w:space="0" w:color="auto"/>
        <w:left w:val="none" w:sz="0" w:space="0" w:color="auto"/>
        <w:bottom w:val="none" w:sz="0" w:space="0" w:color="auto"/>
        <w:right w:val="none" w:sz="0" w:space="0" w:color="auto"/>
      </w:divBdr>
    </w:div>
    <w:div w:id="1876655132">
      <w:bodyDiv w:val="1"/>
      <w:marLeft w:val="0"/>
      <w:marRight w:val="0"/>
      <w:marTop w:val="0"/>
      <w:marBottom w:val="0"/>
      <w:divBdr>
        <w:top w:val="none" w:sz="0" w:space="0" w:color="auto"/>
        <w:left w:val="none" w:sz="0" w:space="0" w:color="auto"/>
        <w:bottom w:val="none" w:sz="0" w:space="0" w:color="auto"/>
        <w:right w:val="none" w:sz="0" w:space="0" w:color="auto"/>
      </w:divBdr>
    </w:div>
    <w:div w:id="1906186193">
      <w:bodyDiv w:val="1"/>
      <w:marLeft w:val="0"/>
      <w:marRight w:val="0"/>
      <w:marTop w:val="0"/>
      <w:marBottom w:val="0"/>
      <w:divBdr>
        <w:top w:val="none" w:sz="0" w:space="0" w:color="auto"/>
        <w:left w:val="none" w:sz="0" w:space="0" w:color="auto"/>
        <w:bottom w:val="none" w:sz="0" w:space="0" w:color="auto"/>
        <w:right w:val="none" w:sz="0" w:space="0" w:color="auto"/>
      </w:divBdr>
    </w:div>
    <w:div w:id="1928493758">
      <w:bodyDiv w:val="1"/>
      <w:marLeft w:val="0"/>
      <w:marRight w:val="0"/>
      <w:marTop w:val="0"/>
      <w:marBottom w:val="0"/>
      <w:divBdr>
        <w:top w:val="none" w:sz="0" w:space="0" w:color="auto"/>
        <w:left w:val="none" w:sz="0" w:space="0" w:color="auto"/>
        <w:bottom w:val="none" w:sz="0" w:space="0" w:color="auto"/>
        <w:right w:val="none" w:sz="0" w:space="0" w:color="auto"/>
      </w:divBdr>
    </w:div>
    <w:div w:id="1946570252">
      <w:bodyDiv w:val="1"/>
      <w:marLeft w:val="0"/>
      <w:marRight w:val="0"/>
      <w:marTop w:val="0"/>
      <w:marBottom w:val="0"/>
      <w:divBdr>
        <w:top w:val="none" w:sz="0" w:space="0" w:color="auto"/>
        <w:left w:val="none" w:sz="0" w:space="0" w:color="auto"/>
        <w:bottom w:val="none" w:sz="0" w:space="0" w:color="auto"/>
        <w:right w:val="none" w:sz="0" w:space="0" w:color="auto"/>
      </w:divBdr>
    </w:div>
    <w:div w:id="1965691832">
      <w:bodyDiv w:val="1"/>
      <w:marLeft w:val="0"/>
      <w:marRight w:val="0"/>
      <w:marTop w:val="0"/>
      <w:marBottom w:val="0"/>
      <w:divBdr>
        <w:top w:val="none" w:sz="0" w:space="0" w:color="auto"/>
        <w:left w:val="none" w:sz="0" w:space="0" w:color="auto"/>
        <w:bottom w:val="none" w:sz="0" w:space="0" w:color="auto"/>
        <w:right w:val="none" w:sz="0" w:space="0" w:color="auto"/>
      </w:divBdr>
    </w:div>
    <w:div w:id="1981810784">
      <w:bodyDiv w:val="1"/>
      <w:marLeft w:val="0"/>
      <w:marRight w:val="0"/>
      <w:marTop w:val="0"/>
      <w:marBottom w:val="0"/>
      <w:divBdr>
        <w:top w:val="none" w:sz="0" w:space="0" w:color="auto"/>
        <w:left w:val="none" w:sz="0" w:space="0" w:color="auto"/>
        <w:bottom w:val="none" w:sz="0" w:space="0" w:color="auto"/>
        <w:right w:val="none" w:sz="0" w:space="0" w:color="auto"/>
      </w:divBdr>
    </w:div>
    <w:div w:id="2019231799">
      <w:bodyDiv w:val="1"/>
      <w:marLeft w:val="0"/>
      <w:marRight w:val="0"/>
      <w:marTop w:val="0"/>
      <w:marBottom w:val="0"/>
      <w:divBdr>
        <w:top w:val="none" w:sz="0" w:space="0" w:color="auto"/>
        <w:left w:val="none" w:sz="0" w:space="0" w:color="auto"/>
        <w:bottom w:val="none" w:sz="0" w:space="0" w:color="auto"/>
        <w:right w:val="none" w:sz="0" w:space="0" w:color="auto"/>
      </w:divBdr>
    </w:div>
    <w:div w:id="2087412354">
      <w:bodyDiv w:val="1"/>
      <w:marLeft w:val="0"/>
      <w:marRight w:val="0"/>
      <w:marTop w:val="0"/>
      <w:marBottom w:val="0"/>
      <w:divBdr>
        <w:top w:val="none" w:sz="0" w:space="0" w:color="auto"/>
        <w:left w:val="none" w:sz="0" w:space="0" w:color="auto"/>
        <w:bottom w:val="none" w:sz="0" w:space="0" w:color="auto"/>
        <w:right w:val="none" w:sz="0" w:space="0" w:color="auto"/>
      </w:divBdr>
    </w:div>
    <w:div w:id="2089646089">
      <w:bodyDiv w:val="1"/>
      <w:marLeft w:val="0"/>
      <w:marRight w:val="0"/>
      <w:marTop w:val="0"/>
      <w:marBottom w:val="0"/>
      <w:divBdr>
        <w:top w:val="none" w:sz="0" w:space="0" w:color="auto"/>
        <w:left w:val="none" w:sz="0" w:space="0" w:color="auto"/>
        <w:bottom w:val="none" w:sz="0" w:space="0" w:color="auto"/>
        <w:right w:val="none" w:sz="0" w:space="0" w:color="auto"/>
      </w:divBdr>
    </w:div>
    <w:div w:id="2092893642">
      <w:bodyDiv w:val="1"/>
      <w:marLeft w:val="0"/>
      <w:marRight w:val="0"/>
      <w:marTop w:val="0"/>
      <w:marBottom w:val="0"/>
      <w:divBdr>
        <w:top w:val="none" w:sz="0" w:space="0" w:color="auto"/>
        <w:left w:val="none" w:sz="0" w:space="0" w:color="auto"/>
        <w:bottom w:val="none" w:sz="0" w:space="0" w:color="auto"/>
        <w:right w:val="none" w:sz="0" w:space="0" w:color="auto"/>
      </w:divBdr>
    </w:div>
    <w:div w:id="2105418603">
      <w:bodyDiv w:val="1"/>
      <w:marLeft w:val="0"/>
      <w:marRight w:val="0"/>
      <w:marTop w:val="0"/>
      <w:marBottom w:val="0"/>
      <w:divBdr>
        <w:top w:val="none" w:sz="0" w:space="0" w:color="auto"/>
        <w:left w:val="none" w:sz="0" w:space="0" w:color="auto"/>
        <w:bottom w:val="none" w:sz="0" w:space="0" w:color="auto"/>
        <w:right w:val="none" w:sz="0" w:space="0" w:color="auto"/>
      </w:divBdr>
    </w:div>
    <w:div w:id="21215624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tif"/><Relationship Id="rId21" Type="http://schemas.openxmlformats.org/officeDocument/2006/relationships/image" Target="media/image7.tif"/><Relationship Id="rId34" Type="http://schemas.openxmlformats.org/officeDocument/2006/relationships/footer" Target="footer9.xml"/><Relationship Id="rId42" Type="http://schemas.openxmlformats.org/officeDocument/2006/relationships/image" Target="media/image23.emf"/><Relationship Id="rId47" Type="http://schemas.openxmlformats.org/officeDocument/2006/relationships/image" Target="media/image28.emf"/><Relationship Id="rId50" Type="http://schemas.openxmlformats.org/officeDocument/2006/relationships/image" Target="media/image31.emf"/><Relationship Id="rId55" Type="http://schemas.openxmlformats.org/officeDocument/2006/relationships/image" Target="media/image36.png"/><Relationship Id="rId63" Type="http://schemas.openxmlformats.org/officeDocument/2006/relationships/footer" Target="footer15.xml"/><Relationship Id="rId68" Type="http://schemas.openxmlformats.org/officeDocument/2006/relationships/image" Target="media/image42.emf"/><Relationship Id="rId76" Type="http://schemas.openxmlformats.org/officeDocument/2006/relationships/image" Target="media/image50.emf"/><Relationship Id="rId84" Type="http://schemas.openxmlformats.org/officeDocument/2006/relationships/image" Target="media/image58.emf"/><Relationship Id="rId89" Type="http://schemas.openxmlformats.org/officeDocument/2006/relationships/image" Target="media/image63.emf"/><Relationship Id="rId97" Type="http://schemas.openxmlformats.org/officeDocument/2006/relationships/header" Target="header4.xml"/><Relationship Id="rId7" Type="http://schemas.openxmlformats.org/officeDocument/2006/relationships/endnotes" Target="endnotes.xml"/><Relationship Id="rId71" Type="http://schemas.openxmlformats.org/officeDocument/2006/relationships/image" Target="media/image45.emf"/><Relationship Id="rId92" Type="http://schemas.openxmlformats.org/officeDocument/2006/relationships/image" Target="media/image66.emf"/><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image" Target="media/image15.emf"/><Relationship Id="rId11" Type="http://schemas.openxmlformats.org/officeDocument/2006/relationships/footer" Target="footer3.xml"/><Relationship Id="rId24" Type="http://schemas.openxmlformats.org/officeDocument/2006/relationships/image" Target="media/image10.emf"/><Relationship Id="rId32" Type="http://schemas.openxmlformats.org/officeDocument/2006/relationships/footer" Target="footer7.xml"/><Relationship Id="rId37" Type="http://schemas.openxmlformats.org/officeDocument/2006/relationships/image" Target="media/image18.emf"/><Relationship Id="rId40" Type="http://schemas.openxmlformats.org/officeDocument/2006/relationships/image" Target="media/image21.emf"/><Relationship Id="rId45" Type="http://schemas.openxmlformats.org/officeDocument/2006/relationships/image" Target="media/image26.emf"/><Relationship Id="rId53" Type="http://schemas.openxmlformats.org/officeDocument/2006/relationships/image" Target="media/image34.emf"/><Relationship Id="rId58" Type="http://schemas.openxmlformats.org/officeDocument/2006/relationships/image" Target="media/image37.emf"/><Relationship Id="rId66" Type="http://schemas.openxmlformats.org/officeDocument/2006/relationships/image" Target="media/image40.emf"/><Relationship Id="rId74" Type="http://schemas.openxmlformats.org/officeDocument/2006/relationships/image" Target="media/image48.emf"/><Relationship Id="rId79" Type="http://schemas.openxmlformats.org/officeDocument/2006/relationships/image" Target="media/image53.emf"/><Relationship Id="rId87" Type="http://schemas.openxmlformats.org/officeDocument/2006/relationships/image" Target="media/image61.emf"/><Relationship Id="rId5" Type="http://schemas.openxmlformats.org/officeDocument/2006/relationships/webSettings" Target="webSettings.xml"/><Relationship Id="rId61" Type="http://schemas.openxmlformats.org/officeDocument/2006/relationships/footer" Target="footer13.xml"/><Relationship Id="rId82" Type="http://schemas.openxmlformats.org/officeDocument/2006/relationships/image" Target="media/image56.emf"/><Relationship Id="rId90" Type="http://schemas.openxmlformats.org/officeDocument/2006/relationships/image" Target="media/image64.emf"/><Relationship Id="rId95" Type="http://schemas.openxmlformats.org/officeDocument/2006/relationships/image" Target="media/image68.emf"/><Relationship Id="rId19" Type="http://schemas.openxmlformats.org/officeDocument/2006/relationships/image" Target="media/image5.tif"/><Relationship Id="rId14" Type="http://schemas.openxmlformats.org/officeDocument/2006/relationships/footer" Target="footer6.xml"/><Relationship Id="rId22" Type="http://schemas.openxmlformats.org/officeDocument/2006/relationships/image" Target="media/image8.tif"/><Relationship Id="rId27" Type="http://schemas.openxmlformats.org/officeDocument/2006/relationships/image" Target="media/image13.emf"/><Relationship Id="rId30" Type="http://schemas.openxmlformats.org/officeDocument/2006/relationships/image" Target="media/image16.tif"/><Relationship Id="rId35" Type="http://schemas.openxmlformats.org/officeDocument/2006/relationships/footer" Target="footer10.xml"/><Relationship Id="rId43" Type="http://schemas.openxmlformats.org/officeDocument/2006/relationships/image" Target="media/image24.emf"/><Relationship Id="rId48" Type="http://schemas.openxmlformats.org/officeDocument/2006/relationships/image" Target="media/image29.png"/><Relationship Id="rId56" Type="http://schemas.openxmlformats.org/officeDocument/2006/relationships/footer" Target="footer11.xml"/><Relationship Id="rId64" Type="http://schemas.openxmlformats.org/officeDocument/2006/relationships/footer" Target="footer16.xml"/><Relationship Id="rId69" Type="http://schemas.openxmlformats.org/officeDocument/2006/relationships/image" Target="media/image43.emf"/><Relationship Id="rId77" Type="http://schemas.openxmlformats.org/officeDocument/2006/relationships/image" Target="media/image51.emf"/><Relationship Id="rId100" Type="http://schemas.microsoft.com/office/2016/09/relationships/commentsIds" Target="commentsIds.xml"/><Relationship Id="rId8" Type="http://schemas.openxmlformats.org/officeDocument/2006/relationships/footer" Target="footer1.xml"/><Relationship Id="rId51" Type="http://schemas.openxmlformats.org/officeDocument/2006/relationships/image" Target="media/image32.emf"/><Relationship Id="rId72" Type="http://schemas.openxmlformats.org/officeDocument/2006/relationships/image" Target="media/image46.tif"/><Relationship Id="rId80" Type="http://schemas.openxmlformats.org/officeDocument/2006/relationships/image" Target="media/image54.emf"/><Relationship Id="rId85" Type="http://schemas.openxmlformats.org/officeDocument/2006/relationships/image" Target="media/image59.emf"/><Relationship Id="rId93" Type="http://schemas.openxmlformats.org/officeDocument/2006/relationships/image" Target="media/image67.emf"/><Relationship Id="rId98"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4.xml"/><Relationship Id="rId17" Type="http://schemas.openxmlformats.org/officeDocument/2006/relationships/image" Target="media/image3.tiff"/><Relationship Id="rId25" Type="http://schemas.openxmlformats.org/officeDocument/2006/relationships/image" Target="media/image11.png"/><Relationship Id="rId33" Type="http://schemas.openxmlformats.org/officeDocument/2006/relationships/footer" Target="footer8.xml"/><Relationship Id="rId38" Type="http://schemas.openxmlformats.org/officeDocument/2006/relationships/image" Target="media/image19.emf"/><Relationship Id="rId46" Type="http://schemas.openxmlformats.org/officeDocument/2006/relationships/image" Target="media/image27.emf"/><Relationship Id="rId59" Type="http://schemas.openxmlformats.org/officeDocument/2006/relationships/image" Target="media/image38.emf"/><Relationship Id="rId67" Type="http://schemas.openxmlformats.org/officeDocument/2006/relationships/image" Target="media/image41.emf"/><Relationship Id="rId20" Type="http://schemas.openxmlformats.org/officeDocument/2006/relationships/image" Target="media/image6.tif"/><Relationship Id="rId41" Type="http://schemas.openxmlformats.org/officeDocument/2006/relationships/image" Target="media/image22.emf"/><Relationship Id="rId54" Type="http://schemas.openxmlformats.org/officeDocument/2006/relationships/image" Target="media/image35.emf"/><Relationship Id="rId62" Type="http://schemas.openxmlformats.org/officeDocument/2006/relationships/footer" Target="footer14.xml"/><Relationship Id="rId70" Type="http://schemas.openxmlformats.org/officeDocument/2006/relationships/image" Target="media/image44.emf"/><Relationship Id="rId75" Type="http://schemas.openxmlformats.org/officeDocument/2006/relationships/image" Target="media/image49.emf"/><Relationship Id="rId83" Type="http://schemas.openxmlformats.org/officeDocument/2006/relationships/image" Target="media/image57.emf"/><Relationship Id="rId88" Type="http://schemas.openxmlformats.org/officeDocument/2006/relationships/image" Target="media/image62.emf"/><Relationship Id="rId91" Type="http://schemas.openxmlformats.org/officeDocument/2006/relationships/image" Target="media/image65.emf"/><Relationship Id="rId96" Type="http://schemas.openxmlformats.org/officeDocument/2006/relationships/footer" Target="footer18.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emf"/><Relationship Id="rId23" Type="http://schemas.openxmlformats.org/officeDocument/2006/relationships/image" Target="media/image9.tif"/><Relationship Id="rId28" Type="http://schemas.openxmlformats.org/officeDocument/2006/relationships/image" Target="media/image14.tif"/><Relationship Id="rId36" Type="http://schemas.openxmlformats.org/officeDocument/2006/relationships/image" Target="media/image17.tif"/><Relationship Id="rId49" Type="http://schemas.openxmlformats.org/officeDocument/2006/relationships/image" Target="media/image30.png"/><Relationship Id="rId57" Type="http://schemas.openxmlformats.org/officeDocument/2006/relationships/footer" Target="footer12.xml"/><Relationship Id="rId10" Type="http://schemas.openxmlformats.org/officeDocument/2006/relationships/footer" Target="footer2.xml"/><Relationship Id="rId31" Type="http://schemas.openxmlformats.org/officeDocument/2006/relationships/header" Target="header2.xml"/><Relationship Id="rId44" Type="http://schemas.openxmlformats.org/officeDocument/2006/relationships/image" Target="media/image25.emf"/><Relationship Id="rId52" Type="http://schemas.openxmlformats.org/officeDocument/2006/relationships/image" Target="media/image33.emf"/><Relationship Id="rId60" Type="http://schemas.openxmlformats.org/officeDocument/2006/relationships/header" Target="header3.xml"/><Relationship Id="rId65" Type="http://schemas.openxmlformats.org/officeDocument/2006/relationships/image" Target="media/image39.emf"/><Relationship Id="rId73" Type="http://schemas.openxmlformats.org/officeDocument/2006/relationships/image" Target="media/image47.emf"/><Relationship Id="rId78" Type="http://schemas.openxmlformats.org/officeDocument/2006/relationships/image" Target="media/image52.emf"/><Relationship Id="rId81" Type="http://schemas.openxmlformats.org/officeDocument/2006/relationships/image" Target="media/image55.emf"/><Relationship Id="rId86" Type="http://schemas.openxmlformats.org/officeDocument/2006/relationships/image" Target="media/image60.emf"/><Relationship Id="rId94" Type="http://schemas.openxmlformats.org/officeDocument/2006/relationships/footer" Target="footer17.xml"/><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footer" Target="footer5.xml"/><Relationship Id="rId18" Type="http://schemas.openxmlformats.org/officeDocument/2006/relationships/image" Target="media/image4.tiff"/><Relationship Id="rId39" Type="http://schemas.openxmlformats.org/officeDocument/2006/relationships/image" Target="media/image2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CF4AA911-0C83-45F4-B3AA-A499374A1F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250</Pages>
  <Words>84190</Words>
  <Characters>479889</Characters>
  <Application>Microsoft Office Word</Application>
  <DocSecurity>0</DocSecurity>
  <Lines>3999</Lines>
  <Paragraphs>1125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562954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Rosie Shute</dc:creator>
  <cp:keywords/>
  <dc:description/>
  <cp:lastModifiedBy>Rosie</cp:lastModifiedBy>
  <cp:revision>2</cp:revision>
  <cp:lastPrinted>2017-11-29T21:51:00Z</cp:lastPrinted>
  <dcterms:created xsi:type="dcterms:W3CDTF">2018-03-28T08:40:00Z</dcterms:created>
  <dcterms:modified xsi:type="dcterms:W3CDTF">2018-03-28T08:40:00Z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316e60bf-5434-350e-956f-c9cfa37d6b44</vt:lpwstr>
  </property>
  <property fmtid="{D5CDD505-2E9C-101B-9397-08002B2CF9AE}" pid="4" name="Mendeley Citation Style_1">
    <vt:lpwstr>http://www.zotero.org/styles/unified-style-linguistics</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http://www.zotero.org/styles/unified-style-linguistics</vt:lpwstr>
  </property>
  <property fmtid="{D5CDD505-2E9C-101B-9397-08002B2CF9AE}" pid="24" name="Mendeley Recent Style Name 9_1">
    <vt:lpwstr>Unified style sheet for linguistics journals</vt:lpwstr>
  </property>
</Properties>
</file>